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9957" w14:textId="77777777" w:rsidR="00A35215" w:rsidRPr="004309BB" w:rsidRDefault="00A35215" w:rsidP="00A35215">
      <w:pPr>
        <w:pStyle w:val="ANOTACION"/>
        <w:spacing w:line="220" w:lineRule="exact"/>
        <w:rPr>
          <w:rFonts w:ascii="Times New Roman" w:hAnsi="Times New Roman"/>
        </w:rPr>
      </w:pPr>
      <w:r w:rsidRPr="004309BB">
        <w:rPr>
          <w:rFonts w:ascii="Times New Roman" w:hAnsi="Times New Roman"/>
        </w:rPr>
        <w:t>Anexo 29 de la Resolución Miscelánea Fiscal para 2018</w:t>
      </w:r>
    </w:p>
    <w:tbl>
      <w:tblPr>
        <w:tblW w:w="8712" w:type="dxa"/>
        <w:tblInd w:w="144" w:type="dxa"/>
        <w:tblCellMar>
          <w:left w:w="72" w:type="dxa"/>
          <w:right w:w="72" w:type="dxa"/>
        </w:tblCellMar>
        <w:tblLook w:val="0000" w:firstRow="0" w:lastRow="0" w:firstColumn="0" w:lastColumn="0" w:noHBand="0" w:noVBand="0"/>
      </w:tblPr>
      <w:tblGrid>
        <w:gridCol w:w="8712"/>
      </w:tblGrid>
      <w:tr w:rsidR="00A35215" w:rsidRPr="00193CD9" w14:paraId="3316C4F4"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14:paraId="2BC0663D" w14:textId="77777777" w:rsidR="00A35215" w:rsidRPr="00193CD9" w:rsidRDefault="00A35215" w:rsidP="00A97447">
            <w:pPr>
              <w:pStyle w:val="Texto"/>
              <w:spacing w:line="220" w:lineRule="exact"/>
              <w:ind w:firstLine="0"/>
              <w:jc w:val="center"/>
              <w:rPr>
                <w:szCs w:val="18"/>
              </w:rPr>
            </w:pPr>
            <w:r w:rsidRPr="00193CD9">
              <w:rPr>
                <w:szCs w:val="18"/>
              </w:rPr>
              <w:t>Contenido</w:t>
            </w:r>
          </w:p>
          <w:p w14:paraId="0F1EFE84" w14:textId="77777777" w:rsidR="00A35215" w:rsidRPr="00193CD9" w:rsidRDefault="00A35215" w:rsidP="00A97447">
            <w:pPr>
              <w:pStyle w:val="Texto"/>
              <w:spacing w:line="220" w:lineRule="exact"/>
              <w:ind w:firstLine="0"/>
              <w:rPr>
                <w:szCs w:val="18"/>
              </w:rPr>
            </w:pPr>
            <w:r w:rsidRPr="00193CD9">
              <w:rPr>
                <w:szCs w:val="18"/>
              </w:rPr>
              <w:t>Este Anexo contiene las conductas que se configuran en incumplimientos de las especificaciones tecnológicas determinadas por el SAT, al enviar CFDI a dicho órgano desconcentrado a que se refieren los artículos 81, fracción XLIII y 82, fracción XL del CFF.</w:t>
            </w:r>
          </w:p>
        </w:tc>
      </w:tr>
    </w:tbl>
    <w:p w14:paraId="0B8E848F" w14:textId="77777777" w:rsidR="00A35215" w:rsidRPr="00193CD9" w:rsidRDefault="00A35215" w:rsidP="00A35215">
      <w:pPr>
        <w:pStyle w:val="Texto"/>
        <w:spacing w:line="220" w:lineRule="exact"/>
        <w:rPr>
          <w:szCs w:val="18"/>
        </w:rPr>
      </w:pPr>
    </w:p>
    <w:tbl>
      <w:tblPr>
        <w:tblW w:w="8712" w:type="dxa"/>
        <w:tblInd w:w="144" w:type="dxa"/>
        <w:tblLayout w:type="fixed"/>
        <w:tblCellMar>
          <w:left w:w="43" w:type="dxa"/>
          <w:right w:w="43" w:type="dxa"/>
        </w:tblCellMar>
        <w:tblLook w:val="0000" w:firstRow="0" w:lastRow="0" w:firstColumn="0" w:lastColumn="0" w:noHBand="0" w:noVBand="0"/>
      </w:tblPr>
      <w:tblGrid>
        <w:gridCol w:w="769"/>
        <w:gridCol w:w="3798"/>
        <w:gridCol w:w="4145"/>
      </w:tblGrid>
      <w:tr w:rsidR="00A35215" w:rsidRPr="00193CD9" w14:paraId="1106F851" w14:textId="77777777" w:rsidTr="00A97447">
        <w:tblPrEx>
          <w:tblCellMar>
            <w:top w:w="0" w:type="dxa"/>
            <w:bottom w:w="0" w:type="dxa"/>
          </w:tblCellMar>
        </w:tblPrEx>
        <w:trPr>
          <w:trHeight w:val="20"/>
          <w:tblHeader/>
        </w:trPr>
        <w:tc>
          <w:tcPr>
            <w:tcW w:w="769" w:type="dxa"/>
            <w:tcBorders>
              <w:bottom w:val="double" w:sz="6" w:space="0" w:color="auto"/>
            </w:tcBorders>
            <w:noWrap/>
          </w:tcPr>
          <w:p w14:paraId="75801319" w14:textId="77777777" w:rsidR="00A35215" w:rsidRPr="00193CD9" w:rsidRDefault="00A35215" w:rsidP="00A97447">
            <w:pPr>
              <w:pStyle w:val="Texto"/>
              <w:spacing w:line="220" w:lineRule="exact"/>
              <w:ind w:firstLine="0"/>
              <w:jc w:val="center"/>
              <w:rPr>
                <w:b/>
                <w:szCs w:val="18"/>
              </w:rPr>
            </w:pPr>
            <w:r w:rsidRPr="00193CD9">
              <w:rPr>
                <w:b/>
                <w:szCs w:val="18"/>
              </w:rPr>
              <w:t>Núm.</w:t>
            </w:r>
          </w:p>
        </w:tc>
        <w:tc>
          <w:tcPr>
            <w:tcW w:w="3798" w:type="dxa"/>
            <w:tcBorders>
              <w:bottom w:val="double" w:sz="6" w:space="0" w:color="auto"/>
            </w:tcBorders>
          </w:tcPr>
          <w:p w14:paraId="4D69AC47" w14:textId="77777777" w:rsidR="00A35215" w:rsidRPr="00193CD9" w:rsidRDefault="00A35215" w:rsidP="00A97447">
            <w:pPr>
              <w:pStyle w:val="Texto"/>
              <w:spacing w:line="220" w:lineRule="exact"/>
              <w:ind w:firstLine="0"/>
              <w:jc w:val="center"/>
              <w:rPr>
                <w:b/>
                <w:szCs w:val="18"/>
              </w:rPr>
            </w:pPr>
            <w:bookmarkStart w:id="0" w:name="_GoBack"/>
            <w:bookmarkEnd w:id="0"/>
            <w:r w:rsidRPr="00193CD9">
              <w:rPr>
                <w:b/>
                <w:szCs w:val="18"/>
              </w:rPr>
              <w:t>Conducta</w:t>
            </w:r>
          </w:p>
        </w:tc>
        <w:tc>
          <w:tcPr>
            <w:tcW w:w="4145" w:type="dxa"/>
            <w:tcBorders>
              <w:bottom w:val="double" w:sz="6" w:space="0" w:color="auto"/>
            </w:tcBorders>
          </w:tcPr>
          <w:p w14:paraId="6A0305EB" w14:textId="77777777" w:rsidR="00A35215" w:rsidRPr="00193CD9" w:rsidRDefault="00A35215" w:rsidP="00A97447">
            <w:pPr>
              <w:pStyle w:val="Texto"/>
              <w:spacing w:line="220" w:lineRule="exact"/>
              <w:ind w:firstLine="0"/>
              <w:jc w:val="center"/>
              <w:rPr>
                <w:b/>
                <w:szCs w:val="18"/>
              </w:rPr>
            </w:pPr>
            <w:r w:rsidRPr="00193CD9">
              <w:rPr>
                <w:b/>
                <w:szCs w:val="18"/>
              </w:rPr>
              <w:t>Descripción</w:t>
            </w:r>
          </w:p>
        </w:tc>
      </w:tr>
      <w:tr w:rsidR="00A35215" w:rsidRPr="00193CD9" w14:paraId="610EE4A3" w14:textId="77777777" w:rsidTr="00A97447">
        <w:tblPrEx>
          <w:tblCellMar>
            <w:top w:w="0" w:type="dxa"/>
            <w:bottom w:w="0" w:type="dxa"/>
          </w:tblCellMar>
        </w:tblPrEx>
        <w:trPr>
          <w:trHeight w:val="20"/>
        </w:trPr>
        <w:tc>
          <w:tcPr>
            <w:tcW w:w="769" w:type="dxa"/>
            <w:tcBorders>
              <w:top w:val="double" w:sz="6" w:space="0" w:color="auto"/>
              <w:bottom w:val="single" w:sz="6" w:space="0" w:color="auto"/>
            </w:tcBorders>
          </w:tcPr>
          <w:p w14:paraId="5370FD23" w14:textId="77777777" w:rsidR="00A35215" w:rsidRPr="00193CD9" w:rsidRDefault="00A35215" w:rsidP="00A97447">
            <w:pPr>
              <w:pStyle w:val="Texto"/>
              <w:spacing w:line="220" w:lineRule="exact"/>
              <w:ind w:firstLine="0"/>
              <w:rPr>
                <w:szCs w:val="18"/>
              </w:rPr>
            </w:pPr>
            <w:r w:rsidRPr="00193CD9">
              <w:rPr>
                <w:szCs w:val="18"/>
              </w:rPr>
              <w:t>1.</w:t>
            </w:r>
          </w:p>
        </w:tc>
        <w:tc>
          <w:tcPr>
            <w:tcW w:w="3798" w:type="dxa"/>
            <w:tcBorders>
              <w:top w:val="double" w:sz="6" w:space="0" w:color="auto"/>
              <w:bottom w:val="single" w:sz="6" w:space="0" w:color="auto"/>
            </w:tcBorders>
          </w:tcPr>
          <w:p w14:paraId="30AC0D05" w14:textId="77777777" w:rsidR="00A35215" w:rsidRPr="00193CD9" w:rsidRDefault="00A35215" w:rsidP="00A97447">
            <w:pPr>
              <w:pStyle w:val="Texto"/>
              <w:spacing w:line="220" w:lineRule="exact"/>
              <w:ind w:firstLine="0"/>
              <w:rPr>
                <w:szCs w:val="18"/>
              </w:rPr>
            </w:pPr>
            <w:r w:rsidRPr="00193CD9">
              <w:rPr>
                <w:szCs w:val="18"/>
              </w:rPr>
              <w:t>Comprobante no enviado.</w:t>
            </w:r>
          </w:p>
        </w:tc>
        <w:tc>
          <w:tcPr>
            <w:tcW w:w="4145" w:type="dxa"/>
            <w:tcBorders>
              <w:top w:val="double" w:sz="6" w:space="0" w:color="auto"/>
              <w:bottom w:val="single" w:sz="6" w:space="0" w:color="auto"/>
            </w:tcBorders>
          </w:tcPr>
          <w:p w14:paraId="537C4278" w14:textId="77777777" w:rsidR="00A35215" w:rsidRPr="00193CD9" w:rsidRDefault="00A35215" w:rsidP="00A97447">
            <w:pPr>
              <w:pStyle w:val="Texto"/>
              <w:spacing w:line="220" w:lineRule="exact"/>
              <w:ind w:firstLine="0"/>
              <w:rPr>
                <w:szCs w:val="18"/>
              </w:rPr>
            </w:pPr>
            <w:r w:rsidRPr="00193CD9">
              <w:rPr>
                <w:szCs w:val="18"/>
              </w:rPr>
              <w:t xml:space="preserve">El comprobante que el proveedor señala haber entregado no existe en el repositorio de entrega, conforme con lo señalado en las </w:t>
            </w:r>
            <w:r w:rsidRPr="00193CD9">
              <w:rPr>
                <w:i/>
                <w:szCs w:val="18"/>
              </w:rPr>
              <w:t>"Reglas y lineamientos para operar en ambientes productivos"</w:t>
            </w:r>
            <w:r w:rsidRPr="00193CD9">
              <w:rPr>
                <w:szCs w:val="18"/>
              </w:rPr>
              <w:t>.</w:t>
            </w:r>
          </w:p>
        </w:tc>
      </w:tr>
      <w:tr w:rsidR="00A35215" w:rsidRPr="00193CD9" w14:paraId="340F66BF"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13662266" w14:textId="77777777" w:rsidR="00A35215" w:rsidRPr="00193CD9" w:rsidRDefault="00A35215" w:rsidP="00A97447">
            <w:pPr>
              <w:pStyle w:val="Texto"/>
              <w:spacing w:line="220" w:lineRule="exact"/>
              <w:ind w:firstLine="0"/>
              <w:rPr>
                <w:szCs w:val="18"/>
              </w:rPr>
            </w:pPr>
            <w:r w:rsidRPr="00193CD9">
              <w:rPr>
                <w:szCs w:val="18"/>
              </w:rPr>
              <w:t>2.</w:t>
            </w:r>
          </w:p>
        </w:tc>
        <w:tc>
          <w:tcPr>
            <w:tcW w:w="3798" w:type="dxa"/>
            <w:tcBorders>
              <w:top w:val="single" w:sz="6" w:space="0" w:color="auto"/>
              <w:bottom w:val="single" w:sz="6" w:space="0" w:color="auto"/>
            </w:tcBorders>
          </w:tcPr>
          <w:p w14:paraId="50426D15" w14:textId="77777777" w:rsidR="00A35215" w:rsidRPr="00193CD9" w:rsidRDefault="00A35215" w:rsidP="00A97447">
            <w:pPr>
              <w:pStyle w:val="Texto"/>
              <w:spacing w:line="220" w:lineRule="exact"/>
              <w:ind w:firstLine="0"/>
              <w:rPr>
                <w:szCs w:val="18"/>
              </w:rPr>
            </w:pPr>
            <w:r w:rsidRPr="00193CD9">
              <w:rPr>
                <w:szCs w:val="18"/>
              </w:rPr>
              <w:t>Los datos enviados sobre el CFDI son inválidos.</w:t>
            </w:r>
          </w:p>
        </w:tc>
        <w:tc>
          <w:tcPr>
            <w:tcW w:w="4145" w:type="dxa"/>
            <w:tcBorders>
              <w:top w:val="single" w:sz="6" w:space="0" w:color="auto"/>
              <w:bottom w:val="single" w:sz="6" w:space="0" w:color="auto"/>
            </w:tcBorders>
          </w:tcPr>
          <w:p w14:paraId="1F5FAA27" w14:textId="77777777" w:rsidR="00A35215" w:rsidRPr="00193CD9" w:rsidRDefault="00A35215" w:rsidP="00A97447">
            <w:pPr>
              <w:pStyle w:val="Texto"/>
              <w:spacing w:line="220" w:lineRule="exact"/>
              <w:ind w:firstLine="0"/>
              <w:rPr>
                <w:szCs w:val="18"/>
              </w:rPr>
            </w:pPr>
            <w:r w:rsidRPr="00193CD9">
              <w:rPr>
                <w:szCs w:val="18"/>
              </w:rPr>
              <w:t xml:space="preserve">Los datos que el proveedor presenta para identificar el CFDI enviado corresponden con el folio fiscal pero son inválidos por no corresponder con lo señalado en las </w:t>
            </w:r>
            <w:r w:rsidRPr="00193CD9">
              <w:rPr>
                <w:i/>
                <w:szCs w:val="18"/>
              </w:rPr>
              <w:t>"Reglas y lineamientos para operar en ambientes productivos"</w:t>
            </w:r>
            <w:r w:rsidRPr="00193CD9">
              <w:rPr>
                <w:szCs w:val="18"/>
              </w:rPr>
              <w:t>.</w:t>
            </w:r>
          </w:p>
        </w:tc>
      </w:tr>
      <w:tr w:rsidR="00A35215" w:rsidRPr="00193CD9" w14:paraId="74A9EA17"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4DE5794A" w14:textId="77777777" w:rsidR="00A35215" w:rsidRPr="00193CD9" w:rsidRDefault="00A35215" w:rsidP="00A97447">
            <w:pPr>
              <w:pStyle w:val="Texto"/>
              <w:spacing w:line="220" w:lineRule="exact"/>
              <w:ind w:firstLine="0"/>
              <w:rPr>
                <w:szCs w:val="18"/>
              </w:rPr>
            </w:pPr>
            <w:r w:rsidRPr="00193CD9">
              <w:rPr>
                <w:szCs w:val="18"/>
              </w:rPr>
              <w:t>3.</w:t>
            </w:r>
          </w:p>
        </w:tc>
        <w:tc>
          <w:tcPr>
            <w:tcW w:w="3798" w:type="dxa"/>
            <w:tcBorders>
              <w:top w:val="single" w:sz="6" w:space="0" w:color="auto"/>
              <w:bottom w:val="single" w:sz="6" w:space="0" w:color="auto"/>
            </w:tcBorders>
          </w:tcPr>
          <w:p w14:paraId="776AE5CB" w14:textId="77777777" w:rsidR="00A35215" w:rsidRPr="00193CD9" w:rsidRDefault="00A35215" w:rsidP="00A97447">
            <w:pPr>
              <w:pStyle w:val="Texto"/>
              <w:spacing w:line="220" w:lineRule="exact"/>
              <w:ind w:firstLine="0"/>
              <w:rPr>
                <w:szCs w:val="18"/>
              </w:rPr>
            </w:pPr>
            <w:r w:rsidRPr="00193CD9">
              <w:rPr>
                <w:szCs w:val="18"/>
              </w:rPr>
              <w:t>Estructura del CFDI inválida.</w:t>
            </w:r>
          </w:p>
        </w:tc>
        <w:tc>
          <w:tcPr>
            <w:tcW w:w="4145" w:type="dxa"/>
            <w:tcBorders>
              <w:top w:val="single" w:sz="6" w:space="0" w:color="auto"/>
              <w:bottom w:val="single" w:sz="6" w:space="0" w:color="auto"/>
            </w:tcBorders>
          </w:tcPr>
          <w:p w14:paraId="5AFE9BC0" w14:textId="77777777" w:rsidR="00A35215" w:rsidRPr="00193CD9" w:rsidRDefault="00A35215" w:rsidP="00A97447">
            <w:pPr>
              <w:pStyle w:val="Texto"/>
              <w:spacing w:line="220" w:lineRule="exact"/>
              <w:ind w:firstLine="0"/>
              <w:rPr>
                <w:szCs w:val="18"/>
              </w:rPr>
            </w:pPr>
            <w:r w:rsidRPr="00193CD9">
              <w:rPr>
                <w:szCs w:val="18"/>
              </w:rPr>
              <w:t>La estructura del archivo XML del comprobante no cumple con la documentación técnica señalada en el Anexo 20 de la Resolución Miscelánea Fiscal.</w:t>
            </w:r>
          </w:p>
        </w:tc>
      </w:tr>
      <w:tr w:rsidR="00A35215" w:rsidRPr="00193CD9" w14:paraId="5349329E"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3586704A" w14:textId="77777777" w:rsidR="00A35215" w:rsidRPr="00193CD9" w:rsidRDefault="00A35215" w:rsidP="00A97447">
            <w:pPr>
              <w:pStyle w:val="Texto"/>
              <w:spacing w:line="220" w:lineRule="exact"/>
              <w:ind w:firstLine="0"/>
              <w:rPr>
                <w:szCs w:val="18"/>
              </w:rPr>
            </w:pPr>
            <w:r w:rsidRPr="00193CD9">
              <w:rPr>
                <w:szCs w:val="18"/>
              </w:rPr>
              <w:t>4.</w:t>
            </w:r>
          </w:p>
        </w:tc>
        <w:tc>
          <w:tcPr>
            <w:tcW w:w="3798" w:type="dxa"/>
            <w:tcBorders>
              <w:top w:val="single" w:sz="6" w:space="0" w:color="auto"/>
              <w:bottom w:val="single" w:sz="6" w:space="0" w:color="auto"/>
            </w:tcBorders>
          </w:tcPr>
          <w:p w14:paraId="018E8B26" w14:textId="77777777" w:rsidR="00A35215" w:rsidRPr="00193CD9" w:rsidRDefault="00A35215" w:rsidP="00A97447">
            <w:pPr>
              <w:pStyle w:val="Texto"/>
              <w:spacing w:line="220" w:lineRule="exact"/>
              <w:ind w:firstLine="0"/>
              <w:rPr>
                <w:szCs w:val="18"/>
              </w:rPr>
            </w:pPr>
            <w:r w:rsidRPr="00193CD9">
              <w:rPr>
                <w:szCs w:val="18"/>
              </w:rPr>
              <w:t>Los datos enviados sobre el CFDI no corresponden con el comprobante..</w:t>
            </w:r>
          </w:p>
        </w:tc>
        <w:tc>
          <w:tcPr>
            <w:tcW w:w="4145" w:type="dxa"/>
            <w:tcBorders>
              <w:top w:val="single" w:sz="6" w:space="0" w:color="auto"/>
              <w:bottom w:val="single" w:sz="6" w:space="0" w:color="auto"/>
            </w:tcBorders>
          </w:tcPr>
          <w:p w14:paraId="547CD020" w14:textId="77777777" w:rsidR="00A35215" w:rsidRPr="00193CD9" w:rsidRDefault="00A35215" w:rsidP="00A97447">
            <w:pPr>
              <w:pStyle w:val="Texto"/>
              <w:spacing w:line="220" w:lineRule="exact"/>
              <w:ind w:firstLine="0"/>
              <w:rPr>
                <w:szCs w:val="18"/>
              </w:rPr>
            </w:pPr>
            <w:r w:rsidRPr="00193CD9">
              <w:rPr>
                <w:szCs w:val="18"/>
              </w:rPr>
              <w:t xml:space="preserve">Los datos que el proveedor presenta para identificar el CFDI enviado no corresponden con alguno de los comprobantes recibidos, conforme con lo señalado en las </w:t>
            </w:r>
            <w:r w:rsidRPr="00193CD9">
              <w:rPr>
                <w:i/>
                <w:szCs w:val="18"/>
              </w:rPr>
              <w:t>"Reglas y lineamientos para operar en ambientes productivos"</w:t>
            </w:r>
            <w:r w:rsidRPr="00193CD9">
              <w:rPr>
                <w:szCs w:val="18"/>
              </w:rPr>
              <w:t>.</w:t>
            </w:r>
          </w:p>
        </w:tc>
      </w:tr>
      <w:tr w:rsidR="00A35215" w:rsidRPr="00193CD9" w14:paraId="22B7CCDB"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3A27B848" w14:textId="77777777" w:rsidR="00A35215" w:rsidRPr="00193CD9" w:rsidRDefault="00A35215" w:rsidP="00A97447">
            <w:pPr>
              <w:pStyle w:val="Texto"/>
              <w:spacing w:line="220" w:lineRule="exact"/>
              <w:ind w:firstLine="0"/>
              <w:rPr>
                <w:szCs w:val="18"/>
              </w:rPr>
            </w:pPr>
            <w:r w:rsidRPr="00193CD9">
              <w:rPr>
                <w:szCs w:val="18"/>
              </w:rPr>
              <w:t>5.</w:t>
            </w:r>
          </w:p>
        </w:tc>
        <w:tc>
          <w:tcPr>
            <w:tcW w:w="3798" w:type="dxa"/>
            <w:tcBorders>
              <w:top w:val="single" w:sz="6" w:space="0" w:color="auto"/>
              <w:bottom w:val="single" w:sz="6" w:space="0" w:color="auto"/>
            </w:tcBorders>
          </w:tcPr>
          <w:p w14:paraId="20D576AD" w14:textId="77777777" w:rsidR="00A35215" w:rsidRPr="00193CD9" w:rsidRDefault="00A35215" w:rsidP="00A97447">
            <w:pPr>
              <w:pStyle w:val="Texto"/>
              <w:spacing w:line="220" w:lineRule="exact"/>
              <w:ind w:firstLine="0"/>
              <w:rPr>
                <w:szCs w:val="18"/>
              </w:rPr>
            </w:pPr>
            <w:r w:rsidRPr="00193CD9">
              <w:rPr>
                <w:szCs w:val="18"/>
              </w:rPr>
              <w:t>Timbre existente.</w:t>
            </w:r>
          </w:p>
        </w:tc>
        <w:tc>
          <w:tcPr>
            <w:tcW w:w="4145" w:type="dxa"/>
            <w:tcBorders>
              <w:top w:val="single" w:sz="6" w:space="0" w:color="auto"/>
              <w:bottom w:val="single" w:sz="6" w:space="0" w:color="auto"/>
            </w:tcBorders>
          </w:tcPr>
          <w:p w14:paraId="3836A07E" w14:textId="77777777" w:rsidR="00A35215" w:rsidRPr="00193CD9" w:rsidRDefault="00A35215" w:rsidP="00A97447">
            <w:pPr>
              <w:pStyle w:val="Texto"/>
              <w:spacing w:line="220" w:lineRule="exact"/>
              <w:ind w:firstLine="0"/>
              <w:rPr>
                <w:szCs w:val="18"/>
              </w:rPr>
            </w:pPr>
            <w:r w:rsidRPr="00193CD9">
              <w:rPr>
                <w:szCs w:val="18"/>
              </w:rPr>
              <w:t xml:space="preserve">El proveedor envía un comprobante que incluye un timbre fiscal digital que había sido enviado previamente, no se debe enviar más de una vez conforme con lo señalado en las </w:t>
            </w:r>
            <w:r w:rsidRPr="00193CD9">
              <w:rPr>
                <w:i/>
                <w:szCs w:val="18"/>
              </w:rPr>
              <w:t>"Reglas y lineamientos para operar en ambientes productivos"</w:t>
            </w:r>
            <w:r w:rsidRPr="00193CD9">
              <w:rPr>
                <w:szCs w:val="18"/>
              </w:rPr>
              <w:t>.</w:t>
            </w:r>
          </w:p>
        </w:tc>
      </w:tr>
      <w:tr w:rsidR="00A35215" w:rsidRPr="00193CD9" w14:paraId="52251791"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003AA130" w14:textId="77777777" w:rsidR="00A35215" w:rsidRPr="00193CD9" w:rsidRDefault="00A35215" w:rsidP="00A97447">
            <w:pPr>
              <w:pStyle w:val="Texto"/>
              <w:spacing w:line="220" w:lineRule="exact"/>
              <w:ind w:firstLine="0"/>
              <w:rPr>
                <w:szCs w:val="18"/>
              </w:rPr>
            </w:pPr>
            <w:r w:rsidRPr="00193CD9">
              <w:rPr>
                <w:szCs w:val="18"/>
              </w:rPr>
              <w:t>6.</w:t>
            </w:r>
          </w:p>
        </w:tc>
        <w:tc>
          <w:tcPr>
            <w:tcW w:w="3798" w:type="dxa"/>
            <w:tcBorders>
              <w:top w:val="single" w:sz="6" w:space="0" w:color="auto"/>
              <w:bottom w:val="single" w:sz="6" w:space="0" w:color="auto"/>
            </w:tcBorders>
          </w:tcPr>
          <w:p w14:paraId="644667AE" w14:textId="77777777" w:rsidR="00A35215" w:rsidRPr="00193CD9" w:rsidRDefault="00A35215" w:rsidP="00A97447">
            <w:pPr>
              <w:pStyle w:val="Texto"/>
              <w:spacing w:line="220" w:lineRule="exact"/>
              <w:ind w:firstLine="0"/>
              <w:rPr>
                <w:szCs w:val="18"/>
              </w:rPr>
            </w:pPr>
            <w:r w:rsidRPr="00193CD9">
              <w:rPr>
                <w:szCs w:val="18"/>
              </w:rPr>
              <w:t>El proveedor que envía es diferente al proveedor que certificó.</w:t>
            </w:r>
          </w:p>
        </w:tc>
        <w:tc>
          <w:tcPr>
            <w:tcW w:w="4145" w:type="dxa"/>
            <w:tcBorders>
              <w:top w:val="single" w:sz="6" w:space="0" w:color="auto"/>
              <w:bottom w:val="single" w:sz="6" w:space="0" w:color="auto"/>
            </w:tcBorders>
          </w:tcPr>
          <w:p w14:paraId="7C0475B8" w14:textId="77777777" w:rsidR="00A35215" w:rsidRPr="00193CD9" w:rsidRDefault="00A35215" w:rsidP="00A97447">
            <w:pPr>
              <w:pStyle w:val="Texto"/>
              <w:spacing w:line="220" w:lineRule="exact"/>
              <w:ind w:firstLine="0"/>
              <w:rPr>
                <w:szCs w:val="18"/>
              </w:rPr>
            </w:pPr>
            <w:r w:rsidRPr="00193CD9">
              <w:rPr>
                <w:szCs w:val="18"/>
              </w:rPr>
              <w:t xml:space="preserve">El proveedor que se autenticó en el servicio de envío y que depositó el archivo XML del comprobante no es el mismo que el proveedor que generó el timbre fiscal digital del CFDI, debe ser el mismo conforme con lo señalado en las </w:t>
            </w:r>
            <w:r w:rsidRPr="00193CD9">
              <w:rPr>
                <w:i/>
                <w:szCs w:val="18"/>
              </w:rPr>
              <w:t>"Reglas y lineamientos para operar en ambientes productivos"</w:t>
            </w:r>
          </w:p>
        </w:tc>
      </w:tr>
    </w:tbl>
    <w:p w14:paraId="7405FC1A" w14:textId="77777777" w:rsidR="00A35215" w:rsidRPr="00FD645D" w:rsidRDefault="00A35215" w:rsidP="00A35215">
      <w:pPr>
        <w:rPr>
          <w:sz w:val="2"/>
        </w:rPr>
      </w:pPr>
    </w:p>
    <w:tbl>
      <w:tblPr>
        <w:tblW w:w="8712" w:type="dxa"/>
        <w:tblInd w:w="144" w:type="dxa"/>
        <w:tblLayout w:type="fixed"/>
        <w:tblCellMar>
          <w:left w:w="43" w:type="dxa"/>
          <w:right w:w="43" w:type="dxa"/>
        </w:tblCellMar>
        <w:tblLook w:val="0000" w:firstRow="0" w:lastRow="0" w:firstColumn="0" w:lastColumn="0" w:noHBand="0" w:noVBand="0"/>
      </w:tblPr>
      <w:tblGrid>
        <w:gridCol w:w="769"/>
        <w:gridCol w:w="3798"/>
        <w:gridCol w:w="4145"/>
      </w:tblGrid>
      <w:tr w:rsidR="00A35215" w:rsidRPr="00193CD9" w14:paraId="05251F64"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24A556E6" w14:textId="77777777" w:rsidR="00A35215" w:rsidRPr="00193CD9" w:rsidRDefault="00A35215" w:rsidP="00A97447">
            <w:pPr>
              <w:pStyle w:val="Texto"/>
              <w:spacing w:line="226" w:lineRule="exact"/>
              <w:ind w:firstLine="0"/>
              <w:rPr>
                <w:szCs w:val="18"/>
              </w:rPr>
            </w:pPr>
            <w:r w:rsidRPr="00193CD9">
              <w:rPr>
                <w:szCs w:val="18"/>
              </w:rPr>
              <w:t>7.</w:t>
            </w:r>
          </w:p>
        </w:tc>
        <w:tc>
          <w:tcPr>
            <w:tcW w:w="3798" w:type="dxa"/>
            <w:tcBorders>
              <w:top w:val="single" w:sz="6" w:space="0" w:color="auto"/>
              <w:bottom w:val="single" w:sz="6" w:space="0" w:color="auto"/>
            </w:tcBorders>
          </w:tcPr>
          <w:p w14:paraId="76038D4B" w14:textId="77777777" w:rsidR="00A35215" w:rsidRPr="00193CD9" w:rsidRDefault="00A35215" w:rsidP="00A97447">
            <w:pPr>
              <w:pStyle w:val="Texto"/>
              <w:spacing w:line="226" w:lineRule="exact"/>
              <w:ind w:firstLine="0"/>
              <w:rPr>
                <w:szCs w:val="18"/>
              </w:rPr>
            </w:pPr>
            <w:r w:rsidRPr="00193CD9">
              <w:rPr>
                <w:szCs w:val="18"/>
              </w:rPr>
              <w:t>El CFDI no cuenta con los datos requeridos.</w:t>
            </w:r>
          </w:p>
        </w:tc>
        <w:tc>
          <w:tcPr>
            <w:tcW w:w="4145" w:type="dxa"/>
            <w:tcBorders>
              <w:top w:val="single" w:sz="6" w:space="0" w:color="auto"/>
              <w:bottom w:val="single" w:sz="6" w:space="0" w:color="auto"/>
            </w:tcBorders>
          </w:tcPr>
          <w:p w14:paraId="01506AFD" w14:textId="77777777" w:rsidR="00A35215" w:rsidRPr="00193CD9" w:rsidRDefault="00A35215" w:rsidP="00A97447">
            <w:pPr>
              <w:pStyle w:val="Texto"/>
              <w:spacing w:line="226" w:lineRule="exact"/>
              <w:ind w:firstLine="0"/>
              <w:rPr>
                <w:szCs w:val="18"/>
              </w:rPr>
            </w:pPr>
            <w:r w:rsidRPr="00193CD9">
              <w:rPr>
                <w:szCs w:val="18"/>
              </w:rPr>
              <w:t>El CFDI no incluye los datos que deben ser incluidos conforme con la documentación técnica señalada en el Anexo 20 de la Resolución Miscelánea Fiscal.</w:t>
            </w:r>
          </w:p>
        </w:tc>
      </w:tr>
      <w:tr w:rsidR="00A35215" w:rsidRPr="00193CD9" w14:paraId="417BA0F4"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7C31EAA2" w14:textId="77777777" w:rsidR="00A35215" w:rsidRPr="00193CD9" w:rsidRDefault="00A35215" w:rsidP="00A97447">
            <w:pPr>
              <w:pStyle w:val="Texto"/>
              <w:spacing w:line="226" w:lineRule="exact"/>
              <w:ind w:firstLine="0"/>
              <w:rPr>
                <w:szCs w:val="18"/>
              </w:rPr>
            </w:pPr>
            <w:r w:rsidRPr="00193CD9">
              <w:rPr>
                <w:szCs w:val="18"/>
              </w:rPr>
              <w:t>8.</w:t>
            </w:r>
          </w:p>
        </w:tc>
        <w:tc>
          <w:tcPr>
            <w:tcW w:w="3798" w:type="dxa"/>
            <w:tcBorders>
              <w:top w:val="single" w:sz="6" w:space="0" w:color="auto"/>
              <w:bottom w:val="single" w:sz="6" w:space="0" w:color="auto"/>
            </w:tcBorders>
          </w:tcPr>
          <w:p w14:paraId="2203541A" w14:textId="77777777" w:rsidR="00A35215" w:rsidRPr="00193CD9" w:rsidRDefault="00A35215" w:rsidP="00A97447">
            <w:pPr>
              <w:pStyle w:val="Texto"/>
              <w:spacing w:line="226" w:lineRule="exact"/>
              <w:ind w:firstLine="0"/>
              <w:jc w:val="left"/>
              <w:rPr>
                <w:szCs w:val="18"/>
              </w:rPr>
            </w:pPr>
            <w:r w:rsidRPr="00193CD9">
              <w:rPr>
                <w:szCs w:val="18"/>
              </w:rPr>
              <w:t>Sello de certificación inválido.</w:t>
            </w:r>
          </w:p>
        </w:tc>
        <w:tc>
          <w:tcPr>
            <w:tcW w:w="4145" w:type="dxa"/>
            <w:tcBorders>
              <w:top w:val="single" w:sz="6" w:space="0" w:color="auto"/>
              <w:bottom w:val="single" w:sz="6" w:space="0" w:color="auto"/>
            </w:tcBorders>
          </w:tcPr>
          <w:p w14:paraId="74BE3EC9" w14:textId="77777777" w:rsidR="00A35215" w:rsidRPr="00193CD9" w:rsidRDefault="00A35215" w:rsidP="00A97447">
            <w:pPr>
              <w:pStyle w:val="Texto"/>
              <w:spacing w:line="226" w:lineRule="exact"/>
              <w:ind w:firstLine="0"/>
              <w:rPr>
                <w:szCs w:val="18"/>
              </w:rPr>
            </w:pPr>
            <w:r w:rsidRPr="00193CD9">
              <w:rPr>
                <w:szCs w:val="18"/>
              </w:rPr>
              <w:t>El sello del timbre fiscal digital del CFDI no cumple con la especificación de construcción establecida en la documentación técnica señalada en el Anexo 20 de la Resolución Miscelánea Fiscal.</w:t>
            </w:r>
          </w:p>
        </w:tc>
      </w:tr>
      <w:tr w:rsidR="00A35215" w:rsidRPr="00193CD9" w14:paraId="7E28CD9A"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3EDA74E7" w14:textId="77777777" w:rsidR="00A35215" w:rsidRPr="00193CD9" w:rsidRDefault="00A35215" w:rsidP="00A97447">
            <w:pPr>
              <w:pStyle w:val="Texto"/>
              <w:spacing w:line="226" w:lineRule="exact"/>
              <w:ind w:firstLine="0"/>
              <w:rPr>
                <w:szCs w:val="18"/>
              </w:rPr>
            </w:pPr>
            <w:r w:rsidRPr="00193CD9">
              <w:rPr>
                <w:szCs w:val="18"/>
              </w:rPr>
              <w:t>9.</w:t>
            </w:r>
          </w:p>
        </w:tc>
        <w:tc>
          <w:tcPr>
            <w:tcW w:w="3798" w:type="dxa"/>
            <w:tcBorders>
              <w:top w:val="single" w:sz="6" w:space="0" w:color="auto"/>
              <w:bottom w:val="single" w:sz="6" w:space="0" w:color="auto"/>
            </w:tcBorders>
          </w:tcPr>
          <w:p w14:paraId="5DC3879A" w14:textId="77777777" w:rsidR="00A35215" w:rsidRPr="00193CD9" w:rsidRDefault="00A35215" w:rsidP="00A97447">
            <w:pPr>
              <w:pStyle w:val="Texto"/>
              <w:spacing w:line="226" w:lineRule="exact"/>
              <w:ind w:firstLine="0"/>
              <w:rPr>
                <w:szCs w:val="18"/>
              </w:rPr>
            </w:pPr>
            <w:r w:rsidRPr="00193CD9">
              <w:rPr>
                <w:szCs w:val="18"/>
              </w:rPr>
              <w:t>Sello del comprobante inválido.</w:t>
            </w:r>
          </w:p>
        </w:tc>
        <w:tc>
          <w:tcPr>
            <w:tcW w:w="4145" w:type="dxa"/>
            <w:tcBorders>
              <w:top w:val="single" w:sz="6" w:space="0" w:color="auto"/>
              <w:bottom w:val="single" w:sz="6" w:space="0" w:color="auto"/>
            </w:tcBorders>
          </w:tcPr>
          <w:p w14:paraId="3135F5F0" w14:textId="77777777" w:rsidR="00A35215" w:rsidRPr="00193CD9" w:rsidRDefault="00A35215" w:rsidP="00A97447">
            <w:pPr>
              <w:pStyle w:val="Texto"/>
              <w:spacing w:line="226" w:lineRule="exact"/>
              <w:ind w:firstLine="0"/>
              <w:rPr>
                <w:szCs w:val="18"/>
              </w:rPr>
            </w:pPr>
            <w:r w:rsidRPr="00193CD9">
              <w:rPr>
                <w:szCs w:val="18"/>
              </w:rPr>
              <w:t xml:space="preserve">El sello del CFDI, generado por el emisor del comprobante, no cumple con la especificación de construcción establecida la documentación técnica señalada en el Anexo 20 de la Resolución </w:t>
            </w:r>
            <w:r w:rsidRPr="00193CD9">
              <w:rPr>
                <w:szCs w:val="18"/>
              </w:rPr>
              <w:lastRenderedPageBreak/>
              <w:t>Miscelánea Fiscal. Se excluye el caso del sello generado con e.firma.</w:t>
            </w:r>
          </w:p>
        </w:tc>
      </w:tr>
      <w:tr w:rsidR="00A35215" w:rsidRPr="00193CD9" w14:paraId="5FC03E7A"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7E648FD7" w14:textId="77777777" w:rsidR="00A35215" w:rsidRPr="00193CD9" w:rsidRDefault="00A35215" w:rsidP="00A97447">
            <w:pPr>
              <w:pStyle w:val="Texto"/>
              <w:spacing w:line="226" w:lineRule="exact"/>
              <w:ind w:firstLine="0"/>
              <w:rPr>
                <w:szCs w:val="18"/>
              </w:rPr>
            </w:pPr>
            <w:r w:rsidRPr="00193CD9">
              <w:rPr>
                <w:szCs w:val="18"/>
              </w:rPr>
              <w:lastRenderedPageBreak/>
              <w:t>10.</w:t>
            </w:r>
          </w:p>
        </w:tc>
        <w:tc>
          <w:tcPr>
            <w:tcW w:w="3798" w:type="dxa"/>
            <w:tcBorders>
              <w:top w:val="single" w:sz="6" w:space="0" w:color="auto"/>
              <w:bottom w:val="single" w:sz="6" w:space="0" w:color="auto"/>
            </w:tcBorders>
          </w:tcPr>
          <w:p w14:paraId="72EF37E5" w14:textId="77777777" w:rsidR="00A35215" w:rsidRPr="00193CD9" w:rsidRDefault="00A35215" w:rsidP="00A97447">
            <w:pPr>
              <w:pStyle w:val="Texto"/>
              <w:spacing w:line="226" w:lineRule="exact"/>
              <w:ind w:firstLine="0"/>
              <w:rPr>
                <w:szCs w:val="18"/>
              </w:rPr>
            </w:pPr>
            <w:r w:rsidRPr="00193CD9">
              <w:rPr>
                <w:szCs w:val="18"/>
              </w:rPr>
              <w:t>Timbre Fiscal Digital no válido.</w:t>
            </w:r>
          </w:p>
        </w:tc>
        <w:tc>
          <w:tcPr>
            <w:tcW w:w="4145" w:type="dxa"/>
            <w:tcBorders>
              <w:top w:val="single" w:sz="6" w:space="0" w:color="auto"/>
              <w:bottom w:val="single" w:sz="6" w:space="0" w:color="auto"/>
            </w:tcBorders>
          </w:tcPr>
          <w:p w14:paraId="5E4031B8" w14:textId="77777777" w:rsidR="00A35215" w:rsidRPr="00193CD9" w:rsidRDefault="00A35215" w:rsidP="00A97447">
            <w:pPr>
              <w:pStyle w:val="Texto"/>
              <w:spacing w:line="226" w:lineRule="exact"/>
              <w:ind w:firstLine="0"/>
              <w:rPr>
                <w:szCs w:val="18"/>
              </w:rPr>
            </w:pPr>
            <w:r w:rsidRPr="00193CD9">
              <w:rPr>
                <w:szCs w:val="18"/>
              </w:rPr>
              <w:t>El timbre fiscal digital del CFDI no cumple con la especificación de construcción establecida en la documentación técnica señalada en el Anexo 20 de la Resolución Miscelánea Fiscal.</w:t>
            </w:r>
          </w:p>
        </w:tc>
      </w:tr>
      <w:tr w:rsidR="00A35215" w:rsidRPr="00193CD9" w14:paraId="41118721"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6D29B7F7" w14:textId="77777777" w:rsidR="00A35215" w:rsidRPr="00193CD9" w:rsidRDefault="00A35215" w:rsidP="00A97447">
            <w:pPr>
              <w:pStyle w:val="Texto"/>
              <w:spacing w:line="226" w:lineRule="exact"/>
              <w:ind w:firstLine="0"/>
              <w:rPr>
                <w:szCs w:val="18"/>
              </w:rPr>
            </w:pPr>
            <w:r w:rsidRPr="00193CD9">
              <w:rPr>
                <w:szCs w:val="18"/>
              </w:rPr>
              <w:t>11.</w:t>
            </w:r>
          </w:p>
        </w:tc>
        <w:tc>
          <w:tcPr>
            <w:tcW w:w="3798" w:type="dxa"/>
            <w:tcBorders>
              <w:top w:val="single" w:sz="6" w:space="0" w:color="auto"/>
              <w:bottom w:val="single" w:sz="6" w:space="0" w:color="auto"/>
            </w:tcBorders>
          </w:tcPr>
          <w:p w14:paraId="74838347" w14:textId="77777777" w:rsidR="00A35215" w:rsidRPr="00193CD9" w:rsidRDefault="00A35215" w:rsidP="00A97447">
            <w:pPr>
              <w:pStyle w:val="Texto"/>
              <w:spacing w:line="226" w:lineRule="exact"/>
              <w:ind w:firstLine="0"/>
              <w:rPr>
                <w:szCs w:val="18"/>
              </w:rPr>
            </w:pPr>
            <w:r w:rsidRPr="00193CD9">
              <w:rPr>
                <w:szCs w:val="18"/>
              </w:rPr>
              <w:t>Versión del estándar no vigente.</w:t>
            </w:r>
          </w:p>
        </w:tc>
        <w:tc>
          <w:tcPr>
            <w:tcW w:w="4145" w:type="dxa"/>
            <w:tcBorders>
              <w:top w:val="single" w:sz="6" w:space="0" w:color="auto"/>
              <w:bottom w:val="single" w:sz="6" w:space="0" w:color="auto"/>
            </w:tcBorders>
          </w:tcPr>
          <w:p w14:paraId="74502111" w14:textId="77777777" w:rsidR="00A35215" w:rsidRPr="00193CD9" w:rsidRDefault="00A35215" w:rsidP="00A97447">
            <w:pPr>
              <w:pStyle w:val="Texto"/>
              <w:spacing w:line="226" w:lineRule="exact"/>
              <w:ind w:firstLine="0"/>
              <w:rPr>
                <w:szCs w:val="18"/>
              </w:rPr>
            </w:pPr>
            <w:r w:rsidRPr="00193CD9">
              <w:rPr>
                <w:szCs w:val="18"/>
              </w:rPr>
              <w:t>El archivo XML del CFDI fue generado con una versión del estándar técnico que no corresponde con la especificación de construcción establecida en la documentación técnica señalada en el Anexo 20 de la Resolución Miscelánea Fiscal.</w:t>
            </w:r>
          </w:p>
        </w:tc>
      </w:tr>
      <w:tr w:rsidR="00A35215" w:rsidRPr="00193CD9" w14:paraId="7EFE9105"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5879E3DD" w14:textId="77777777" w:rsidR="00A35215" w:rsidRPr="00193CD9" w:rsidRDefault="00A35215" w:rsidP="00A97447">
            <w:pPr>
              <w:pStyle w:val="Texto"/>
              <w:spacing w:line="226" w:lineRule="exact"/>
              <w:ind w:firstLine="0"/>
              <w:rPr>
                <w:szCs w:val="18"/>
              </w:rPr>
            </w:pPr>
            <w:r w:rsidRPr="00193CD9">
              <w:rPr>
                <w:szCs w:val="18"/>
              </w:rPr>
              <w:t>12.</w:t>
            </w:r>
          </w:p>
        </w:tc>
        <w:tc>
          <w:tcPr>
            <w:tcW w:w="3798" w:type="dxa"/>
            <w:tcBorders>
              <w:top w:val="single" w:sz="6" w:space="0" w:color="auto"/>
              <w:bottom w:val="single" w:sz="6" w:space="0" w:color="auto"/>
            </w:tcBorders>
          </w:tcPr>
          <w:p w14:paraId="57277E2F" w14:textId="77777777" w:rsidR="00A35215" w:rsidRPr="00193CD9" w:rsidRDefault="00A35215" w:rsidP="00A97447">
            <w:pPr>
              <w:pStyle w:val="Texto"/>
              <w:spacing w:line="226" w:lineRule="exact"/>
              <w:ind w:firstLine="0"/>
              <w:rPr>
                <w:szCs w:val="18"/>
              </w:rPr>
            </w:pPr>
            <w:r w:rsidRPr="00193CD9">
              <w:rPr>
                <w:szCs w:val="18"/>
              </w:rPr>
              <w:t>Uso del complemento no vigente.</w:t>
            </w:r>
          </w:p>
        </w:tc>
        <w:tc>
          <w:tcPr>
            <w:tcW w:w="4145" w:type="dxa"/>
            <w:tcBorders>
              <w:top w:val="single" w:sz="6" w:space="0" w:color="auto"/>
              <w:bottom w:val="single" w:sz="6" w:space="0" w:color="auto"/>
            </w:tcBorders>
          </w:tcPr>
          <w:p w14:paraId="2120B64E" w14:textId="77777777" w:rsidR="00A35215" w:rsidRPr="00193CD9" w:rsidRDefault="00A35215" w:rsidP="00A97447">
            <w:pPr>
              <w:pStyle w:val="Texto"/>
              <w:spacing w:line="226" w:lineRule="exact"/>
              <w:ind w:firstLine="0"/>
              <w:rPr>
                <w:szCs w:val="18"/>
              </w:rPr>
            </w:pPr>
            <w:r w:rsidRPr="00193CD9">
              <w:rPr>
                <w:szCs w:val="18"/>
              </w:rPr>
              <w:t>El archivo XML del CFDI incluye un complemento que fue generado con una versión del estándar técnico que no corresponde con la especificación de construcción establecida en la sección de complementos de la factura electrónica del Portal del SAT.</w:t>
            </w:r>
          </w:p>
        </w:tc>
      </w:tr>
      <w:tr w:rsidR="00A35215" w:rsidRPr="00193CD9" w14:paraId="06282B50"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070E5FFC" w14:textId="77777777" w:rsidR="00A35215" w:rsidRPr="00193CD9" w:rsidRDefault="00A35215" w:rsidP="00A97447">
            <w:pPr>
              <w:pStyle w:val="Texto"/>
              <w:spacing w:line="226" w:lineRule="exact"/>
              <w:ind w:firstLine="0"/>
              <w:rPr>
                <w:szCs w:val="18"/>
              </w:rPr>
            </w:pPr>
            <w:r w:rsidRPr="00193CD9">
              <w:rPr>
                <w:szCs w:val="18"/>
              </w:rPr>
              <w:t>13.</w:t>
            </w:r>
          </w:p>
        </w:tc>
        <w:tc>
          <w:tcPr>
            <w:tcW w:w="3798" w:type="dxa"/>
            <w:tcBorders>
              <w:top w:val="single" w:sz="6" w:space="0" w:color="auto"/>
              <w:bottom w:val="single" w:sz="6" w:space="0" w:color="auto"/>
            </w:tcBorders>
          </w:tcPr>
          <w:p w14:paraId="4D850111" w14:textId="77777777" w:rsidR="00A35215" w:rsidRPr="00193CD9" w:rsidRDefault="00A35215" w:rsidP="00A97447">
            <w:pPr>
              <w:pStyle w:val="Texto"/>
              <w:spacing w:line="226" w:lineRule="exact"/>
              <w:ind w:firstLine="0"/>
              <w:rPr>
                <w:szCs w:val="18"/>
              </w:rPr>
            </w:pPr>
            <w:r w:rsidRPr="00193CD9">
              <w:rPr>
                <w:szCs w:val="18"/>
              </w:rPr>
              <w:t>Uso de complemento RFS no permitido.</w:t>
            </w:r>
          </w:p>
        </w:tc>
        <w:tc>
          <w:tcPr>
            <w:tcW w:w="4145" w:type="dxa"/>
            <w:tcBorders>
              <w:top w:val="single" w:sz="6" w:space="0" w:color="auto"/>
              <w:bottom w:val="single" w:sz="6" w:space="0" w:color="auto"/>
            </w:tcBorders>
          </w:tcPr>
          <w:p w14:paraId="0286BDB3" w14:textId="77777777" w:rsidR="00A35215" w:rsidRPr="00193CD9" w:rsidRDefault="00A35215" w:rsidP="00A97447">
            <w:pPr>
              <w:pStyle w:val="Texto"/>
              <w:spacing w:line="226" w:lineRule="exact"/>
              <w:ind w:firstLine="0"/>
              <w:rPr>
                <w:szCs w:val="18"/>
              </w:rPr>
            </w:pPr>
            <w:r w:rsidRPr="00193CD9">
              <w:rPr>
                <w:szCs w:val="18"/>
              </w:rPr>
              <w:t>El archivo XML del CFDI enviado por el proveedor incluye el complemento RFS que es de uso exclusivo para el SAT, conforme con la documentación técnica señalada en el Anexo 20 de la Resolución Miscelánea Fiscal.</w:t>
            </w:r>
          </w:p>
        </w:tc>
      </w:tr>
      <w:tr w:rsidR="00A35215" w:rsidRPr="00193CD9" w14:paraId="5857FC98"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4E1240C7" w14:textId="77777777" w:rsidR="00A35215" w:rsidRPr="00193CD9" w:rsidRDefault="00A35215" w:rsidP="00A97447">
            <w:pPr>
              <w:pStyle w:val="Texto"/>
              <w:spacing w:line="226" w:lineRule="exact"/>
              <w:ind w:firstLine="0"/>
              <w:rPr>
                <w:szCs w:val="18"/>
              </w:rPr>
            </w:pPr>
            <w:r w:rsidRPr="00193CD9">
              <w:rPr>
                <w:szCs w:val="18"/>
              </w:rPr>
              <w:t>14.</w:t>
            </w:r>
          </w:p>
        </w:tc>
        <w:tc>
          <w:tcPr>
            <w:tcW w:w="3798" w:type="dxa"/>
            <w:tcBorders>
              <w:top w:val="single" w:sz="6" w:space="0" w:color="auto"/>
              <w:bottom w:val="single" w:sz="6" w:space="0" w:color="auto"/>
            </w:tcBorders>
          </w:tcPr>
          <w:p w14:paraId="2D4C0347" w14:textId="77777777" w:rsidR="00A35215" w:rsidRPr="00193CD9" w:rsidRDefault="00A35215" w:rsidP="00A97447">
            <w:pPr>
              <w:pStyle w:val="Texto"/>
              <w:spacing w:line="226" w:lineRule="exact"/>
              <w:ind w:firstLine="0"/>
              <w:rPr>
                <w:szCs w:val="18"/>
              </w:rPr>
            </w:pPr>
            <w:r w:rsidRPr="00193CD9">
              <w:rPr>
                <w:szCs w:val="18"/>
              </w:rPr>
              <w:t>Uso del certificado de e.firma no válido.</w:t>
            </w:r>
          </w:p>
        </w:tc>
        <w:tc>
          <w:tcPr>
            <w:tcW w:w="4145" w:type="dxa"/>
            <w:tcBorders>
              <w:top w:val="single" w:sz="6" w:space="0" w:color="auto"/>
              <w:bottom w:val="single" w:sz="6" w:space="0" w:color="auto"/>
            </w:tcBorders>
          </w:tcPr>
          <w:p w14:paraId="5826820C" w14:textId="77777777" w:rsidR="00A35215" w:rsidRPr="00193CD9" w:rsidRDefault="00A35215" w:rsidP="00A97447">
            <w:pPr>
              <w:pStyle w:val="Texto"/>
              <w:spacing w:line="226" w:lineRule="exact"/>
              <w:ind w:firstLine="0"/>
              <w:rPr>
                <w:szCs w:val="18"/>
              </w:rPr>
            </w:pPr>
            <w:r w:rsidRPr="00193CD9">
              <w:rPr>
                <w:szCs w:val="18"/>
              </w:rPr>
              <w:t>El archivo XML del CFDI enviado por el proveedor incluye un sello del CFDI, generado por el emisor del comprobante usando la e.firma, que no cumple con la especificación de construcción establecida la documentación técnica señalada en el Anexo 20 de la Resolución Miscelánea Fiscal.</w:t>
            </w:r>
          </w:p>
        </w:tc>
      </w:tr>
      <w:tr w:rsidR="00A35215" w:rsidRPr="00193CD9" w14:paraId="5345B62F" w14:textId="77777777" w:rsidTr="00A97447">
        <w:tblPrEx>
          <w:tblCellMar>
            <w:top w:w="0" w:type="dxa"/>
            <w:bottom w:w="0" w:type="dxa"/>
          </w:tblCellMar>
        </w:tblPrEx>
        <w:trPr>
          <w:trHeight w:val="20"/>
        </w:trPr>
        <w:tc>
          <w:tcPr>
            <w:tcW w:w="769" w:type="dxa"/>
            <w:tcBorders>
              <w:top w:val="single" w:sz="6" w:space="0" w:color="auto"/>
              <w:bottom w:val="single" w:sz="6" w:space="0" w:color="auto"/>
            </w:tcBorders>
          </w:tcPr>
          <w:p w14:paraId="4282452F" w14:textId="77777777" w:rsidR="00A35215" w:rsidRPr="00193CD9" w:rsidRDefault="00A35215" w:rsidP="00A97447">
            <w:pPr>
              <w:pStyle w:val="Texto"/>
              <w:spacing w:line="226" w:lineRule="exact"/>
              <w:ind w:firstLine="0"/>
              <w:rPr>
                <w:szCs w:val="18"/>
              </w:rPr>
            </w:pPr>
            <w:r w:rsidRPr="00193CD9">
              <w:rPr>
                <w:szCs w:val="18"/>
              </w:rPr>
              <w:t>15.</w:t>
            </w:r>
          </w:p>
        </w:tc>
        <w:tc>
          <w:tcPr>
            <w:tcW w:w="3798" w:type="dxa"/>
            <w:tcBorders>
              <w:top w:val="single" w:sz="6" w:space="0" w:color="auto"/>
              <w:bottom w:val="single" w:sz="6" w:space="0" w:color="auto"/>
            </w:tcBorders>
          </w:tcPr>
          <w:p w14:paraId="1AA5007B" w14:textId="77777777" w:rsidR="00A35215" w:rsidRPr="00193CD9" w:rsidRDefault="00A35215" w:rsidP="00A97447">
            <w:pPr>
              <w:pStyle w:val="Texto"/>
              <w:spacing w:line="226" w:lineRule="exact"/>
              <w:ind w:firstLine="0"/>
              <w:rPr>
                <w:szCs w:val="18"/>
              </w:rPr>
            </w:pPr>
            <w:r w:rsidRPr="00193CD9">
              <w:rPr>
                <w:szCs w:val="18"/>
              </w:rPr>
              <w:t>Envío extemporáneo del CFDI.</w:t>
            </w:r>
          </w:p>
        </w:tc>
        <w:tc>
          <w:tcPr>
            <w:tcW w:w="4145" w:type="dxa"/>
            <w:tcBorders>
              <w:top w:val="single" w:sz="6" w:space="0" w:color="auto"/>
              <w:bottom w:val="single" w:sz="6" w:space="0" w:color="auto"/>
            </w:tcBorders>
          </w:tcPr>
          <w:p w14:paraId="47103172" w14:textId="77777777" w:rsidR="00A35215" w:rsidRPr="00193CD9" w:rsidRDefault="00A35215" w:rsidP="00A97447">
            <w:pPr>
              <w:pStyle w:val="Texto"/>
              <w:spacing w:line="226" w:lineRule="exact"/>
              <w:ind w:firstLine="0"/>
              <w:rPr>
                <w:szCs w:val="18"/>
              </w:rPr>
            </w:pPr>
            <w:r w:rsidRPr="00193CD9">
              <w:rPr>
                <w:szCs w:val="18"/>
              </w:rPr>
              <w:t xml:space="preserve">La hora registrada en el Timbre Fiscal Digital del archivo XML del CFDI enviado por el proveedor, tiene una diferencia de más de una hora respecto del momento en que es entregado al SAT, contrario a lo señalado en el </w:t>
            </w:r>
            <w:r w:rsidRPr="00193CD9">
              <w:rPr>
                <w:i/>
                <w:szCs w:val="18"/>
              </w:rPr>
              <w:t>"manual de operación en ambiente productivo"</w:t>
            </w:r>
            <w:r w:rsidRPr="00193CD9">
              <w:rPr>
                <w:szCs w:val="18"/>
              </w:rPr>
              <w:t>.</w:t>
            </w:r>
          </w:p>
        </w:tc>
      </w:tr>
    </w:tbl>
    <w:p w14:paraId="346B05C3" w14:textId="77777777" w:rsidR="00A35215" w:rsidRDefault="00A35215" w:rsidP="00A35215">
      <w:pPr>
        <w:pStyle w:val="Texto"/>
        <w:spacing w:line="226" w:lineRule="exact"/>
        <w:rPr>
          <w:szCs w:val="18"/>
        </w:rPr>
      </w:pPr>
    </w:p>
    <w:p w14:paraId="08C8D7C5" w14:textId="77777777" w:rsidR="00A35215" w:rsidRPr="00193CD9" w:rsidRDefault="00A35215" w:rsidP="00A35215">
      <w:pPr>
        <w:pStyle w:val="Texto"/>
        <w:spacing w:line="226" w:lineRule="exact"/>
        <w:rPr>
          <w:szCs w:val="18"/>
        </w:rPr>
      </w:pPr>
      <w:r w:rsidRPr="00193CD9">
        <w:rPr>
          <w:szCs w:val="18"/>
        </w:rPr>
        <w:t>Atentamente,</w:t>
      </w:r>
    </w:p>
    <w:p w14:paraId="1C0A5073" w14:textId="77777777" w:rsidR="00A35215" w:rsidRDefault="00A35215" w:rsidP="00A35215">
      <w:pPr>
        <w:pStyle w:val="Texto"/>
        <w:spacing w:line="226" w:lineRule="exact"/>
        <w:rPr>
          <w:szCs w:val="18"/>
        </w:rPr>
      </w:pPr>
      <w:r w:rsidRPr="00193CD9">
        <w:rPr>
          <w:szCs w:val="18"/>
        </w:rPr>
        <w:t>Ciudad de México, 15 de diciembre de 2017.</w:t>
      </w:r>
      <w:r>
        <w:rPr>
          <w:szCs w:val="18"/>
        </w:rPr>
        <w:t xml:space="preserve">- </w:t>
      </w:r>
      <w:r w:rsidRPr="00193CD9">
        <w:rPr>
          <w:szCs w:val="18"/>
        </w:rPr>
        <w:t>En suplencia por ausencia del Jefe del Servicio de Administración Tributaria, con fundamento en el artículo 4, primer párrafo del Reglamento Interior del Servicio de Administración Tributaria vigente, firma el Administrador General Jurídico,</w:t>
      </w:r>
      <w:r>
        <w:rPr>
          <w:szCs w:val="18"/>
        </w:rPr>
        <w:t xml:space="preserve"> </w:t>
      </w:r>
      <w:r w:rsidRPr="004A3C00">
        <w:rPr>
          <w:b/>
          <w:szCs w:val="18"/>
        </w:rPr>
        <w:t>Jaime Eusebio Flores Carrasco</w:t>
      </w:r>
      <w:r>
        <w:rPr>
          <w:szCs w:val="18"/>
        </w:rPr>
        <w:t>.- Rúbrica.</w:t>
      </w:r>
    </w:p>
    <w:p w14:paraId="52BD01E0" w14:textId="77777777" w:rsidR="00041D3C" w:rsidRDefault="00041D3C"/>
    <w:sectPr w:rsidR="00041D3C" w:rsidSect="00BE5937">
      <w:headerReference w:type="even" r:id="rId6"/>
      <w:headerReference w:type="default" r:id="rId7"/>
      <w:pgSz w:w="12240" w:h="15840"/>
      <w:pgMar w:top="1152" w:right="1699" w:bottom="1296" w:left="1699" w:header="706" w:footer="706"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5B58" w14:textId="77777777" w:rsidR="008D4E8C" w:rsidRDefault="008D4E8C" w:rsidP="00A35215">
      <w:pPr>
        <w:spacing w:after="0" w:line="240" w:lineRule="auto"/>
      </w:pPr>
      <w:r>
        <w:separator/>
      </w:r>
    </w:p>
  </w:endnote>
  <w:endnote w:type="continuationSeparator" w:id="0">
    <w:p w14:paraId="24B217B9" w14:textId="77777777" w:rsidR="008D4E8C" w:rsidRDefault="008D4E8C" w:rsidP="00A3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7FC4F" w14:textId="77777777" w:rsidR="008D4E8C" w:rsidRDefault="008D4E8C" w:rsidP="00A35215">
      <w:pPr>
        <w:spacing w:after="0" w:line="240" w:lineRule="auto"/>
      </w:pPr>
      <w:r>
        <w:separator/>
      </w:r>
    </w:p>
  </w:footnote>
  <w:footnote w:type="continuationSeparator" w:id="0">
    <w:p w14:paraId="2ABFC6FB" w14:textId="77777777" w:rsidR="008D4E8C" w:rsidRDefault="008D4E8C" w:rsidP="00A352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5ECA" w14:textId="77777777" w:rsidR="00AA0F5A" w:rsidRPr="00B828B7" w:rsidRDefault="008D4E8C">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rFonts w:ascii="Times New Roman" w:hAnsi="Times New Roman"/>
        <w:sz w:val="18"/>
        <w:szCs w:val="18"/>
      </w:rPr>
    </w:pPr>
    <w:r w:rsidRPr="00B828B7">
      <w:rPr>
        <w:rFonts w:ascii="Times New Roman" w:hAnsi="Times New Roman"/>
        <w:sz w:val="18"/>
        <w:szCs w:val="18"/>
      </w:rPr>
      <w:fldChar w:fldCharType="begin"/>
    </w:r>
    <w:r w:rsidRPr="00B828B7">
      <w:rPr>
        <w:rFonts w:ascii="Times New Roman" w:hAnsi="Times New Roman"/>
        <w:sz w:val="18"/>
        <w:szCs w:val="18"/>
      </w:rPr>
      <w:instrText xml:space="preserve"> PAGE  \* MERGEFORMAT </w:instrText>
    </w:r>
    <w:r w:rsidRPr="00B828B7">
      <w:rPr>
        <w:rFonts w:ascii="Times New Roman" w:hAnsi="Times New Roman"/>
        <w:sz w:val="18"/>
        <w:szCs w:val="18"/>
      </w:rPr>
      <w:fldChar w:fldCharType="separate"/>
    </w:r>
    <w:r>
      <w:rPr>
        <w:rFonts w:ascii="Times New Roman" w:hAnsi="Times New Roman"/>
        <w:noProof/>
        <w:sz w:val="18"/>
        <w:szCs w:val="18"/>
      </w:rPr>
      <w:t>128</w:t>
    </w:r>
    <w:r w:rsidRPr="00B828B7">
      <w:rPr>
        <w:rFonts w:ascii="Times New Roman" w:hAnsi="Times New Roman"/>
        <w:sz w:val="18"/>
        <w:szCs w:val="18"/>
      </w:rPr>
      <w:fldChar w:fldCharType="end"/>
    </w:r>
    <w:r w:rsidRPr="00B828B7">
      <w:rPr>
        <w:rFonts w:ascii="Times New Roman" w:hAnsi="Times New Roman"/>
        <w:sz w:val="18"/>
        <w:szCs w:val="18"/>
      </w:rPr>
      <w:t xml:space="preserve">     (Sexta S</w:t>
    </w:r>
    <w:r w:rsidRPr="00B828B7">
      <w:rPr>
        <w:rFonts w:ascii="Times New Roman" w:hAnsi="Times New Roman"/>
        <w:sz w:val="18"/>
        <w:szCs w:val="18"/>
      </w:rPr>
      <w:t>ección)</w:t>
    </w:r>
    <w:r w:rsidRPr="00B828B7">
      <w:rPr>
        <w:rFonts w:ascii="Times New Roman" w:hAnsi="Times New Roman"/>
        <w:sz w:val="18"/>
        <w:szCs w:val="18"/>
      </w:rPr>
      <w:fldChar w:fldCharType="begin"/>
    </w:r>
    <w:r w:rsidRPr="00B828B7">
      <w:rPr>
        <w:rFonts w:ascii="Times New Roman" w:hAnsi="Times New Roman"/>
        <w:sz w:val="18"/>
        <w:szCs w:val="18"/>
      </w:rPr>
      <w:instrText xml:space="preserve"> DocVariable dvFecha </w:instrText>
    </w:r>
    <w:r w:rsidRPr="00B828B7">
      <w:rPr>
        <w:rFonts w:ascii="Times New Roman" w:hAnsi="Times New Roman"/>
        <w:sz w:val="18"/>
        <w:szCs w:val="18"/>
      </w:rPr>
      <w:fldChar w:fldCharType="end"/>
    </w:r>
    <w:r w:rsidRPr="00B828B7">
      <w:rPr>
        <w:rFonts w:ascii="Times New Roman" w:hAnsi="Times New Roman"/>
        <w:sz w:val="18"/>
        <w:szCs w:val="18"/>
      </w:rPr>
      <w:tab/>
      <w:t>DIARIO OFICIAL</w:t>
    </w:r>
    <w:r w:rsidRPr="00B828B7">
      <w:rPr>
        <w:rFonts w:ascii="Times New Roman" w:hAnsi="Times New Roman"/>
        <w:sz w:val="18"/>
        <w:szCs w:val="18"/>
      </w:rPr>
      <w:tab/>
      <w:t>Viernes 29 de diciembre de 2017</w:t>
    </w:r>
    <w:r w:rsidRPr="00B828B7">
      <w:rPr>
        <w:rFonts w:ascii="Times New Roman" w:hAnsi="Times New Roman"/>
        <w:sz w:val="18"/>
        <w:szCs w:val="18"/>
      </w:rPr>
      <w:fldChar w:fldCharType="begin"/>
    </w:r>
    <w:r w:rsidRPr="00B828B7">
      <w:rPr>
        <w:rFonts w:ascii="Times New Roman" w:hAnsi="Times New Roman"/>
        <w:sz w:val="18"/>
        <w:szCs w:val="18"/>
      </w:rPr>
      <w:instrText xml:space="preserve"> DocVariable dvSeccion </w:instrText>
    </w:r>
    <w:r w:rsidRPr="00B828B7">
      <w:rPr>
        <w:rFonts w:ascii="Times New Roman" w:hAnsi="Times New Roman"/>
        <w:sz w:val="18"/>
        <w:szCs w:val="18"/>
      </w:rPr>
      <w:fldChar w:fldCharType="end"/>
    </w:r>
  </w:p>
  <w:p w14:paraId="471030EB" w14:textId="77777777" w:rsidR="00AA0F5A" w:rsidRPr="00B828B7" w:rsidRDefault="008D4E8C" w:rsidP="00B828B7">
    <w:pPr>
      <w:pStyle w:val="Fechas"/>
    </w:pPr>
    <w:r>
      <w:t xml:space="preserve">     (Sexta Sección)</w:t>
    </w:r>
    <w:r>
      <w:tab/>
      <w:t>DIARIO OFICIAL</w:t>
    </w:r>
    <w:r>
      <w:tab/>
      <w:t>Viernes 29 de diciembre de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E342" w14:textId="77777777" w:rsidR="00AA0F5A" w:rsidRPr="00B828B7" w:rsidRDefault="00A35215" w:rsidP="00B828B7">
    <w:pPr>
      <w:pStyle w:val="Fechas"/>
    </w:pPr>
    <w:hyperlink r:id="rId1" w:history="1">
      <w:r w:rsidRPr="00296C61">
        <w:rPr>
          <w:rStyle w:val="Hipervnculo"/>
        </w:rPr>
        <w:t>www.amcp.mx</w:t>
      </w:r>
    </w:hyperlink>
    <w:r>
      <w:t xml:space="preserve"> </w:t>
    </w:r>
    <w:r w:rsidR="008D4E8C">
      <w:t>Viernes 29 de diciembre de 2017</w:t>
    </w:r>
    <w:r w:rsidR="008D4E8C" w:rsidRPr="00B828B7">
      <w:tab/>
    </w:r>
    <w:r w:rsidR="008D4E8C">
      <w:t>DIARIO OFICIAL</w:t>
    </w:r>
    <w:r w:rsidR="008D4E8C" w:rsidRPr="00B828B7">
      <w:tab/>
    </w:r>
    <w:r w:rsidR="008D4E8C">
      <w:t xml:space="preserve">(Sexta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15"/>
    <w:rsid w:val="00041D3C"/>
    <w:rsid w:val="003226FB"/>
    <w:rsid w:val="008D4E8C"/>
    <w:rsid w:val="00A352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C4DB0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15"/>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5215"/>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A3521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A35215"/>
    <w:pPr>
      <w:spacing w:before="101" w:after="101" w:line="216" w:lineRule="atLeast"/>
      <w:jc w:val="center"/>
    </w:pPr>
    <w:rPr>
      <w:b/>
      <w:sz w:val="18"/>
      <w:szCs w:val="20"/>
      <w:lang w:val="es-ES_tradnl"/>
    </w:rPr>
  </w:style>
  <w:style w:type="paragraph" w:styleId="Encabezado">
    <w:name w:val="header"/>
    <w:basedOn w:val="Normal"/>
    <w:link w:val="EncabezadoCar"/>
    <w:rsid w:val="00A35215"/>
    <w:pPr>
      <w:tabs>
        <w:tab w:val="center" w:pos="4419"/>
        <w:tab w:val="right" w:pos="8838"/>
      </w:tabs>
    </w:pPr>
  </w:style>
  <w:style w:type="character" w:customStyle="1" w:styleId="EncabezadoCar">
    <w:name w:val="Encabezado Car"/>
    <w:basedOn w:val="Fuentedeprrafopredeter"/>
    <w:link w:val="Encabezado"/>
    <w:rsid w:val="00A35215"/>
    <w:rPr>
      <w:rFonts w:ascii="Calibri" w:eastAsia="Calibri" w:hAnsi="Calibri" w:cs="Times New Roman"/>
      <w:sz w:val="22"/>
      <w:szCs w:val="22"/>
      <w:lang w:val="es-MX"/>
    </w:rPr>
  </w:style>
  <w:style w:type="character" w:customStyle="1" w:styleId="TextoCar">
    <w:name w:val="Texto Car"/>
    <w:link w:val="Texto"/>
    <w:locked/>
    <w:rsid w:val="00A35215"/>
    <w:rPr>
      <w:rFonts w:ascii="Arial" w:eastAsia="Calibri" w:hAnsi="Arial" w:cs="Arial"/>
      <w:sz w:val="18"/>
      <w:szCs w:val="20"/>
      <w:lang w:val="es-MX"/>
    </w:rPr>
  </w:style>
  <w:style w:type="character" w:customStyle="1" w:styleId="ANOTACIONCar">
    <w:name w:val="ANOTACION Car"/>
    <w:link w:val="ANOTACION"/>
    <w:locked/>
    <w:rsid w:val="00A35215"/>
    <w:rPr>
      <w:rFonts w:ascii="Calibri" w:eastAsia="Calibri" w:hAnsi="Calibri" w:cs="Times New Roman"/>
      <w:b/>
      <w:sz w:val="18"/>
      <w:szCs w:val="20"/>
    </w:rPr>
  </w:style>
  <w:style w:type="paragraph" w:styleId="Piedepgina">
    <w:name w:val="footer"/>
    <w:basedOn w:val="Normal"/>
    <w:link w:val="PiedepginaCar"/>
    <w:uiPriority w:val="99"/>
    <w:unhideWhenUsed/>
    <w:rsid w:val="00A352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215"/>
    <w:rPr>
      <w:rFonts w:ascii="Calibri" w:eastAsia="Calibri" w:hAnsi="Calibri" w:cs="Times New Roman"/>
      <w:sz w:val="22"/>
      <w:szCs w:val="22"/>
      <w:lang w:val="es-MX"/>
    </w:rPr>
  </w:style>
  <w:style w:type="character" w:styleId="Hipervnculo">
    <w:name w:val="Hyperlink"/>
    <w:basedOn w:val="Fuentedeprrafopredeter"/>
    <w:uiPriority w:val="99"/>
    <w:unhideWhenUsed/>
    <w:rsid w:val="00A35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3931</Characters>
  <Application>Microsoft Macintosh Word</Application>
  <DocSecurity>0</DocSecurity>
  <Lines>32</Lines>
  <Paragraphs>9</Paragraphs>
  <ScaleCrop>false</ScaleCrop>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2018-01-02T15:21:00Z</dcterms:created>
  <dcterms:modified xsi:type="dcterms:W3CDTF">2018-01-02T15:23:00Z</dcterms:modified>
</cp:coreProperties>
</file>