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A23F29" w:rsidRPr="00A746F1" w:rsidTr="00D9759B">
        <w:trPr>
          <w:trHeight w:val="20"/>
        </w:trPr>
        <w:tc>
          <w:tcPr>
            <w:tcW w:w="8982" w:type="dxa"/>
            <w:shd w:val="clear" w:color="auto" w:fill="auto"/>
            <w:noWrap/>
          </w:tcPr>
          <w:p w:rsidR="00A23F29" w:rsidRPr="00A746F1" w:rsidRDefault="00A23F29" w:rsidP="00D9759B">
            <w:pPr>
              <w:pStyle w:val="Texto"/>
              <w:spacing w:line="230" w:lineRule="exact"/>
              <w:ind w:left="144" w:firstLine="0"/>
              <w:rPr>
                <w:b/>
                <w:lang w:val="es-MX"/>
              </w:rPr>
            </w:pPr>
            <w:r w:rsidRPr="00A746F1">
              <w:rPr>
                <w:b/>
                <w:lang w:val="es-MX"/>
              </w:rPr>
              <w:t>9. SOLICITUD DE MODIFICACIÓN DE PENSIÓN POR FINIQUITO POR CONTRAER NUEVAS NUPCIAS</w:t>
            </w:r>
          </w:p>
        </w:tc>
      </w:tr>
    </w:tbl>
    <w:p w:rsidR="00A23F29" w:rsidRPr="00A746F1" w:rsidRDefault="00A23F29" w:rsidP="00A23F29">
      <w:pPr>
        <w:pStyle w:val="Texto"/>
        <w:spacing w:line="230" w:lineRule="exact"/>
        <w:rPr>
          <w:b/>
          <w:lang w:val="es-MX"/>
        </w:rPr>
      </w:pPr>
      <w:r w:rsidRPr="00A746F1">
        <w:rPr>
          <w:b/>
          <w:lang w:val="es-MX"/>
        </w:rPr>
        <w:t>Plazo máximo de la resolución del trámite:</w:t>
      </w:r>
    </w:p>
    <w:p w:rsidR="00A23F29" w:rsidRPr="00A746F1" w:rsidRDefault="00A23F29" w:rsidP="00A23F29">
      <w:pPr>
        <w:pStyle w:val="Texto"/>
        <w:numPr>
          <w:ilvl w:val="2"/>
          <w:numId w:val="1"/>
        </w:numPr>
        <w:spacing w:line="230" w:lineRule="exact"/>
        <w:ind w:left="648"/>
        <w:rPr>
          <w:lang w:val="es-MX"/>
        </w:rPr>
      </w:pPr>
      <w:r w:rsidRPr="00A746F1">
        <w:rPr>
          <w:lang w:val="es-MX"/>
        </w:rPr>
        <w:t>12</w:t>
      </w:r>
      <w:bookmarkStart w:id="0" w:name="_GoBack"/>
      <w:bookmarkEnd w:id="0"/>
      <w:r w:rsidRPr="00A746F1">
        <w:rPr>
          <w:lang w:val="es-MX"/>
        </w:rPr>
        <w:t xml:space="preserve"> días hábiles.</w:t>
      </w:r>
    </w:p>
    <w:p w:rsidR="00A23F29" w:rsidRPr="00A746F1" w:rsidRDefault="00A23F29" w:rsidP="00A23F29">
      <w:pPr>
        <w:pStyle w:val="Texto"/>
        <w:spacing w:line="230"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A23F29" w:rsidRPr="00A746F1" w:rsidRDefault="00A23F29" w:rsidP="00A23F29">
      <w:pPr>
        <w:pStyle w:val="Texto"/>
        <w:spacing w:line="230"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A23F29" w:rsidRPr="00A746F1" w:rsidRDefault="00A23F29" w:rsidP="00A23F29">
      <w:pPr>
        <w:pStyle w:val="Texto"/>
        <w:spacing w:line="230"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A23F29" w:rsidRPr="00A746F1" w:rsidRDefault="00A23F29" w:rsidP="00A23F29">
      <w:pPr>
        <w:pStyle w:val="Texto"/>
        <w:spacing w:line="230" w:lineRule="exact"/>
        <w:rPr>
          <w:b/>
          <w:lang w:val="es-MX"/>
        </w:rPr>
      </w:pPr>
      <w:r w:rsidRPr="00A746F1">
        <w:rPr>
          <w:b/>
          <w:lang w:val="es-MX"/>
        </w:rPr>
        <w:t>Plazo de prevención:</w:t>
      </w:r>
    </w:p>
    <w:p w:rsidR="00A23F29" w:rsidRPr="00A746F1" w:rsidRDefault="00A23F29" w:rsidP="00A23F29">
      <w:pPr>
        <w:pStyle w:val="Texto"/>
        <w:numPr>
          <w:ilvl w:val="2"/>
          <w:numId w:val="1"/>
        </w:numPr>
        <w:spacing w:line="230" w:lineRule="exact"/>
        <w:ind w:left="648"/>
        <w:rPr>
          <w:lang w:val="es-MX"/>
        </w:rPr>
      </w:pPr>
      <w:r w:rsidRPr="00A746F1">
        <w:rPr>
          <w:lang w:val="es-MX"/>
        </w:rPr>
        <w:t>08 días hábiles.</w:t>
      </w:r>
    </w:p>
    <w:p w:rsidR="00A23F29" w:rsidRPr="00A746F1" w:rsidRDefault="00A23F29" w:rsidP="00A23F29">
      <w:pPr>
        <w:pStyle w:val="Texto"/>
        <w:spacing w:line="230" w:lineRule="exact"/>
        <w:rPr>
          <w:b/>
          <w:lang w:val="es-MX"/>
        </w:rPr>
      </w:pPr>
      <w:r w:rsidRPr="00A746F1">
        <w:rPr>
          <w:b/>
          <w:lang w:val="es-MX"/>
        </w:rPr>
        <w:t>Vigencia de la resolución:</w:t>
      </w:r>
    </w:p>
    <w:p w:rsidR="00A23F29" w:rsidRPr="00A746F1" w:rsidRDefault="00A23F29" w:rsidP="00A23F29">
      <w:pPr>
        <w:pStyle w:val="Texto"/>
        <w:numPr>
          <w:ilvl w:val="2"/>
          <w:numId w:val="1"/>
        </w:numPr>
        <w:spacing w:line="230" w:lineRule="exact"/>
        <w:ind w:left="648"/>
        <w:rPr>
          <w:lang w:val="es-MX"/>
        </w:rPr>
      </w:pPr>
      <w:r w:rsidRPr="00A746F1">
        <w:rPr>
          <w:lang w:val="es-MX"/>
        </w:rPr>
        <w:t>Permanente, en tanto existan las condiciones que dieron origen al trámite.</w:t>
      </w:r>
    </w:p>
    <w:p w:rsidR="00A23F29" w:rsidRPr="00A746F1" w:rsidRDefault="00A23F29" w:rsidP="00A23F29">
      <w:pPr>
        <w:pStyle w:val="Texto"/>
        <w:spacing w:line="230" w:lineRule="exact"/>
        <w:rPr>
          <w:b/>
          <w:lang w:val="es-MX"/>
        </w:rPr>
      </w:pPr>
      <w:r w:rsidRPr="00A746F1">
        <w:rPr>
          <w:b/>
          <w:lang w:val="es-MX"/>
        </w:rPr>
        <w:t>Datos:</w:t>
      </w:r>
    </w:p>
    <w:p w:rsidR="00A23F29" w:rsidRPr="00A746F1" w:rsidRDefault="00A23F29" w:rsidP="00A23F29">
      <w:pPr>
        <w:pStyle w:val="Texto"/>
        <w:spacing w:line="230" w:lineRule="exact"/>
        <w:rPr>
          <w:lang w:val="es-MX"/>
        </w:rPr>
      </w:pPr>
      <w:r w:rsidRPr="00A746F1">
        <w:rPr>
          <w:lang w:val="es-MX"/>
        </w:rPr>
        <w:t>Los identificados con los numerales: 5, 6, 7, 8, 9, 10, 11, 12, 13, 14, 15, 20, 21, 22, 23, 24, 25, 27, y 46. Adicionalmente, en su caso 16, 17, 18, 19, 38, 39, 41, 42, 43, 44 y 45 del formato denominado “Solicitud de modificación de pensión”.</w:t>
      </w:r>
    </w:p>
    <w:p w:rsidR="00A23F29" w:rsidRPr="00A746F1" w:rsidRDefault="00A23F29" w:rsidP="00A23F29">
      <w:pPr>
        <w:pStyle w:val="Texto"/>
        <w:spacing w:line="230" w:lineRule="exact"/>
        <w:rPr>
          <w:b/>
          <w:lang w:val="es-MX"/>
        </w:rPr>
      </w:pPr>
      <w:r w:rsidRPr="00A746F1">
        <w:rPr>
          <w:b/>
          <w:lang w:val="es-MX"/>
        </w:rPr>
        <w:t>Documentos</w:t>
      </w:r>
    </w:p>
    <w:p w:rsidR="00A23F29" w:rsidRPr="00A746F1" w:rsidRDefault="00A23F29" w:rsidP="00A23F29">
      <w:pPr>
        <w:pStyle w:val="Texto"/>
        <w:spacing w:line="230" w:lineRule="exact"/>
        <w:rPr>
          <w:lang w:val="es-MX"/>
        </w:rPr>
      </w:pPr>
      <w:r w:rsidRPr="00A746F1">
        <w:rPr>
          <w:lang w:val="es-MX"/>
        </w:rPr>
        <w:t>Los identificados con los numerales del apartado “Lista de documentos a presentar en los trámites”:</w:t>
      </w:r>
    </w:p>
    <w:p w:rsidR="00A23F29" w:rsidRPr="00A746F1" w:rsidRDefault="00A23F29" w:rsidP="00A23F29">
      <w:pPr>
        <w:pStyle w:val="Texto"/>
        <w:numPr>
          <w:ilvl w:val="2"/>
          <w:numId w:val="1"/>
        </w:numPr>
        <w:spacing w:line="230" w:lineRule="exact"/>
        <w:ind w:left="648"/>
        <w:rPr>
          <w:lang w:val="es-MX"/>
        </w:rPr>
      </w:pPr>
      <w:r w:rsidRPr="00A746F1">
        <w:rPr>
          <w:b/>
          <w:lang w:val="es-MX"/>
        </w:rPr>
        <w:t>Del pensionado:</w:t>
      </w:r>
      <w:r w:rsidRPr="00A746F1">
        <w:rPr>
          <w:lang w:val="es-MX"/>
        </w:rPr>
        <w:t xml:space="preserve"> 1 y 2, así como 15, tratándose de pensionada viuda o concubina bajo el Régimen de pensión en la Ley del Seguro Social 1973 y pensionado(a) viudo(a) esposa(o) o </w:t>
      </w:r>
      <w:proofErr w:type="gramStart"/>
      <w:r w:rsidRPr="00A746F1">
        <w:rPr>
          <w:lang w:val="es-MX"/>
        </w:rPr>
        <w:t>concubina(</w:t>
      </w:r>
      <w:proofErr w:type="gramEnd"/>
      <w:r w:rsidRPr="00A746F1">
        <w:rPr>
          <w:lang w:val="es-MX"/>
        </w:rPr>
        <w:t>rio) bajo el Régimen de pensión en la Ley del Seguro Social de 1997.</w:t>
      </w:r>
    </w:p>
    <w:p w:rsidR="00A23F29" w:rsidRPr="00A746F1" w:rsidRDefault="00A23F29" w:rsidP="00A23F29">
      <w:pPr>
        <w:pStyle w:val="Texto"/>
        <w:spacing w:line="230" w:lineRule="exact"/>
        <w:rPr>
          <w:lang w:val="es-MX"/>
        </w:rPr>
      </w:pPr>
      <w:r w:rsidRPr="00A746F1">
        <w:rPr>
          <w:lang w:val="es-MX"/>
        </w:rPr>
        <w:t>Para pensiones de elección del Régimen de la Ley del Seguro Social de 1997, el finiquito será pagado por la compañía aseguradora con la que el pensionado haya contratado.</w:t>
      </w:r>
    </w:p>
    <w:p w:rsidR="004211FC" w:rsidRPr="00A23F29" w:rsidRDefault="004211FC">
      <w:pPr>
        <w:rPr>
          <w:lang w:val="es-MX"/>
        </w:rPr>
      </w:pPr>
    </w:p>
    <w:sectPr w:rsidR="004211FC" w:rsidRPr="00A23F29" w:rsidSect="00A23F29">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FD" w:rsidRDefault="00630CFD" w:rsidP="00A23F29">
      <w:r>
        <w:separator/>
      </w:r>
    </w:p>
  </w:endnote>
  <w:endnote w:type="continuationSeparator" w:id="0">
    <w:p w:rsidR="00630CFD" w:rsidRDefault="00630CFD" w:rsidP="00A2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FD" w:rsidRDefault="00630CFD" w:rsidP="00A23F29">
      <w:r>
        <w:separator/>
      </w:r>
    </w:p>
  </w:footnote>
  <w:footnote w:type="continuationSeparator" w:id="0">
    <w:p w:rsidR="00630CFD" w:rsidRDefault="00630CFD" w:rsidP="00A2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29" w:rsidRPr="00610094" w:rsidRDefault="00A23F29" w:rsidP="00A23F29">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A23F29" w:rsidRDefault="00A23F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2B16"/>
    <w:multiLevelType w:val="hybridMultilevel"/>
    <w:tmpl w:val="2200D3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29"/>
    <w:rsid w:val="004211FC"/>
    <w:rsid w:val="00630CFD"/>
    <w:rsid w:val="00A23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8F74-0BD3-4E34-A763-C2E4D1F4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23F29"/>
    <w:pPr>
      <w:spacing w:after="101" w:line="216" w:lineRule="exact"/>
      <w:ind w:firstLine="288"/>
      <w:jc w:val="both"/>
    </w:pPr>
    <w:rPr>
      <w:rFonts w:ascii="Arial" w:hAnsi="Arial" w:cs="Arial"/>
      <w:sz w:val="18"/>
      <w:szCs w:val="20"/>
    </w:rPr>
  </w:style>
  <w:style w:type="character" w:customStyle="1" w:styleId="TextoCar">
    <w:name w:val="Texto Car"/>
    <w:link w:val="Texto"/>
    <w:locked/>
    <w:rsid w:val="00A23F29"/>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A23F29"/>
    <w:pPr>
      <w:tabs>
        <w:tab w:val="center" w:pos="4419"/>
        <w:tab w:val="right" w:pos="8838"/>
      </w:tabs>
    </w:pPr>
  </w:style>
  <w:style w:type="character" w:customStyle="1" w:styleId="EncabezadoCar">
    <w:name w:val="Encabezado Car"/>
    <w:basedOn w:val="Fuentedeprrafopredeter"/>
    <w:link w:val="Encabezado"/>
    <w:uiPriority w:val="99"/>
    <w:rsid w:val="00A23F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3F29"/>
    <w:pPr>
      <w:tabs>
        <w:tab w:val="center" w:pos="4419"/>
        <w:tab w:val="right" w:pos="8838"/>
      </w:tabs>
    </w:pPr>
  </w:style>
  <w:style w:type="character" w:customStyle="1" w:styleId="PiedepginaCar">
    <w:name w:val="Pie de página Car"/>
    <w:basedOn w:val="Fuentedeprrafopredeter"/>
    <w:link w:val="Piedepgina"/>
    <w:uiPriority w:val="99"/>
    <w:rsid w:val="00A23F29"/>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A23F29"/>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2018-04-03T20:46:00Z</dcterms:created>
  <dcterms:modified xsi:type="dcterms:W3CDTF">2018-04-03T20:48:00Z</dcterms:modified>
</cp:coreProperties>
</file>