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A7149C" w:rsidRPr="00A746F1" w:rsidTr="00D9759B">
        <w:trPr>
          <w:trHeight w:val="20"/>
        </w:trPr>
        <w:tc>
          <w:tcPr>
            <w:tcW w:w="8982" w:type="dxa"/>
            <w:shd w:val="clear" w:color="auto" w:fill="auto"/>
            <w:noWrap/>
          </w:tcPr>
          <w:p w:rsidR="00A7149C" w:rsidRPr="00A746F1" w:rsidRDefault="00A7149C" w:rsidP="00D9759B">
            <w:pPr>
              <w:pStyle w:val="Texto"/>
              <w:spacing w:line="228" w:lineRule="exact"/>
              <w:ind w:left="144" w:firstLine="0"/>
              <w:rPr>
                <w:b/>
                <w:lang w:val="es-MX"/>
              </w:rPr>
            </w:pPr>
            <w:r w:rsidRPr="00A746F1">
              <w:rPr>
                <w:b/>
                <w:lang w:val="es-MX"/>
              </w:rPr>
              <w:t>10. SOLICITUD DE MODIFICACIÓN DE PENSIÓN POR HECHOS QUE INCIDEN EN EL CÁLCULO O EN EL MONTO DEL PAGO DE LA MISMA Y POR CAMBIO DE CUENTA BANCARIA.</w:t>
            </w:r>
          </w:p>
        </w:tc>
      </w:tr>
    </w:tbl>
    <w:p w:rsidR="00A7149C" w:rsidRPr="00A746F1" w:rsidRDefault="00A7149C" w:rsidP="00A7149C">
      <w:pPr>
        <w:pStyle w:val="Texto"/>
        <w:spacing w:line="228" w:lineRule="exact"/>
        <w:rPr>
          <w:b/>
          <w:lang w:val="es-MX"/>
        </w:rPr>
      </w:pPr>
      <w:r w:rsidRPr="00A746F1">
        <w:rPr>
          <w:b/>
          <w:lang w:val="es-MX"/>
        </w:rPr>
        <w:t>Plazo máximo de la resolución del trámite:</w:t>
      </w:r>
    </w:p>
    <w:p w:rsidR="00A7149C" w:rsidRPr="00A746F1" w:rsidRDefault="00A7149C" w:rsidP="00A7149C">
      <w:pPr>
        <w:pStyle w:val="Texto"/>
        <w:numPr>
          <w:ilvl w:val="2"/>
          <w:numId w:val="1"/>
        </w:numPr>
        <w:spacing w:line="228" w:lineRule="exact"/>
        <w:ind w:left="648"/>
        <w:rPr>
          <w:lang w:val="es-MX"/>
        </w:rPr>
      </w:pPr>
      <w:r w:rsidRPr="00A746F1">
        <w:rPr>
          <w:lang w:val="es-MX"/>
        </w:rPr>
        <w:t>22 días hábiles, tratándose de elección del régimen de pensión previsto en la Ley del Seguro Social de 197</w:t>
      </w:r>
      <w:bookmarkStart w:id="0" w:name="_GoBack"/>
      <w:bookmarkEnd w:id="0"/>
      <w:r w:rsidRPr="00A746F1">
        <w:rPr>
          <w:lang w:val="es-MX"/>
        </w:rPr>
        <w:t>3.</w:t>
      </w:r>
    </w:p>
    <w:p w:rsidR="00A7149C" w:rsidRPr="00A746F1" w:rsidRDefault="00A7149C" w:rsidP="00A7149C">
      <w:pPr>
        <w:pStyle w:val="Texto"/>
        <w:numPr>
          <w:ilvl w:val="2"/>
          <w:numId w:val="1"/>
        </w:numPr>
        <w:spacing w:line="228" w:lineRule="exact"/>
        <w:ind w:left="648"/>
        <w:rPr>
          <w:lang w:val="es-MX"/>
        </w:rPr>
      </w:pPr>
      <w:r w:rsidRPr="00A746F1">
        <w:rPr>
          <w:lang w:val="es-MX"/>
        </w:rPr>
        <w:t>45 días hábiles, tratándose de elección del régimen de pensión previsto en la Ley del Seguro Social de 1997. La resolución se entregará en día hábil.</w:t>
      </w:r>
    </w:p>
    <w:p w:rsidR="00A7149C" w:rsidRPr="00A746F1" w:rsidRDefault="00A7149C" w:rsidP="00A7149C">
      <w:pPr>
        <w:pStyle w:val="Texto"/>
        <w:spacing w:line="228"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A7149C" w:rsidRPr="00A746F1" w:rsidRDefault="00A7149C" w:rsidP="00A7149C">
      <w:pPr>
        <w:pStyle w:val="Texto"/>
        <w:spacing w:line="228"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A7149C" w:rsidRPr="00A746F1" w:rsidRDefault="00A7149C" w:rsidP="00A7149C">
      <w:pPr>
        <w:pStyle w:val="Texto"/>
        <w:spacing w:line="228"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A7149C" w:rsidRPr="00A746F1" w:rsidRDefault="00A7149C" w:rsidP="00A7149C">
      <w:pPr>
        <w:pStyle w:val="Texto"/>
        <w:spacing w:line="228" w:lineRule="exact"/>
        <w:rPr>
          <w:b/>
          <w:lang w:val="es-MX"/>
        </w:rPr>
      </w:pPr>
      <w:r w:rsidRPr="00A746F1">
        <w:rPr>
          <w:b/>
          <w:lang w:val="es-MX"/>
        </w:rPr>
        <w:t>Plazo de prevención:</w:t>
      </w:r>
    </w:p>
    <w:p w:rsidR="00A7149C" w:rsidRPr="00A746F1" w:rsidRDefault="00A7149C" w:rsidP="00A7149C">
      <w:pPr>
        <w:pStyle w:val="Texto"/>
        <w:numPr>
          <w:ilvl w:val="2"/>
          <w:numId w:val="2"/>
        </w:numPr>
        <w:spacing w:line="228" w:lineRule="exact"/>
        <w:ind w:left="648"/>
        <w:rPr>
          <w:lang w:val="es-MX"/>
        </w:rPr>
      </w:pPr>
      <w:r w:rsidRPr="00A746F1">
        <w:rPr>
          <w:lang w:val="es-MX"/>
        </w:rPr>
        <w:t>12 días hábiles tratándose de elección del régimen de pensión previsto en la Ley del Seguro Social de 1973.</w:t>
      </w:r>
    </w:p>
    <w:p w:rsidR="00A7149C" w:rsidRPr="00A746F1" w:rsidRDefault="00A7149C" w:rsidP="00A7149C">
      <w:pPr>
        <w:pStyle w:val="Texto"/>
        <w:numPr>
          <w:ilvl w:val="2"/>
          <w:numId w:val="2"/>
        </w:numPr>
        <w:spacing w:line="228" w:lineRule="exact"/>
        <w:ind w:left="648"/>
        <w:rPr>
          <w:lang w:val="es-MX"/>
        </w:rPr>
      </w:pPr>
      <w:r w:rsidRPr="00A746F1">
        <w:rPr>
          <w:lang w:val="es-MX"/>
        </w:rPr>
        <w:t>20 días hábiles, tratándose de elección del régimen de pensión previsto en la Ley del Seguro Social de 1997.</w:t>
      </w:r>
    </w:p>
    <w:p w:rsidR="00A7149C" w:rsidRPr="00A746F1" w:rsidRDefault="00A7149C" w:rsidP="00A7149C">
      <w:pPr>
        <w:pStyle w:val="Texto"/>
        <w:spacing w:line="228" w:lineRule="exact"/>
        <w:rPr>
          <w:b/>
          <w:lang w:val="es-MX"/>
        </w:rPr>
      </w:pPr>
      <w:r w:rsidRPr="00A746F1">
        <w:rPr>
          <w:b/>
          <w:lang w:val="es-MX"/>
        </w:rPr>
        <w:t>Vigencia de la resolución:</w:t>
      </w:r>
    </w:p>
    <w:p w:rsidR="00A7149C" w:rsidRPr="00A746F1" w:rsidRDefault="00A7149C" w:rsidP="00A7149C">
      <w:pPr>
        <w:pStyle w:val="Texto"/>
        <w:numPr>
          <w:ilvl w:val="2"/>
          <w:numId w:val="3"/>
        </w:numPr>
        <w:spacing w:line="228" w:lineRule="exact"/>
        <w:ind w:left="648"/>
        <w:rPr>
          <w:lang w:val="es-MX"/>
        </w:rPr>
      </w:pPr>
      <w:r w:rsidRPr="00A746F1">
        <w:rPr>
          <w:lang w:val="es-MX"/>
        </w:rPr>
        <w:t>Permanente, en tanto existan las condiciones que dieron origen al trámite.</w:t>
      </w:r>
    </w:p>
    <w:p w:rsidR="00A7149C" w:rsidRPr="00A746F1" w:rsidRDefault="00A7149C" w:rsidP="00A7149C">
      <w:pPr>
        <w:pStyle w:val="Texto"/>
        <w:spacing w:line="228" w:lineRule="exact"/>
        <w:rPr>
          <w:b/>
          <w:lang w:val="es-MX"/>
        </w:rPr>
      </w:pPr>
      <w:r w:rsidRPr="00A746F1">
        <w:rPr>
          <w:b/>
          <w:lang w:val="es-MX"/>
        </w:rPr>
        <w:t>Datos:</w:t>
      </w:r>
    </w:p>
    <w:p w:rsidR="00A7149C" w:rsidRPr="00A746F1" w:rsidRDefault="00A7149C" w:rsidP="00A7149C">
      <w:pPr>
        <w:pStyle w:val="Texto"/>
        <w:spacing w:line="228" w:lineRule="exact"/>
        <w:rPr>
          <w:lang w:val="es-MX"/>
        </w:rPr>
      </w:pPr>
      <w:r w:rsidRPr="00A746F1">
        <w:rPr>
          <w:lang w:val="es-MX"/>
        </w:rPr>
        <w:t>Los identificados con los numerales: 5, 6, 7, 8, 9, 10, 11, 12, 13, 14, 15, 22, 23, 24, 25, 37, 38 y 46. Adicionalmente, en su caso 16, 17, 18, 19, 20, 21, 39; 28, 29, 30, 31, 32, 33, 37; 34, 35, 36; 41, 42, 43, 44 y 45 del formato denominado “Solicitud de modificación de pensión”.</w:t>
      </w:r>
    </w:p>
    <w:p w:rsidR="00A7149C" w:rsidRPr="00A746F1" w:rsidRDefault="00A7149C" w:rsidP="00A7149C">
      <w:pPr>
        <w:pStyle w:val="Texto"/>
        <w:spacing w:line="228" w:lineRule="exact"/>
        <w:rPr>
          <w:b/>
          <w:lang w:val="es-MX"/>
        </w:rPr>
      </w:pPr>
      <w:r w:rsidRPr="00A746F1">
        <w:rPr>
          <w:b/>
          <w:lang w:val="es-MX"/>
        </w:rPr>
        <w:t>Documentos:</w:t>
      </w:r>
    </w:p>
    <w:p w:rsidR="00A7149C" w:rsidRPr="00A746F1" w:rsidRDefault="00A7149C" w:rsidP="00A7149C">
      <w:pPr>
        <w:pStyle w:val="Texto"/>
        <w:spacing w:line="228" w:lineRule="exact"/>
        <w:rPr>
          <w:lang w:val="es-MX"/>
        </w:rPr>
      </w:pPr>
      <w:r w:rsidRPr="00A746F1">
        <w:rPr>
          <w:lang w:val="es-MX"/>
        </w:rPr>
        <w:t>Los identificados con los numerales del apartado “Lista de documentos a presentar en los trámites”:</w:t>
      </w:r>
    </w:p>
    <w:p w:rsidR="00A7149C" w:rsidRPr="00A746F1" w:rsidRDefault="00A7149C" w:rsidP="00A7149C">
      <w:pPr>
        <w:pStyle w:val="Texto"/>
        <w:numPr>
          <w:ilvl w:val="2"/>
          <w:numId w:val="3"/>
        </w:numPr>
        <w:spacing w:line="228" w:lineRule="exact"/>
        <w:ind w:left="648"/>
        <w:rPr>
          <w:lang w:val="es-MX"/>
        </w:rPr>
      </w:pPr>
      <w:r w:rsidRPr="00A746F1">
        <w:rPr>
          <w:lang w:val="es-MX"/>
        </w:rPr>
        <w:t>Del pensionado: 1, 2, 11 y, en su caso, 6.</w:t>
      </w:r>
    </w:p>
    <w:p w:rsidR="00A7149C" w:rsidRPr="00A746F1" w:rsidRDefault="00A7149C" w:rsidP="00A7149C">
      <w:pPr>
        <w:pStyle w:val="Texto"/>
        <w:spacing w:line="228" w:lineRule="exact"/>
        <w:rPr>
          <w:lang w:val="es-MX"/>
        </w:rPr>
      </w:pPr>
      <w:r w:rsidRPr="00A746F1">
        <w:rPr>
          <w:lang w:val="es-MX"/>
        </w:rPr>
        <w:t>Este trámite, se refiere a Aclaraciones relativas a:</w:t>
      </w:r>
    </w:p>
    <w:p w:rsidR="00A7149C" w:rsidRPr="00A746F1" w:rsidRDefault="00A7149C" w:rsidP="00A7149C">
      <w:pPr>
        <w:pStyle w:val="INCISO"/>
        <w:spacing w:line="228" w:lineRule="exact"/>
        <w:rPr>
          <w:strike/>
          <w:lang w:val="es-MX"/>
        </w:rPr>
      </w:pPr>
      <w:r w:rsidRPr="00A746F1">
        <w:rPr>
          <w:b/>
          <w:lang w:val="es-MX"/>
        </w:rPr>
        <w:t>i.</w:t>
      </w:r>
      <w:r w:rsidRPr="00A746F1">
        <w:rPr>
          <w:lang w:val="es-MX"/>
        </w:rPr>
        <w:tab/>
        <w:t>Semanas de Cotización.</w:t>
      </w:r>
    </w:p>
    <w:p w:rsidR="00A7149C" w:rsidRPr="00A746F1" w:rsidRDefault="00A7149C" w:rsidP="00A7149C">
      <w:pPr>
        <w:pStyle w:val="INCISO"/>
        <w:spacing w:line="228" w:lineRule="exact"/>
        <w:rPr>
          <w:lang w:val="es-MX"/>
        </w:rPr>
      </w:pPr>
      <w:r w:rsidRPr="00A746F1">
        <w:rPr>
          <w:b/>
          <w:lang w:val="es-MX"/>
        </w:rPr>
        <w:t>ii.</w:t>
      </w:r>
      <w:r w:rsidRPr="00A746F1">
        <w:rPr>
          <w:lang w:val="es-MX"/>
        </w:rPr>
        <w:tab/>
        <w:t>Salario Base de Cotización.</w:t>
      </w:r>
    </w:p>
    <w:p w:rsidR="00A7149C" w:rsidRPr="00A746F1" w:rsidRDefault="00A7149C" w:rsidP="00A7149C">
      <w:pPr>
        <w:pStyle w:val="INCISO"/>
        <w:spacing w:line="228" w:lineRule="exact"/>
        <w:rPr>
          <w:lang w:val="es-MX"/>
        </w:rPr>
      </w:pPr>
      <w:r w:rsidRPr="00A746F1">
        <w:rPr>
          <w:b/>
          <w:lang w:val="es-MX"/>
        </w:rPr>
        <w:t>iii.</w:t>
      </w:r>
      <w:r w:rsidRPr="00A746F1">
        <w:rPr>
          <w:b/>
          <w:lang w:val="es-MX"/>
        </w:rPr>
        <w:tab/>
      </w:r>
      <w:r w:rsidRPr="00A746F1">
        <w:rPr>
          <w:lang w:val="es-MX"/>
        </w:rPr>
        <w:t>Calificación de Riesgos de Trabajo.</w:t>
      </w:r>
    </w:p>
    <w:p w:rsidR="00A7149C" w:rsidRPr="00A746F1" w:rsidRDefault="00A7149C" w:rsidP="00A7149C">
      <w:pPr>
        <w:pStyle w:val="INCISO"/>
        <w:spacing w:line="228" w:lineRule="exact"/>
        <w:rPr>
          <w:strike/>
          <w:lang w:val="es-MX"/>
        </w:rPr>
      </w:pPr>
      <w:r w:rsidRPr="00A746F1">
        <w:rPr>
          <w:b/>
          <w:lang w:val="es-MX"/>
        </w:rPr>
        <w:t>iv.</w:t>
      </w:r>
      <w:r w:rsidRPr="00A746F1">
        <w:rPr>
          <w:lang w:val="es-MX"/>
        </w:rPr>
        <w:tab/>
        <w:t>Porcentaje de Valuación Médica.</w:t>
      </w:r>
    </w:p>
    <w:p w:rsidR="00A7149C" w:rsidRPr="00A746F1" w:rsidRDefault="00A7149C" w:rsidP="00A7149C">
      <w:pPr>
        <w:pStyle w:val="INCISO"/>
        <w:spacing w:line="228" w:lineRule="exact"/>
        <w:rPr>
          <w:strike/>
          <w:lang w:val="es-MX"/>
        </w:rPr>
      </w:pPr>
      <w:proofErr w:type="gramStart"/>
      <w:r w:rsidRPr="00A746F1">
        <w:rPr>
          <w:b/>
          <w:lang w:val="es-MX"/>
        </w:rPr>
        <w:t>v</w:t>
      </w:r>
      <w:proofErr w:type="gramEnd"/>
      <w:r w:rsidRPr="00A746F1">
        <w:rPr>
          <w:b/>
          <w:lang w:val="es-MX"/>
        </w:rPr>
        <w:t>.</w:t>
      </w:r>
      <w:r w:rsidRPr="00A746F1">
        <w:rPr>
          <w:b/>
          <w:lang w:val="es-MX"/>
        </w:rPr>
        <w:tab/>
      </w:r>
      <w:r w:rsidRPr="00A746F1">
        <w:rPr>
          <w:lang w:val="es-MX"/>
        </w:rPr>
        <w:t>Inexistencia del Estado de Invalidez.</w:t>
      </w:r>
    </w:p>
    <w:p w:rsidR="00A7149C" w:rsidRPr="00A746F1" w:rsidRDefault="00A7149C" w:rsidP="00A7149C">
      <w:pPr>
        <w:pStyle w:val="INCISO"/>
        <w:spacing w:line="228" w:lineRule="exact"/>
        <w:rPr>
          <w:lang w:val="es-MX"/>
        </w:rPr>
      </w:pPr>
      <w:r w:rsidRPr="00A746F1">
        <w:rPr>
          <w:b/>
          <w:lang w:val="es-MX"/>
        </w:rPr>
        <w:t>vi.</w:t>
      </w:r>
      <w:r w:rsidRPr="00A746F1">
        <w:rPr>
          <w:b/>
          <w:lang w:val="es-MX"/>
        </w:rPr>
        <w:tab/>
      </w:r>
      <w:r w:rsidRPr="00A746F1">
        <w:rPr>
          <w:lang w:val="es-MX"/>
        </w:rPr>
        <w:t>Reingreso al Régimen Obligatorio al Seguro Social (Régimen del Seguro Social 1973).</w:t>
      </w:r>
    </w:p>
    <w:p w:rsidR="00A7149C" w:rsidRPr="00A746F1" w:rsidRDefault="00A7149C" w:rsidP="00A7149C">
      <w:pPr>
        <w:pStyle w:val="INCISO"/>
        <w:spacing w:line="228" w:lineRule="exact"/>
        <w:rPr>
          <w:lang w:val="es-MX"/>
        </w:rPr>
      </w:pPr>
      <w:r w:rsidRPr="00A746F1">
        <w:rPr>
          <w:b/>
          <w:lang w:val="es-MX"/>
        </w:rPr>
        <w:t>vii.</w:t>
      </w:r>
      <w:r w:rsidRPr="00A746F1">
        <w:rPr>
          <w:b/>
          <w:lang w:val="es-MX"/>
        </w:rPr>
        <w:tab/>
      </w:r>
      <w:r w:rsidRPr="00A746F1">
        <w:rPr>
          <w:lang w:val="es-MX"/>
        </w:rPr>
        <w:t>Fecha de inicio del Estado de Invalidez o de la Incapacidad Permanente para el trabajo.</w:t>
      </w:r>
    </w:p>
    <w:p w:rsidR="00A7149C" w:rsidRPr="00A746F1" w:rsidRDefault="00A7149C" w:rsidP="00A7149C">
      <w:pPr>
        <w:pStyle w:val="INCISO"/>
        <w:spacing w:line="228" w:lineRule="exact"/>
        <w:rPr>
          <w:lang w:val="es-MX"/>
        </w:rPr>
      </w:pPr>
      <w:r w:rsidRPr="00A746F1">
        <w:rPr>
          <w:b/>
          <w:lang w:val="es-MX"/>
        </w:rPr>
        <w:t>viii.</w:t>
      </w:r>
      <w:r w:rsidRPr="00A746F1">
        <w:rPr>
          <w:lang w:val="es-MX"/>
        </w:rPr>
        <w:tab/>
        <w:t>Errores aritméticos o informáticos.</w:t>
      </w:r>
    </w:p>
    <w:p w:rsidR="00A7149C" w:rsidRPr="00A746F1" w:rsidRDefault="00A7149C" w:rsidP="00A7149C">
      <w:pPr>
        <w:pStyle w:val="INCISO"/>
        <w:spacing w:line="228" w:lineRule="exact"/>
        <w:rPr>
          <w:lang w:val="es-MX"/>
        </w:rPr>
      </w:pPr>
      <w:r w:rsidRPr="00A746F1">
        <w:rPr>
          <w:b/>
          <w:lang w:val="es-MX"/>
        </w:rPr>
        <w:t>ix.</w:t>
      </w:r>
      <w:r w:rsidRPr="00A746F1">
        <w:rPr>
          <w:b/>
          <w:lang w:val="es-MX"/>
        </w:rPr>
        <w:tab/>
      </w:r>
      <w:r w:rsidRPr="00A746F1">
        <w:rPr>
          <w:lang w:val="es-MX"/>
        </w:rPr>
        <w:t>Nuevo asignatario o beneficiario de pensión.</w:t>
      </w:r>
    </w:p>
    <w:p w:rsidR="004211FC" w:rsidRPr="00A7149C" w:rsidRDefault="004211FC">
      <w:pPr>
        <w:rPr>
          <w:lang w:val="es-MX"/>
        </w:rPr>
      </w:pPr>
    </w:p>
    <w:sectPr w:rsidR="004211FC" w:rsidRPr="00A7149C" w:rsidSect="00A7149C">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7D" w:rsidRDefault="00AF0F7D" w:rsidP="00A7149C">
      <w:r>
        <w:separator/>
      </w:r>
    </w:p>
  </w:endnote>
  <w:endnote w:type="continuationSeparator" w:id="0">
    <w:p w:rsidR="00AF0F7D" w:rsidRDefault="00AF0F7D" w:rsidP="00A7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7D" w:rsidRDefault="00AF0F7D" w:rsidP="00A7149C">
      <w:r>
        <w:separator/>
      </w:r>
    </w:p>
  </w:footnote>
  <w:footnote w:type="continuationSeparator" w:id="0">
    <w:p w:rsidR="00AF0F7D" w:rsidRDefault="00AF0F7D" w:rsidP="00A7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9C" w:rsidRPr="00610094" w:rsidRDefault="00A7149C" w:rsidP="00A7149C">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A7149C" w:rsidRDefault="00A7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2A5"/>
    <w:multiLevelType w:val="hybridMultilevel"/>
    <w:tmpl w:val="29228A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3B2371A8"/>
    <w:multiLevelType w:val="hybridMultilevel"/>
    <w:tmpl w:val="E20204D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45C54C55"/>
    <w:multiLevelType w:val="hybridMultilevel"/>
    <w:tmpl w:val="44F002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9C"/>
    <w:rsid w:val="004211FC"/>
    <w:rsid w:val="00A7149C"/>
    <w:rsid w:val="00AF0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20A2E-20C1-4D32-BE3A-59D65A8A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9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7149C"/>
    <w:pPr>
      <w:spacing w:after="101" w:line="216" w:lineRule="exact"/>
      <w:ind w:firstLine="288"/>
      <w:jc w:val="both"/>
    </w:pPr>
    <w:rPr>
      <w:rFonts w:ascii="Arial" w:hAnsi="Arial" w:cs="Arial"/>
      <w:sz w:val="18"/>
      <w:szCs w:val="20"/>
    </w:rPr>
  </w:style>
  <w:style w:type="character" w:customStyle="1" w:styleId="TextoCar">
    <w:name w:val="Texto Car"/>
    <w:link w:val="Texto"/>
    <w:locked/>
    <w:rsid w:val="00A7149C"/>
    <w:rPr>
      <w:rFonts w:ascii="Arial" w:eastAsia="Times New Roman" w:hAnsi="Arial" w:cs="Arial"/>
      <w:sz w:val="18"/>
      <w:szCs w:val="20"/>
      <w:lang w:val="es-ES" w:eastAsia="es-ES"/>
    </w:rPr>
  </w:style>
  <w:style w:type="paragraph" w:customStyle="1" w:styleId="INCISO">
    <w:name w:val="INCISO"/>
    <w:basedOn w:val="Normal"/>
    <w:rsid w:val="00A7149C"/>
    <w:pPr>
      <w:spacing w:after="101" w:line="216" w:lineRule="exact"/>
      <w:ind w:left="1080" w:hanging="360"/>
      <w:jc w:val="both"/>
    </w:pPr>
    <w:rPr>
      <w:rFonts w:ascii="Arial" w:hAnsi="Arial" w:cs="Arial"/>
      <w:sz w:val="18"/>
      <w:szCs w:val="18"/>
    </w:rPr>
  </w:style>
  <w:style w:type="paragraph" w:styleId="Encabezado">
    <w:name w:val="header"/>
    <w:basedOn w:val="Normal"/>
    <w:link w:val="EncabezadoCar"/>
    <w:uiPriority w:val="99"/>
    <w:unhideWhenUsed/>
    <w:rsid w:val="00A7149C"/>
    <w:pPr>
      <w:tabs>
        <w:tab w:val="center" w:pos="4419"/>
        <w:tab w:val="right" w:pos="8838"/>
      </w:tabs>
    </w:pPr>
  </w:style>
  <w:style w:type="character" w:customStyle="1" w:styleId="EncabezadoCar">
    <w:name w:val="Encabezado Car"/>
    <w:basedOn w:val="Fuentedeprrafopredeter"/>
    <w:link w:val="Encabezado"/>
    <w:uiPriority w:val="99"/>
    <w:rsid w:val="00A714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149C"/>
    <w:pPr>
      <w:tabs>
        <w:tab w:val="center" w:pos="4419"/>
        <w:tab w:val="right" w:pos="8838"/>
      </w:tabs>
    </w:pPr>
  </w:style>
  <w:style w:type="character" w:customStyle="1" w:styleId="PiedepginaCar">
    <w:name w:val="Pie de página Car"/>
    <w:basedOn w:val="Fuentedeprrafopredeter"/>
    <w:link w:val="Piedepgina"/>
    <w:uiPriority w:val="99"/>
    <w:rsid w:val="00A7149C"/>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A7149C"/>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2018-04-03T20:48:00Z</dcterms:created>
  <dcterms:modified xsi:type="dcterms:W3CDTF">2018-04-03T20:49:00Z</dcterms:modified>
</cp:coreProperties>
</file>