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845817" w:rsidRPr="00A746F1" w:rsidTr="00D9759B">
        <w:trPr>
          <w:trHeight w:val="20"/>
        </w:trPr>
        <w:tc>
          <w:tcPr>
            <w:tcW w:w="8982" w:type="dxa"/>
            <w:shd w:val="clear" w:color="auto" w:fill="auto"/>
            <w:noWrap/>
          </w:tcPr>
          <w:p w:rsidR="00845817" w:rsidRPr="00A746F1" w:rsidRDefault="00845817" w:rsidP="00D9759B">
            <w:pPr>
              <w:pStyle w:val="Texto"/>
              <w:spacing w:line="227" w:lineRule="exact"/>
              <w:ind w:left="144" w:firstLine="0"/>
              <w:rPr>
                <w:b/>
                <w:lang w:val="es-MX"/>
              </w:rPr>
            </w:pPr>
            <w:r w:rsidRPr="00A746F1">
              <w:rPr>
                <w:b/>
                <w:lang w:val="es-MX"/>
              </w:rPr>
              <w:t>11. SOLICITUD PARA EL PAGO DE MENSUALIDADES NO COBRADAS O RECLAMO DE DIFERENCIAS RELATIVAS A LA PENSIÓN.</w:t>
            </w:r>
          </w:p>
        </w:tc>
      </w:tr>
    </w:tbl>
    <w:p w:rsidR="00845817" w:rsidRPr="00A746F1" w:rsidRDefault="00845817" w:rsidP="00845817">
      <w:pPr>
        <w:pStyle w:val="Texto"/>
        <w:spacing w:line="227" w:lineRule="exact"/>
        <w:rPr>
          <w:b/>
          <w:lang w:val="es-MX"/>
        </w:rPr>
      </w:pPr>
      <w:r w:rsidRPr="00A746F1">
        <w:rPr>
          <w:b/>
          <w:lang w:val="es-MX"/>
        </w:rPr>
        <w:t>Modalidades:</w:t>
      </w:r>
    </w:p>
    <w:p w:rsidR="00845817" w:rsidRPr="00A746F1" w:rsidRDefault="00845817" w:rsidP="00845817">
      <w:pPr>
        <w:pStyle w:val="Texto"/>
        <w:spacing w:line="227" w:lineRule="exact"/>
        <w:rPr>
          <w:lang w:val="es-MX"/>
        </w:rPr>
      </w:pPr>
      <w:r w:rsidRPr="00A746F1">
        <w:rPr>
          <w:b/>
          <w:lang w:val="es-MX"/>
        </w:rPr>
        <w:t>A.</w:t>
      </w:r>
      <w:r w:rsidRPr="00A746F1">
        <w:rPr>
          <w:b/>
          <w:lang w:val="es-MX"/>
        </w:rPr>
        <w:tab/>
      </w:r>
      <w:r w:rsidRPr="00A746F1">
        <w:rPr>
          <w:lang w:val="es-MX"/>
        </w:rPr>
        <w:t>Por el pensionado.</w:t>
      </w:r>
    </w:p>
    <w:p w:rsidR="00845817" w:rsidRPr="00A746F1" w:rsidRDefault="00845817" w:rsidP="00845817">
      <w:pPr>
        <w:pStyle w:val="Texto"/>
        <w:spacing w:line="227" w:lineRule="exact"/>
        <w:rPr>
          <w:lang w:val="es-MX"/>
        </w:rPr>
      </w:pPr>
      <w:r w:rsidRPr="00A746F1">
        <w:rPr>
          <w:b/>
          <w:lang w:val="es-MX"/>
        </w:rPr>
        <w:t>B.</w:t>
      </w:r>
      <w:r w:rsidRPr="00A746F1">
        <w:rPr>
          <w:b/>
          <w:lang w:val="es-MX"/>
        </w:rPr>
        <w:tab/>
      </w:r>
      <w:r w:rsidRPr="00A746F1">
        <w:rPr>
          <w:lang w:val="es-MX"/>
        </w:rPr>
        <w:t>Por terceros, en caso de fallecimiento del pensionado.</w:t>
      </w:r>
    </w:p>
    <w:tbl>
      <w:tblPr>
        <w:tblW w:w="8712" w:type="dxa"/>
        <w:tblInd w:w="144" w:type="dxa"/>
        <w:tblBorders>
          <w:top w:val="single" w:sz="4" w:space="0" w:color="auto"/>
        </w:tblBorders>
        <w:tblLayout w:type="fixed"/>
        <w:tblCellMar>
          <w:left w:w="72" w:type="dxa"/>
          <w:right w:w="72" w:type="dxa"/>
        </w:tblCellMar>
        <w:tblLook w:val="04A0" w:firstRow="1" w:lastRow="0" w:firstColumn="1" w:lastColumn="0" w:noHBand="0" w:noVBand="1"/>
      </w:tblPr>
      <w:tblGrid>
        <w:gridCol w:w="8712"/>
      </w:tblGrid>
      <w:tr w:rsidR="00845817" w:rsidRPr="00A746F1" w:rsidTr="00D9759B">
        <w:trPr>
          <w:trHeight w:val="20"/>
        </w:trPr>
        <w:tc>
          <w:tcPr>
            <w:tcW w:w="8982" w:type="dxa"/>
            <w:shd w:val="clear" w:color="auto" w:fill="auto"/>
            <w:noWrap/>
          </w:tcPr>
          <w:p w:rsidR="00845817" w:rsidRPr="00A746F1" w:rsidRDefault="00845817" w:rsidP="00D9759B">
            <w:pPr>
              <w:pStyle w:val="Texto"/>
              <w:spacing w:line="227" w:lineRule="exact"/>
              <w:ind w:left="144" w:firstLine="0"/>
              <w:rPr>
                <w:b/>
                <w:lang w:val="es-MX"/>
              </w:rPr>
            </w:pPr>
            <w:r w:rsidRPr="00A746F1">
              <w:rPr>
                <w:b/>
                <w:lang w:val="es-MX"/>
              </w:rPr>
              <w:t>Plazo máximo de la resolución del trámite:</w:t>
            </w:r>
          </w:p>
        </w:tc>
      </w:tr>
    </w:tbl>
    <w:p w:rsidR="00845817" w:rsidRPr="00A746F1" w:rsidRDefault="00845817" w:rsidP="00845817">
      <w:pPr>
        <w:pStyle w:val="Texto"/>
        <w:numPr>
          <w:ilvl w:val="2"/>
          <w:numId w:val="1"/>
        </w:numPr>
        <w:spacing w:line="227" w:lineRule="exact"/>
        <w:ind w:left="648"/>
        <w:rPr>
          <w:lang w:val="es-MX"/>
        </w:rPr>
      </w:pPr>
      <w:r w:rsidRPr="00A746F1">
        <w:rPr>
          <w:lang w:val="es-MX"/>
        </w:rPr>
        <w:t>12 días hábiles.</w:t>
      </w:r>
    </w:p>
    <w:p w:rsidR="00845817" w:rsidRPr="00A746F1" w:rsidRDefault="00845817" w:rsidP="00845817">
      <w:pPr>
        <w:pStyle w:val="Texto"/>
        <w:spacing w:line="227" w:lineRule="exact"/>
        <w:rPr>
          <w:lang w:val="es-MX"/>
        </w:rPr>
      </w:pPr>
      <w:r w:rsidRPr="00A746F1">
        <w:rPr>
          <w:lang w:val="es-MX"/>
        </w:rPr>
        <w:t>Este trámite aplica a las pensiones de elección del régimen de pensión de la Ley del Seguro Social</w:t>
      </w:r>
      <w:r>
        <w:rPr>
          <w:lang w:val="es-MX"/>
        </w:rPr>
        <w:t xml:space="preserve"> </w:t>
      </w:r>
      <w:r w:rsidRPr="00A746F1">
        <w:rPr>
          <w:lang w:val="es-MX"/>
        </w:rPr>
        <w:t>de 1973.</w:t>
      </w:r>
    </w:p>
    <w:p w:rsidR="00845817" w:rsidRPr="00A746F1" w:rsidRDefault="00845817" w:rsidP="00845817">
      <w:pPr>
        <w:pStyle w:val="Texto"/>
        <w:spacing w:line="227"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845817" w:rsidRPr="00A746F1" w:rsidRDefault="00845817" w:rsidP="00845817">
      <w:pPr>
        <w:pStyle w:val="Texto"/>
        <w:spacing w:line="227"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845817" w:rsidRPr="00A746F1" w:rsidRDefault="00845817" w:rsidP="00845817">
      <w:pPr>
        <w:pStyle w:val="Texto"/>
        <w:spacing w:line="227"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845817" w:rsidRPr="00A746F1" w:rsidRDefault="00845817" w:rsidP="00845817">
      <w:pPr>
        <w:pStyle w:val="Texto"/>
        <w:spacing w:line="227" w:lineRule="exact"/>
        <w:rPr>
          <w:b/>
          <w:lang w:val="es-MX"/>
        </w:rPr>
      </w:pPr>
      <w:r w:rsidRPr="00A746F1">
        <w:rPr>
          <w:b/>
          <w:lang w:val="es-MX"/>
        </w:rPr>
        <w:t>Plazo de prevención:</w:t>
      </w:r>
    </w:p>
    <w:p w:rsidR="00845817" w:rsidRPr="00A746F1" w:rsidRDefault="00845817" w:rsidP="00845817">
      <w:pPr>
        <w:pStyle w:val="Texto"/>
        <w:numPr>
          <w:ilvl w:val="2"/>
          <w:numId w:val="1"/>
        </w:numPr>
        <w:spacing w:line="227" w:lineRule="exact"/>
        <w:ind w:left="648"/>
        <w:rPr>
          <w:lang w:val="es-MX"/>
        </w:rPr>
      </w:pPr>
      <w:r w:rsidRPr="00A746F1">
        <w:rPr>
          <w:lang w:val="es-MX"/>
        </w:rPr>
        <w:t>08 días hábiles.</w:t>
      </w:r>
    </w:p>
    <w:p w:rsidR="00845817" w:rsidRPr="00A746F1" w:rsidRDefault="00845817" w:rsidP="00845817">
      <w:pPr>
        <w:pStyle w:val="Texto"/>
        <w:spacing w:line="227" w:lineRule="exact"/>
        <w:rPr>
          <w:b/>
          <w:lang w:val="es-MX"/>
        </w:rPr>
      </w:pPr>
      <w:r w:rsidRPr="00A746F1">
        <w:rPr>
          <w:b/>
          <w:lang w:val="es-MX"/>
        </w:rPr>
        <w:t>Vigencia de la resolución:</w:t>
      </w:r>
    </w:p>
    <w:p w:rsidR="00845817" w:rsidRPr="00A746F1" w:rsidRDefault="00845817" w:rsidP="00845817">
      <w:pPr>
        <w:pStyle w:val="Texto"/>
        <w:numPr>
          <w:ilvl w:val="2"/>
          <w:numId w:val="1"/>
        </w:numPr>
        <w:spacing w:line="227" w:lineRule="exact"/>
        <w:ind w:left="648"/>
        <w:rPr>
          <w:lang w:val="es-MX"/>
        </w:rPr>
      </w:pPr>
      <w:r w:rsidRPr="00A746F1">
        <w:rPr>
          <w:lang w:val="es-MX"/>
        </w:rPr>
        <w:t>Permanente, en tanto existan las condiciones que dieron origen al trámite.</w:t>
      </w:r>
    </w:p>
    <w:p w:rsidR="00845817" w:rsidRPr="00A746F1" w:rsidRDefault="00845817" w:rsidP="00845817">
      <w:pPr>
        <w:pStyle w:val="Texto"/>
        <w:spacing w:line="227" w:lineRule="exact"/>
        <w:rPr>
          <w:b/>
          <w:lang w:val="es-MX"/>
        </w:rPr>
      </w:pPr>
      <w:r w:rsidRPr="00A746F1">
        <w:rPr>
          <w:b/>
          <w:lang w:val="es-MX"/>
        </w:rPr>
        <w:t>Datos:</w:t>
      </w:r>
    </w:p>
    <w:p w:rsidR="00845817" w:rsidRPr="00A746F1" w:rsidRDefault="00845817" w:rsidP="00845817">
      <w:pPr>
        <w:pStyle w:val="Texto"/>
        <w:spacing w:line="227" w:lineRule="exact"/>
        <w:rPr>
          <w:lang w:val="es-MX"/>
        </w:rPr>
      </w:pPr>
      <w:r w:rsidRPr="00A746F1">
        <w:rPr>
          <w:lang w:val="es-MX"/>
        </w:rPr>
        <w:t>Los identificados con los numerales: 5, 6, 7, 8, 9, 10, 11, 12, 13, 14, 15, 16, 17, 18 y 21, del formato denominado “Solicitud para el pago de mensualidades no cobradas o reclamo de diferencias relativas a la pensión”.</w:t>
      </w:r>
    </w:p>
    <w:p w:rsidR="00845817" w:rsidRPr="00A746F1" w:rsidRDefault="00845817" w:rsidP="00845817">
      <w:pPr>
        <w:pStyle w:val="Texto"/>
        <w:spacing w:line="227" w:lineRule="exact"/>
        <w:rPr>
          <w:b/>
          <w:lang w:val="es-MX"/>
        </w:rPr>
      </w:pPr>
      <w:r w:rsidRPr="00A746F1">
        <w:rPr>
          <w:b/>
          <w:lang w:val="es-MX"/>
        </w:rPr>
        <w:t>Documentos:</w:t>
      </w:r>
    </w:p>
    <w:p w:rsidR="00845817" w:rsidRPr="00A746F1" w:rsidRDefault="00845817" w:rsidP="00845817">
      <w:pPr>
        <w:pStyle w:val="Texto"/>
        <w:spacing w:line="227" w:lineRule="exact"/>
        <w:rPr>
          <w:lang w:val="es-MX"/>
        </w:rPr>
      </w:pPr>
      <w:r w:rsidRPr="00A746F1">
        <w:rPr>
          <w:lang w:val="es-MX"/>
        </w:rPr>
        <w:t>Los identificados con los numerales del apartado “Lista de documentos a presentar en los trámites”:</w:t>
      </w:r>
    </w:p>
    <w:p w:rsidR="00845817" w:rsidRPr="00A746F1" w:rsidRDefault="00845817" w:rsidP="00845817">
      <w:pPr>
        <w:pStyle w:val="Texto"/>
        <w:spacing w:line="227" w:lineRule="exact"/>
        <w:rPr>
          <w:b/>
          <w:lang w:val="es-MX"/>
        </w:rPr>
      </w:pPr>
      <w:r w:rsidRPr="00A746F1">
        <w:rPr>
          <w:b/>
          <w:lang w:val="es-MX"/>
        </w:rPr>
        <w:t>A.</w:t>
      </w:r>
      <w:r w:rsidRPr="00A746F1">
        <w:rPr>
          <w:b/>
          <w:lang w:val="es-MX"/>
        </w:rPr>
        <w:tab/>
        <w:t>Por el pensionado:</w:t>
      </w:r>
    </w:p>
    <w:p w:rsidR="00845817" w:rsidRPr="00A746F1" w:rsidRDefault="00845817" w:rsidP="00845817">
      <w:pPr>
        <w:pStyle w:val="Texto"/>
        <w:numPr>
          <w:ilvl w:val="2"/>
          <w:numId w:val="1"/>
        </w:numPr>
        <w:spacing w:line="227" w:lineRule="exact"/>
        <w:ind w:left="1080"/>
        <w:rPr>
          <w:lang w:val="es-MX"/>
        </w:rPr>
      </w:pPr>
      <w:r w:rsidRPr="00A746F1">
        <w:rPr>
          <w:b/>
          <w:lang w:val="es-MX"/>
        </w:rPr>
        <w:t>Del pensionado:</w:t>
      </w:r>
      <w:r w:rsidRPr="00A746F1">
        <w:rPr>
          <w:lang w:val="es-MX"/>
        </w:rPr>
        <w:t xml:space="preserve"> 1, 2 y 6.</w:t>
      </w:r>
    </w:p>
    <w:p w:rsidR="00845817" w:rsidRPr="00A746F1" w:rsidRDefault="00845817" w:rsidP="00845817">
      <w:pPr>
        <w:pStyle w:val="Texto"/>
        <w:spacing w:line="227" w:lineRule="exact"/>
        <w:rPr>
          <w:b/>
          <w:lang w:val="es-MX"/>
        </w:rPr>
      </w:pPr>
      <w:r w:rsidRPr="00A746F1">
        <w:rPr>
          <w:b/>
          <w:lang w:val="es-MX"/>
        </w:rPr>
        <w:t>B.</w:t>
      </w:r>
      <w:r w:rsidRPr="00A746F1">
        <w:rPr>
          <w:lang w:val="es-MX"/>
        </w:rPr>
        <w:tab/>
      </w:r>
      <w:r w:rsidRPr="00A746F1">
        <w:rPr>
          <w:b/>
          <w:lang w:val="es-MX"/>
        </w:rPr>
        <w:t>Por terceros, en caso de fallecimiento del pensionado:</w:t>
      </w:r>
    </w:p>
    <w:p w:rsidR="00845817" w:rsidRPr="00A746F1" w:rsidRDefault="00845817" w:rsidP="00845817">
      <w:pPr>
        <w:pStyle w:val="Texto"/>
        <w:numPr>
          <w:ilvl w:val="2"/>
          <w:numId w:val="1"/>
        </w:numPr>
        <w:spacing w:line="227" w:lineRule="exact"/>
        <w:ind w:left="1080"/>
        <w:rPr>
          <w:lang w:val="es-MX"/>
        </w:rPr>
      </w:pPr>
      <w:r w:rsidRPr="00A746F1">
        <w:rPr>
          <w:b/>
          <w:lang w:val="es-MX"/>
        </w:rPr>
        <w:t>Del pensionado:</w:t>
      </w:r>
      <w:r w:rsidRPr="00A746F1">
        <w:rPr>
          <w:lang w:val="es-MX"/>
        </w:rPr>
        <w:t xml:space="preserve"> 2 y 17.</w:t>
      </w:r>
    </w:p>
    <w:p w:rsidR="00845817" w:rsidRPr="00A746F1" w:rsidRDefault="00845817" w:rsidP="00845817">
      <w:pPr>
        <w:pStyle w:val="ROMANOS"/>
        <w:spacing w:line="227" w:lineRule="exact"/>
        <w:rPr>
          <w:lang w:val="es-MX"/>
        </w:rPr>
      </w:pPr>
      <w:r w:rsidRPr="00A746F1">
        <w:rPr>
          <w:lang w:val="es-MX"/>
        </w:rPr>
        <w:tab/>
        <w:t>En este supuesto el pago de las diferencias o las mensualidades no cobradas en vida del pensionado, se entregarán a las personas que prevé el artículo 501 de la Ley Federal del Trabajo.</w:t>
      </w:r>
    </w:p>
    <w:p w:rsidR="00845817" w:rsidRPr="00A746F1" w:rsidRDefault="00845817" w:rsidP="00845817">
      <w:pPr>
        <w:pStyle w:val="Texto"/>
        <w:numPr>
          <w:ilvl w:val="2"/>
          <w:numId w:val="1"/>
        </w:numPr>
        <w:spacing w:line="227" w:lineRule="exact"/>
        <w:ind w:left="1080"/>
        <w:rPr>
          <w:lang w:val="es-MX"/>
        </w:rPr>
      </w:pPr>
      <w:r w:rsidRPr="00A746F1">
        <w:rPr>
          <w:lang w:val="es-MX"/>
        </w:rPr>
        <w:t>Del solicitante: 1, 3, 4 y 21.</w:t>
      </w:r>
    </w:p>
    <w:p w:rsidR="00845817" w:rsidRPr="00A746F1" w:rsidRDefault="00845817" w:rsidP="00845817">
      <w:pPr>
        <w:pStyle w:val="ROMANOS"/>
        <w:spacing w:line="227" w:lineRule="exact"/>
        <w:rPr>
          <w:b/>
          <w:lang w:val="es-MX"/>
        </w:rPr>
      </w:pPr>
      <w:r w:rsidRPr="00A746F1">
        <w:rPr>
          <w:b/>
          <w:lang w:val="es-MX"/>
        </w:rPr>
        <w:tab/>
        <w:t>Adicionales por solicitante:</w:t>
      </w:r>
    </w:p>
    <w:p w:rsidR="00845817" w:rsidRPr="00A746F1" w:rsidRDefault="00845817" w:rsidP="00845817">
      <w:pPr>
        <w:pStyle w:val="Texto"/>
        <w:numPr>
          <w:ilvl w:val="2"/>
          <w:numId w:val="2"/>
        </w:numPr>
        <w:spacing w:line="227" w:lineRule="exact"/>
        <w:ind w:left="1080"/>
        <w:rPr>
          <w:lang w:val="es-MX"/>
        </w:rPr>
      </w:pPr>
      <w:r w:rsidRPr="00A746F1">
        <w:rPr>
          <w:b/>
          <w:lang w:val="es-MX"/>
        </w:rPr>
        <w:t>De la viuda:</w:t>
      </w:r>
      <w:r w:rsidRPr="00A746F1">
        <w:rPr>
          <w:lang w:val="es-MX"/>
        </w:rPr>
        <w:t xml:space="preserve"> 15.</w:t>
      </w:r>
    </w:p>
    <w:p w:rsidR="00845817" w:rsidRPr="00A746F1" w:rsidRDefault="00845817" w:rsidP="00845817">
      <w:pPr>
        <w:pStyle w:val="Texto"/>
        <w:numPr>
          <w:ilvl w:val="2"/>
          <w:numId w:val="2"/>
        </w:numPr>
        <w:spacing w:line="227" w:lineRule="exact"/>
        <w:ind w:left="1080"/>
        <w:rPr>
          <w:lang w:val="es-MX"/>
        </w:rPr>
      </w:pPr>
      <w:r w:rsidRPr="00A746F1">
        <w:rPr>
          <w:b/>
          <w:lang w:val="es-MX"/>
        </w:rPr>
        <w:t>Del viudo:</w:t>
      </w:r>
      <w:r w:rsidRPr="00A746F1">
        <w:rPr>
          <w:lang w:val="es-MX"/>
        </w:rPr>
        <w:t xml:space="preserve"> 15, 18 o 35 y 33. Tendrá derecho a recibir las mensualidades el viudo que hubiese dependido económicamente de la pensionada y que tenga una incapacidad del cincuenta por ciento o más.</w:t>
      </w:r>
    </w:p>
    <w:p w:rsidR="00845817" w:rsidRDefault="00845817" w:rsidP="00845817"/>
    <w:p w:rsidR="00845817" w:rsidRDefault="00845817" w:rsidP="00845817"/>
    <w:p w:rsidR="00845817" w:rsidRDefault="00845817" w:rsidP="00845817"/>
    <w:p w:rsidR="00845817" w:rsidRPr="00A746F1" w:rsidRDefault="00845817" w:rsidP="00845817">
      <w:pPr>
        <w:pStyle w:val="Texto"/>
        <w:numPr>
          <w:ilvl w:val="2"/>
          <w:numId w:val="2"/>
        </w:numPr>
        <w:spacing w:line="240" w:lineRule="exact"/>
        <w:ind w:left="1080"/>
        <w:rPr>
          <w:lang w:val="es-MX"/>
        </w:rPr>
      </w:pPr>
      <w:r w:rsidRPr="00A746F1">
        <w:rPr>
          <w:b/>
          <w:lang w:val="es-MX"/>
        </w:rPr>
        <w:lastRenderedPageBreak/>
        <w:t>Hijos menores de dieciséis años:</w:t>
      </w:r>
      <w:r w:rsidRPr="00A746F1">
        <w:rPr>
          <w:lang w:val="es-MX"/>
        </w:rPr>
        <w:t xml:space="preserve"> 14.</w:t>
      </w:r>
    </w:p>
    <w:p w:rsidR="00845817" w:rsidRPr="00A746F1" w:rsidRDefault="00845817" w:rsidP="00845817">
      <w:pPr>
        <w:pStyle w:val="Texto"/>
        <w:numPr>
          <w:ilvl w:val="2"/>
          <w:numId w:val="2"/>
        </w:numPr>
        <w:spacing w:line="240" w:lineRule="exact"/>
        <w:ind w:left="1080"/>
        <w:rPr>
          <w:lang w:val="es-MX"/>
        </w:rPr>
      </w:pPr>
      <w:r w:rsidRPr="00A746F1">
        <w:rPr>
          <w:b/>
          <w:lang w:val="es-MX"/>
        </w:rPr>
        <w:t>Hijos mayores de dieciséis años con incapacidad de cincuenta por ciento o más:</w:t>
      </w:r>
      <w:r w:rsidRPr="00A746F1">
        <w:rPr>
          <w:lang w:val="es-MX"/>
        </w:rPr>
        <w:t xml:space="preserve"> 14 y 33. Tendrá derecho a recibir las mensualidades si tiene una incapacidad del cincuenta por ciento o más.</w:t>
      </w:r>
    </w:p>
    <w:p w:rsidR="00845817" w:rsidRPr="00A746F1" w:rsidRDefault="00845817" w:rsidP="00845817">
      <w:pPr>
        <w:pStyle w:val="Texto"/>
        <w:numPr>
          <w:ilvl w:val="2"/>
          <w:numId w:val="2"/>
        </w:numPr>
        <w:spacing w:line="240" w:lineRule="exact"/>
        <w:ind w:left="1080"/>
        <w:rPr>
          <w:lang w:val="es-MX"/>
        </w:rPr>
      </w:pPr>
      <w:r w:rsidRPr="00A746F1">
        <w:rPr>
          <w:b/>
          <w:lang w:val="es-MX"/>
        </w:rPr>
        <w:t>Ascendientes que dependían económicamente del pensionado:</w:t>
      </w:r>
      <w:r w:rsidRPr="00A746F1">
        <w:rPr>
          <w:lang w:val="es-MX"/>
        </w:rPr>
        <w:t xml:space="preserve"> 14 (del pensionado) y 18 (del solicitante respecto del asegurado, este requisito no será obligatorio, cuando los ascendientes se encuentren registrados por el Instituto como beneficiarios del asegurado o pensionado, en tal caso, se deberá presentar el documento 35.</w:t>
      </w:r>
    </w:p>
    <w:p w:rsidR="00845817" w:rsidRPr="00A746F1" w:rsidRDefault="00845817" w:rsidP="00845817">
      <w:pPr>
        <w:pStyle w:val="Texto"/>
        <w:numPr>
          <w:ilvl w:val="2"/>
          <w:numId w:val="2"/>
        </w:numPr>
        <w:spacing w:line="240" w:lineRule="exact"/>
        <w:ind w:left="1080"/>
        <w:rPr>
          <w:lang w:val="es-MX"/>
        </w:rPr>
      </w:pPr>
      <w:r w:rsidRPr="00A746F1">
        <w:rPr>
          <w:b/>
          <w:lang w:val="es-MX"/>
        </w:rPr>
        <w:t>Concubina:</w:t>
      </w:r>
      <w:r w:rsidRPr="00A746F1">
        <w:rPr>
          <w:lang w:val="es-MX"/>
        </w:rPr>
        <w:t xml:space="preserve"> 19.</w:t>
      </w:r>
    </w:p>
    <w:p w:rsidR="004211FC" w:rsidRPr="00845817" w:rsidRDefault="00845817" w:rsidP="00845817">
      <w:pPr>
        <w:pStyle w:val="Prrafodelista"/>
        <w:numPr>
          <w:ilvl w:val="2"/>
          <w:numId w:val="2"/>
        </w:numPr>
        <w:rPr>
          <w:sz w:val="20"/>
          <w:szCs w:val="20"/>
        </w:rPr>
      </w:pPr>
      <w:r w:rsidRPr="00845817">
        <w:rPr>
          <w:b/>
          <w:sz w:val="20"/>
          <w:szCs w:val="20"/>
          <w:lang w:val="es-MX"/>
        </w:rPr>
        <w:t>Las pers</w:t>
      </w:r>
      <w:bookmarkStart w:id="0" w:name="_GoBack"/>
      <w:bookmarkEnd w:id="0"/>
      <w:r w:rsidRPr="00845817">
        <w:rPr>
          <w:b/>
          <w:sz w:val="20"/>
          <w:szCs w:val="20"/>
          <w:lang w:val="es-MX"/>
        </w:rPr>
        <w:t>onas que dependían económicamente del pensionado:</w:t>
      </w:r>
      <w:r w:rsidRPr="00845817">
        <w:rPr>
          <w:sz w:val="20"/>
          <w:szCs w:val="20"/>
          <w:lang w:val="es-MX"/>
        </w:rPr>
        <w:t xml:space="preserve"> 18.</w:t>
      </w:r>
    </w:p>
    <w:sectPr w:rsidR="004211FC" w:rsidRPr="00845817" w:rsidSect="00845817">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D2" w:rsidRDefault="00D655D2" w:rsidP="00845817">
      <w:r>
        <w:separator/>
      </w:r>
    </w:p>
  </w:endnote>
  <w:endnote w:type="continuationSeparator" w:id="0">
    <w:p w:rsidR="00D655D2" w:rsidRDefault="00D655D2" w:rsidP="0084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D2" w:rsidRDefault="00D655D2" w:rsidP="00845817">
      <w:r>
        <w:separator/>
      </w:r>
    </w:p>
  </w:footnote>
  <w:footnote w:type="continuationSeparator" w:id="0">
    <w:p w:rsidR="00D655D2" w:rsidRDefault="00D655D2" w:rsidP="0084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17" w:rsidRPr="00610094" w:rsidRDefault="00845817" w:rsidP="00845817">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845817" w:rsidRDefault="008458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371A8"/>
    <w:multiLevelType w:val="hybridMultilevel"/>
    <w:tmpl w:val="E20204D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7D1E4D81"/>
    <w:multiLevelType w:val="hybridMultilevel"/>
    <w:tmpl w:val="27A078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D83ADDDE">
      <w:start w:val="1"/>
      <w:numFmt w:val="bullet"/>
      <w:lvlText w:val=""/>
      <w:lvlJc w:val="left"/>
      <w:pPr>
        <w:ind w:left="1069" w:hanging="360"/>
      </w:pPr>
      <w:rPr>
        <w:rFonts w:ascii="Symbol" w:hAnsi="Symbol" w:hint="default"/>
        <w:sz w:val="16"/>
        <w:szCs w:val="16"/>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17"/>
    <w:rsid w:val="004211FC"/>
    <w:rsid w:val="00845817"/>
    <w:rsid w:val="00D65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32FA6-F1D7-4C17-9555-8F57D48A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1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45817"/>
    <w:pPr>
      <w:spacing w:after="101" w:line="216" w:lineRule="exact"/>
      <w:ind w:firstLine="288"/>
      <w:jc w:val="both"/>
    </w:pPr>
    <w:rPr>
      <w:rFonts w:ascii="Arial" w:hAnsi="Arial" w:cs="Arial"/>
      <w:sz w:val="18"/>
      <w:szCs w:val="20"/>
    </w:rPr>
  </w:style>
  <w:style w:type="character" w:customStyle="1" w:styleId="TextoCar">
    <w:name w:val="Texto Car"/>
    <w:link w:val="Texto"/>
    <w:locked/>
    <w:rsid w:val="00845817"/>
    <w:rPr>
      <w:rFonts w:ascii="Arial" w:eastAsia="Times New Roman" w:hAnsi="Arial" w:cs="Arial"/>
      <w:sz w:val="18"/>
      <w:szCs w:val="20"/>
      <w:lang w:val="es-ES" w:eastAsia="es-ES"/>
    </w:rPr>
  </w:style>
  <w:style w:type="paragraph" w:customStyle="1" w:styleId="ROMANOS">
    <w:name w:val="ROMANOS"/>
    <w:basedOn w:val="Normal"/>
    <w:link w:val="ROMANOSCar"/>
    <w:rsid w:val="00845817"/>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845817"/>
    <w:rPr>
      <w:rFonts w:ascii="Arial" w:eastAsia="Times New Roman" w:hAnsi="Arial" w:cs="Arial"/>
      <w:sz w:val="18"/>
      <w:szCs w:val="18"/>
      <w:lang w:val="es-ES" w:eastAsia="es-ES"/>
    </w:rPr>
  </w:style>
  <w:style w:type="paragraph" w:styleId="Prrafodelista">
    <w:name w:val="List Paragraph"/>
    <w:basedOn w:val="Normal"/>
    <w:uiPriority w:val="34"/>
    <w:qFormat/>
    <w:rsid w:val="00845817"/>
    <w:pPr>
      <w:ind w:left="720"/>
      <w:contextualSpacing/>
    </w:pPr>
  </w:style>
  <w:style w:type="paragraph" w:styleId="Encabezado">
    <w:name w:val="header"/>
    <w:basedOn w:val="Normal"/>
    <w:link w:val="EncabezadoCar"/>
    <w:uiPriority w:val="99"/>
    <w:unhideWhenUsed/>
    <w:rsid w:val="00845817"/>
    <w:pPr>
      <w:tabs>
        <w:tab w:val="center" w:pos="4419"/>
        <w:tab w:val="right" w:pos="8838"/>
      </w:tabs>
    </w:pPr>
  </w:style>
  <w:style w:type="character" w:customStyle="1" w:styleId="EncabezadoCar">
    <w:name w:val="Encabezado Car"/>
    <w:basedOn w:val="Fuentedeprrafopredeter"/>
    <w:link w:val="Encabezado"/>
    <w:uiPriority w:val="99"/>
    <w:rsid w:val="0084581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45817"/>
    <w:pPr>
      <w:tabs>
        <w:tab w:val="center" w:pos="4419"/>
        <w:tab w:val="right" w:pos="8838"/>
      </w:tabs>
    </w:pPr>
  </w:style>
  <w:style w:type="character" w:customStyle="1" w:styleId="PiedepginaCar">
    <w:name w:val="Pie de página Car"/>
    <w:basedOn w:val="Fuentedeprrafopredeter"/>
    <w:link w:val="Piedepgina"/>
    <w:uiPriority w:val="99"/>
    <w:rsid w:val="00845817"/>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845817"/>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3030</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2018-04-03T20:49:00Z</dcterms:created>
  <dcterms:modified xsi:type="dcterms:W3CDTF">2018-04-03T20:51:00Z</dcterms:modified>
</cp:coreProperties>
</file>