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BE1A7" w14:textId="77777777" w:rsidR="007C017E" w:rsidRPr="007C017E" w:rsidRDefault="007C017E" w:rsidP="007C017E">
      <w:pPr>
        <w:spacing w:after="150"/>
        <w:jc w:val="center"/>
        <w:rPr>
          <w:rFonts w:ascii="Verdana" w:hAnsi="Verdana" w:cs="Times New Roman"/>
          <w:color w:val="000000"/>
          <w:sz w:val="21"/>
          <w:szCs w:val="21"/>
          <w:lang w:eastAsia="es-ES_tradnl"/>
        </w:rPr>
      </w:pPr>
      <w:r w:rsidRPr="007C017E">
        <w:rPr>
          <w:rFonts w:ascii="Verdana" w:hAnsi="Verdana" w:cs="Times New Roman"/>
          <w:b/>
          <w:bCs/>
          <w:color w:val="000000"/>
          <w:sz w:val="21"/>
          <w:szCs w:val="21"/>
          <w:lang w:eastAsia="es-ES_tradnl"/>
        </w:rPr>
        <w:t>LEY DE FOMENTO A LA CONFIANZA CIUDADANA</w:t>
      </w:r>
    </w:p>
    <w:p w14:paraId="0A5CA933" w14:textId="77777777" w:rsidR="007C017E" w:rsidRPr="007C017E" w:rsidRDefault="007C017E" w:rsidP="007C017E">
      <w:pPr>
        <w:spacing w:after="150"/>
        <w:jc w:val="center"/>
        <w:rPr>
          <w:rFonts w:ascii="Verdana" w:hAnsi="Verdana" w:cs="Times New Roman"/>
          <w:color w:val="000000"/>
          <w:sz w:val="21"/>
          <w:szCs w:val="21"/>
          <w:lang w:eastAsia="es-ES_tradnl"/>
        </w:rPr>
      </w:pPr>
      <w:r w:rsidRPr="007C017E">
        <w:rPr>
          <w:rFonts w:ascii="Verdana" w:hAnsi="Verdana" w:cs="Times New Roman"/>
          <w:b/>
          <w:bCs/>
          <w:color w:val="000000"/>
          <w:sz w:val="21"/>
          <w:szCs w:val="21"/>
          <w:lang w:eastAsia="es-ES_tradnl"/>
        </w:rPr>
        <w:t>CAPÍTULO I</w:t>
      </w:r>
    </w:p>
    <w:p w14:paraId="1FD3C1BA" w14:textId="77777777" w:rsidR="007C017E" w:rsidRPr="007C017E" w:rsidRDefault="007C017E" w:rsidP="007C017E">
      <w:pPr>
        <w:spacing w:after="150"/>
        <w:jc w:val="center"/>
        <w:rPr>
          <w:rFonts w:ascii="Verdana" w:hAnsi="Verdana" w:cs="Times New Roman"/>
          <w:color w:val="000000"/>
          <w:sz w:val="21"/>
          <w:szCs w:val="21"/>
          <w:lang w:eastAsia="es-ES_tradnl"/>
        </w:rPr>
      </w:pPr>
      <w:r w:rsidRPr="007C017E">
        <w:rPr>
          <w:rFonts w:ascii="Verdana" w:hAnsi="Verdana" w:cs="Times New Roman"/>
          <w:b/>
          <w:bCs/>
          <w:color w:val="000000"/>
          <w:sz w:val="21"/>
          <w:szCs w:val="21"/>
          <w:lang w:eastAsia="es-ES_tradnl"/>
        </w:rPr>
        <w:t>DISPOSICIONES GENERALES</w:t>
      </w:r>
    </w:p>
    <w:p w14:paraId="19BBB8E4" w14:textId="77777777" w:rsidR="007C017E" w:rsidRPr="007C017E" w:rsidRDefault="007C017E" w:rsidP="007C017E">
      <w:pPr>
        <w:spacing w:after="150"/>
        <w:jc w:val="both"/>
        <w:rPr>
          <w:rFonts w:ascii="Verdana" w:hAnsi="Verdana" w:cs="Times New Roman"/>
          <w:color w:val="000000"/>
          <w:sz w:val="21"/>
          <w:szCs w:val="21"/>
          <w:lang w:eastAsia="es-ES_tradnl"/>
        </w:rPr>
      </w:pPr>
      <w:r w:rsidRPr="007C017E">
        <w:rPr>
          <w:rFonts w:ascii="Verdana" w:hAnsi="Verdana" w:cs="Times New Roman"/>
          <w:color w:val="000000"/>
          <w:sz w:val="21"/>
          <w:szCs w:val="21"/>
          <w:lang w:eastAsia="es-ES_tradnl"/>
        </w:rPr>
        <w:t>Artículo 1. La presente Ley tiene como objeto establecer las bases para la instrumentación de acciones y programas sectoriales que las dependencias de la Administración Pública Federal deberán implementar a efecto de otorgar beneficios y facilidades administrativas relacionados</w:t>
      </w:r>
      <w:bookmarkStart w:id="0" w:name="_GoBack"/>
      <w:bookmarkEnd w:id="0"/>
      <w:r w:rsidRPr="007C017E">
        <w:rPr>
          <w:rFonts w:ascii="Verdana" w:hAnsi="Verdana" w:cs="Times New Roman"/>
          <w:color w:val="000000"/>
          <w:sz w:val="21"/>
          <w:szCs w:val="21"/>
          <w:lang w:eastAsia="es-ES_tradnl"/>
        </w:rPr>
        <w:t xml:space="preserve"> con la actividad económica que desempeñan las personas físicas y morales, en el ámbito de jurisdicción.</w:t>
      </w:r>
    </w:p>
    <w:p w14:paraId="51B0BEC5" w14:textId="77777777" w:rsidR="007C017E" w:rsidRPr="007C017E" w:rsidRDefault="007C017E" w:rsidP="007C017E">
      <w:pPr>
        <w:spacing w:after="150"/>
        <w:jc w:val="both"/>
        <w:rPr>
          <w:rFonts w:ascii="Verdana" w:hAnsi="Verdana" w:cs="Times New Roman"/>
          <w:color w:val="000000"/>
          <w:sz w:val="21"/>
          <w:szCs w:val="21"/>
          <w:lang w:eastAsia="es-ES_tradnl"/>
        </w:rPr>
      </w:pPr>
      <w:r w:rsidRPr="007C017E">
        <w:rPr>
          <w:rFonts w:ascii="Verdana" w:hAnsi="Verdana" w:cs="Times New Roman"/>
          <w:color w:val="000000"/>
          <w:sz w:val="21"/>
          <w:szCs w:val="21"/>
          <w:lang w:eastAsia="es-ES_tradnl"/>
        </w:rPr>
        <w:t>Artículo 2. La aplicación de la presente Ley le corresponde al Ejecutivo federal, a través de la Secretaría de Economía, la cual tendrá, además de las previstas en la Ley Orgánica de la Administración Pública Federal, las funciones siguientes:</w:t>
      </w:r>
    </w:p>
    <w:p w14:paraId="04937166" w14:textId="77777777" w:rsidR="007C017E" w:rsidRPr="007C017E" w:rsidRDefault="007C017E" w:rsidP="007C017E">
      <w:pPr>
        <w:numPr>
          <w:ilvl w:val="0"/>
          <w:numId w:val="1"/>
        </w:numPr>
        <w:spacing w:before="100" w:beforeAutospacing="1" w:after="100" w:afterAutospacing="1"/>
        <w:jc w:val="both"/>
        <w:rPr>
          <w:rFonts w:ascii="Verdana" w:eastAsia="Times New Roman" w:hAnsi="Verdana" w:cs="Times New Roman"/>
          <w:color w:val="000000"/>
          <w:sz w:val="21"/>
          <w:szCs w:val="21"/>
          <w:lang w:eastAsia="es-ES_tradnl"/>
        </w:rPr>
      </w:pPr>
      <w:r w:rsidRPr="007C017E">
        <w:rPr>
          <w:rFonts w:ascii="Verdana" w:eastAsia="Times New Roman" w:hAnsi="Verdana" w:cs="Times New Roman"/>
          <w:color w:val="000000"/>
          <w:sz w:val="21"/>
          <w:szCs w:val="21"/>
          <w:lang w:eastAsia="es-ES_tradnl"/>
        </w:rPr>
        <w:t>Fomentar la cultura de la legalidad y del comercio formal;</w:t>
      </w:r>
    </w:p>
    <w:p w14:paraId="277203C3" w14:textId="77777777" w:rsidR="007C017E" w:rsidRPr="007C017E" w:rsidRDefault="007C017E" w:rsidP="007C017E">
      <w:pPr>
        <w:numPr>
          <w:ilvl w:val="0"/>
          <w:numId w:val="1"/>
        </w:numPr>
        <w:spacing w:before="100" w:beforeAutospacing="1" w:after="100" w:afterAutospacing="1"/>
        <w:jc w:val="both"/>
        <w:rPr>
          <w:rFonts w:ascii="Verdana" w:eastAsia="Times New Roman" w:hAnsi="Verdana" w:cs="Times New Roman"/>
          <w:color w:val="000000"/>
          <w:sz w:val="21"/>
          <w:szCs w:val="21"/>
          <w:lang w:eastAsia="es-ES_tradnl"/>
        </w:rPr>
      </w:pPr>
      <w:r w:rsidRPr="007C017E">
        <w:rPr>
          <w:rFonts w:ascii="Verdana" w:eastAsia="Times New Roman" w:hAnsi="Verdana" w:cs="Times New Roman"/>
          <w:color w:val="000000"/>
          <w:sz w:val="21"/>
          <w:szCs w:val="21"/>
          <w:lang w:eastAsia="es-ES_tradnl"/>
        </w:rPr>
        <w:t>Promover y realizar, con las entidades federativas, los municipios y las alcaldías de la Ciudad de México, la celebración de convenios de coordinación para la implementación de acciones que tengan por objeto brindar facilidades administrativas a las personas físicas y morales que realicen actividades económicas.</w:t>
      </w:r>
    </w:p>
    <w:p w14:paraId="5C072209" w14:textId="77777777" w:rsidR="007C017E" w:rsidRPr="007C017E" w:rsidRDefault="007C017E" w:rsidP="007C017E">
      <w:pPr>
        <w:numPr>
          <w:ilvl w:val="0"/>
          <w:numId w:val="1"/>
        </w:numPr>
        <w:spacing w:before="100" w:beforeAutospacing="1" w:after="100" w:afterAutospacing="1"/>
        <w:jc w:val="both"/>
        <w:rPr>
          <w:rFonts w:ascii="Verdana" w:eastAsia="Times New Roman" w:hAnsi="Verdana" w:cs="Times New Roman"/>
          <w:color w:val="000000"/>
          <w:sz w:val="21"/>
          <w:szCs w:val="21"/>
          <w:lang w:eastAsia="es-ES_tradnl"/>
        </w:rPr>
      </w:pPr>
      <w:bookmarkStart w:id="1" w:name="_Hlk529611992"/>
      <w:r w:rsidRPr="007C017E">
        <w:rPr>
          <w:rFonts w:ascii="Verdana" w:eastAsia="Times New Roman" w:hAnsi="Verdana" w:cs="Times New Roman"/>
          <w:color w:val="000000"/>
          <w:sz w:val="21"/>
          <w:szCs w:val="21"/>
          <w:lang w:eastAsia="es-ES_tradnl"/>
        </w:rPr>
        <w:t>Generar un entorno de confianza entre las personas físicas y morales que realicen actividades económicas y la Administración Pública Federal</w:t>
      </w:r>
      <w:bookmarkEnd w:id="1"/>
      <w:r w:rsidRPr="007C017E">
        <w:rPr>
          <w:rFonts w:ascii="Verdana" w:eastAsia="Times New Roman" w:hAnsi="Verdana" w:cs="Times New Roman"/>
          <w:color w:val="000000"/>
          <w:sz w:val="21"/>
          <w:szCs w:val="21"/>
          <w:lang w:eastAsia="es-ES_tradnl"/>
        </w:rPr>
        <w:t>, basado en el cumplimiento voluntario y permanente de las obligaciones regulatorias y fiscales, y el otorgamiento de facilidades administrativas por parte de las dependencias y entidades de la Administración Pública Federal;</w:t>
      </w:r>
    </w:p>
    <w:p w14:paraId="18B19714" w14:textId="77777777" w:rsidR="007C017E" w:rsidRPr="007C017E" w:rsidRDefault="007C017E" w:rsidP="007C017E">
      <w:pPr>
        <w:numPr>
          <w:ilvl w:val="0"/>
          <w:numId w:val="1"/>
        </w:numPr>
        <w:spacing w:before="100" w:beforeAutospacing="1" w:after="100" w:afterAutospacing="1"/>
        <w:jc w:val="both"/>
        <w:rPr>
          <w:rFonts w:ascii="Verdana" w:eastAsia="Times New Roman" w:hAnsi="Verdana" w:cs="Times New Roman"/>
          <w:color w:val="000000"/>
          <w:sz w:val="21"/>
          <w:szCs w:val="21"/>
          <w:lang w:eastAsia="es-ES_tradnl"/>
        </w:rPr>
      </w:pPr>
      <w:r w:rsidRPr="007C017E">
        <w:rPr>
          <w:rFonts w:ascii="Verdana" w:eastAsia="Times New Roman" w:hAnsi="Verdana" w:cs="Times New Roman"/>
          <w:color w:val="000000"/>
          <w:sz w:val="21"/>
          <w:szCs w:val="21"/>
          <w:lang w:eastAsia="es-ES_tradnl"/>
        </w:rPr>
        <w:t>Operar y administrar el Padrón Único de Confianza, en los términos de esta Ley y los convenios de coordinación con las entidades federativas, los municipios y las alcaldías de la Ciudad de México, y</w:t>
      </w:r>
    </w:p>
    <w:p w14:paraId="6FFD8BA4" w14:textId="77777777" w:rsidR="007C017E" w:rsidRPr="007C017E" w:rsidRDefault="007C017E" w:rsidP="007C017E">
      <w:pPr>
        <w:numPr>
          <w:ilvl w:val="0"/>
          <w:numId w:val="1"/>
        </w:numPr>
        <w:spacing w:before="100" w:beforeAutospacing="1" w:after="100" w:afterAutospacing="1"/>
        <w:jc w:val="both"/>
        <w:rPr>
          <w:rFonts w:ascii="Verdana" w:eastAsia="Times New Roman" w:hAnsi="Verdana" w:cs="Times New Roman"/>
          <w:color w:val="000000"/>
          <w:sz w:val="21"/>
          <w:szCs w:val="21"/>
          <w:lang w:eastAsia="es-ES_tradnl"/>
        </w:rPr>
      </w:pPr>
      <w:r w:rsidRPr="007C017E">
        <w:rPr>
          <w:rFonts w:ascii="Verdana" w:eastAsia="Times New Roman" w:hAnsi="Verdana" w:cs="Times New Roman"/>
          <w:color w:val="000000"/>
          <w:sz w:val="21"/>
          <w:szCs w:val="21"/>
          <w:lang w:eastAsia="es-ES_tradnl"/>
        </w:rPr>
        <w:t>Las demás otorgadas por esta Ley y las disposiciones que de ella emanen.</w:t>
      </w:r>
    </w:p>
    <w:p w14:paraId="6CE30750" w14:textId="77777777" w:rsidR="007C017E" w:rsidRPr="007C017E" w:rsidRDefault="007C017E" w:rsidP="007C017E">
      <w:pPr>
        <w:spacing w:after="150"/>
        <w:jc w:val="both"/>
        <w:rPr>
          <w:rFonts w:ascii="Verdana" w:hAnsi="Verdana" w:cs="Times New Roman"/>
          <w:color w:val="000000"/>
          <w:sz w:val="21"/>
          <w:szCs w:val="21"/>
          <w:lang w:eastAsia="es-ES_tradnl"/>
        </w:rPr>
      </w:pPr>
      <w:r w:rsidRPr="007C017E">
        <w:rPr>
          <w:rFonts w:ascii="Verdana" w:hAnsi="Verdana" w:cs="Times New Roman"/>
          <w:color w:val="000000"/>
          <w:sz w:val="21"/>
          <w:szCs w:val="21"/>
          <w:lang w:eastAsia="es-ES_tradnl"/>
        </w:rPr>
        <w:t>Artículo 3. Para los efectos de esta Ley se entiende por:</w:t>
      </w:r>
    </w:p>
    <w:p w14:paraId="5C9C8843" w14:textId="77777777" w:rsidR="007C017E" w:rsidRPr="007C017E" w:rsidRDefault="007C017E" w:rsidP="007C017E">
      <w:pPr>
        <w:numPr>
          <w:ilvl w:val="0"/>
          <w:numId w:val="2"/>
        </w:numPr>
        <w:spacing w:before="100" w:beforeAutospacing="1" w:after="100" w:afterAutospacing="1"/>
        <w:jc w:val="both"/>
        <w:rPr>
          <w:rFonts w:ascii="Verdana" w:eastAsia="Times New Roman" w:hAnsi="Verdana" w:cs="Times New Roman"/>
          <w:color w:val="000000"/>
          <w:sz w:val="21"/>
          <w:szCs w:val="21"/>
          <w:lang w:eastAsia="es-ES_tradnl"/>
        </w:rPr>
      </w:pPr>
      <w:r w:rsidRPr="007C017E">
        <w:rPr>
          <w:rFonts w:ascii="Verdana" w:eastAsia="Times New Roman" w:hAnsi="Verdana" w:cs="Times New Roman"/>
          <w:color w:val="000000"/>
          <w:sz w:val="21"/>
          <w:szCs w:val="21"/>
          <w:lang w:eastAsia="es-ES_tradnl"/>
        </w:rPr>
        <w:t>Contribuyente(s): persona(s) física(s) o moral(es) que realice(n) actividades económicas, acreditada(s) por el cumplimiento voluntario y permanente de las obligaciones regulatorias y fiscales.</w:t>
      </w:r>
    </w:p>
    <w:p w14:paraId="7C246A72" w14:textId="77777777" w:rsidR="007C017E" w:rsidRPr="007C017E" w:rsidRDefault="007C017E" w:rsidP="007C017E">
      <w:pPr>
        <w:numPr>
          <w:ilvl w:val="0"/>
          <w:numId w:val="2"/>
        </w:numPr>
        <w:spacing w:before="100" w:beforeAutospacing="1" w:after="100" w:afterAutospacing="1"/>
        <w:jc w:val="both"/>
        <w:rPr>
          <w:rFonts w:ascii="Verdana" w:eastAsia="Times New Roman" w:hAnsi="Verdana" w:cs="Times New Roman"/>
          <w:color w:val="000000"/>
          <w:sz w:val="21"/>
          <w:szCs w:val="21"/>
          <w:lang w:eastAsia="es-ES_tradnl"/>
        </w:rPr>
      </w:pPr>
      <w:r w:rsidRPr="007C017E">
        <w:rPr>
          <w:rFonts w:ascii="Verdana" w:eastAsia="Times New Roman" w:hAnsi="Verdana" w:cs="Times New Roman"/>
          <w:color w:val="000000"/>
          <w:sz w:val="21"/>
          <w:szCs w:val="21"/>
          <w:lang w:eastAsia="es-ES_tradnl"/>
        </w:rPr>
        <w:t>Ley: Ley del Fomento a la Confianza Ciudadana.</w:t>
      </w:r>
    </w:p>
    <w:p w14:paraId="1C149E23" w14:textId="77777777" w:rsidR="007C017E" w:rsidRPr="007C017E" w:rsidRDefault="007C017E" w:rsidP="007C017E">
      <w:pPr>
        <w:numPr>
          <w:ilvl w:val="0"/>
          <w:numId w:val="2"/>
        </w:numPr>
        <w:spacing w:before="100" w:beforeAutospacing="1" w:after="100" w:afterAutospacing="1"/>
        <w:jc w:val="both"/>
        <w:rPr>
          <w:rFonts w:ascii="Verdana" w:eastAsia="Times New Roman" w:hAnsi="Verdana" w:cs="Times New Roman"/>
          <w:color w:val="000000"/>
          <w:sz w:val="21"/>
          <w:szCs w:val="21"/>
          <w:lang w:eastAsia="es-ES_tradnl"/>
        </w:rPr>
      </w:pPr>
      <w:r w:rsidRPr="007C017E">
        <w:rPr>
          <w:rFonts w:ascii="Verdana" w:eastAsia="Times New Roman" w:hAnsi="Verdana" w:cs="Times New Roman"/>
          <w:color w:val="000000"/>
          <w:sz w:val="21"/>
          <w:szCs w:val="21"/>
          <w:lang w:eastAsia="es-ES_tradnl"/>
        </w:rPr>
        <w:t>Órgano: el Órgano dependiente de la Secretaría de Economía a cargo de la implementación de políticas y programas en materia administrativa que generen un entorno de confianza ciudadana para el impulso de la actividad económica, así como de la operación y administración del Padrón Único de Confianza.</w:t>
      </w:r>
    </w:p>
    <w:p w14:paraId="5E036EF8" w14:textId="77777777" w:rsidR="007C017E" w:rsidRPr="007C017E" w:rsidRDefault="007C017E" w:rsidP="007C017E">
      <w:pPr>
        <w:numPr>
          <w:ilvl w:val="0"/>
          <w:numId w:val="2"/>
        </w:numPr>
        <w:spacing w:before="100" w:beforeAutospacing="1" w:after="100" w:afterAutospacing="1"/>
        <w:jc w:val="both"/>
        <w:rPr>
          <w:rFonts w:ascii="Verdana" w:eastAsia="Times New Roman" w:hAnsi="Verdana" w:cs="Times New Roman"/>
          <w:color w:val="000000"/>
          <w:sz w:val="21"/>
          <w:szCs w:val="21"/>
          <w:lang w:eastAsia="es-ES_tradnl"/>
        </w:rPr>
      </w:pPr>
      <w:r w:rsidRPr="007C017E">
        <w:rPr>
          <w:rFonts w:ascii="Verdana" w:eastAsia="Times New Roman" w:hAnsi="Verdana" w:cs="Times New Roman"/>
          <w:color w:val="000000"/>
          <w:sz w:val="21"/>
          <w:szCs w:val="21"/>
          <w:lang w:eastAsia="es-ES_tradnl"/>
        </w:rPr>
        <w:t>Padrón: Padrón Único de Confianza.</w:t>
      </w:r>
    </w:p>
    <w:p w14:paraId="44C4FA28" w14:textId="77777777" w:rsidR="007C017E" w:rsidRPr="007C017E" w:rsidRDefault="007C017E" w:rsidP="007C017E">
      <w:pPr>
        <w:numPr>
          <w:ilvl w:val="0"/>
          <w:numId w:val="2"/>
        </w:numPr>
        <w:spacing w:before="100" w:beforeAutospacing="1" w:after="100" w:afterAutospacing="1"/>
        <w:jc w:val="both"/>
        <w:rPr>
          <w:rFonts w:ascii="Verdana" w:eastAsia="Times New Roman" w:hAnsi="Verdana" w:cs="Times New Roman"/>
          <w:color w:val="000000"/>
          <w:sz w:val="21"/>
          <w:szCs w:val="21"/>
          <w:lang w:eastAsia="es-ES_tradnl"/>
        </w:rPr>
      </w:pPr>
      <w:r w:rsidRPr="007C017E">
        <w:rPr>
          <w:rFonts w:ascii="Verdana" w:eastAsia="Times New Roman" w:hAnsi="Verdana" w:cs="Times New Roman"/>
          <w:color w:val="000000"/>
          <w:sz w:val="21"/>
          <w:szCs w:val="21"/>
          <w:lang w:eastAsia="es-ES_tradnl"/>
        </w:rPr>
        <w:t>Reglamento: el Reglamento de la Ley de Fomento a la Confianza Ciudadana.</w:t>
      </w:r>
    </w:p>
    <w:p w14:paraId="53BDB71B" w14:textId="77777777" w:rsidR="007C017E" w:rsidRPr="007C017E" w:rsidRDefault="007C017E" w:rsidP="007C017E">
      <w:pPr>
        <w:numPr>
          <w:ilvl w:val="0"/>
          <w:numId w:val="2"/>
        </w:numPr>
        <w:spacing w:before="100" w:beforeAutospacing="1" w:after="100" w:afterAutospacing="1"/>
        <w:jc w:val="both"/>
        <w:rPr>
          <w:rFonts w:ascii="Verdana" w:eastAsia="Times New Roman" w:hAnsi="Verdana" w:cs="Times New Roman"/>
          <w:color w:val="000000"/>
          <w:sz w:val="21"/>
          <w:szCs w:val="21"/>
          <w:lang w:eastAsia="es-ES_tradnl"/>
        </w:rPr>
      </w:pPr>
      <w:r w:rsidRPr="007C017E">
        <w:rPr>
          <w:rFonts w:ascii="Verdana" w:eastAsia="Times New Roman" w:hAnsi="Verdana" w:cs="Times New Roman"/>
          <w:color w:val="000000"/>
          <w:sz w:val="21"/>
          <w:szCs w:val="21"/>
          <w:lang w:eastAsia="es-ES_tradnl"/>
        </w:rPr>
        <w:t>Secretaría: Secretaría de Economía.</w:t>
      </w:r>
    </w:p>
    <w:p w14:paraId="30267A33" w14:textId="77777777" w:rsidR="007C017E" w:rsidRPr="007C017E" w:rsidRDefault="007C017E" w:rsidP="007C017E">
      <w:pPr>
        <w:spacing w:after="150"/>
        <w:jc w:val="center"/>
        <w:rPr>
          <w:rFonts w:ascii="Verdana" w:hAnsi="Verdana" w:cs="Times New Roman"/>
          <w:color w:val="000000"/>
          <w:sz w:val="21"/>
          <w:szCs w:val="21"/>
          <w:lang w:eastAsia="es-ES_tradnl"/>
        </w:rPr>
      </w:pPr>
      <w:r w:rsidRPr="007C017E">
        <w:rPr>
          <w:rFonts w:ascii="Verdana" w:hAnsi="Verdana" w:cs="Times New Roman"/>
          <w:b/>
          <w:bCs/>
          <w:color w:val="000000"/>
          <w:sz w:val="21"/>
          <w:szCs w:val="21"/>
          <w:lang w:eastAsia="es-ES_tradnl"/>
        </w:rPr>
        <w:t>CAPÍTULO II</w:t>
      </w:r>
    </w:p>
    <w:p w14:paraId="4F2AC5E0" w14:textId="77777777" w:rsidR="007C017E" w:rsidRPr="007C017E" w:rsidRDefault="007C017E" w:rsidP="007C017E">
      <w:pPr>
        <w:spacing w:after="150"/>
        <w:jc w:val="center"/>
        <w:rPr>
          <w:rFonts w:ascii="Verdana" w:hAnsi="Verdana" w:cs="Times New Roman"/>
          <w:color w:val="000000"/>
          <w:sz w:val="21"/>
          <w:szCs w:val="21"/>
          <w:lang w:eastAsia="es-ES_tradnl"/>
        </w:rPr>
      </w:pPr>
      <w:r w:rsidRPr="007C017E">
        <w:rPr>
          <w:rFonts w:ascii="Verdana" w:hAnsi="Verdana" w:cs="Times New Roman"/>
          <w:b/>
          <w:bCs/>
          <w:color w:val="000000"/>
          <w:sz w:val="21"/>
          <w:szCs w:val="21"/>
          <w:lang w:eastAsia="es-ES_tradnl"/>
        </w:rPr>
        <w:t>DE LA INTEGRACIÓN, OPERACIÓN Y OBJETO DEL PADRÓN</w:t>
      </w:r>
    </w:p>
    <w:p w14:paraId="36F609ED" w14:textId="77777777" w:rsidR="007C017E" w:rsidRPr="007C017E" w:rsidRDefault="007C017E" w:rsidP="007C017E">
      <w:pPr>
        <w:spacing w:after="150"/>
        <w:jc w:val="both"/>
        <w:rPr>
          <w:rFonts w:ascii="Verdana" w:hAnsi="Verdana" w:cs="Times New Roman"/>
          <w:color w:val="000000"/>
          <w:sz w:val="21"/>
          <w:szCs w:val="21"/>
          <w:lang w:eastAsia="es-ES_tradnl"/>
        </w:rPr>
      </w:pPr>
      <w:r w:rsidRPr="007C017E">
        <w:rPr>
          <w:rFonts w:ascii="Verdana" w:hAnsi="Verdana" w:cs="Times New Roman"/>
          <w:color w:val="000000"/>
          <w:sz w:val="21"/>
          <w:szCs w:val="21"/>
          <w:lang w:eastAsia="es-ES_tradnl"/>
        </w:rPr>
        <w:t xml:space="preserve">Artículo 4. El Padrón es un sistema de la Administración Pública Federal, que tiene como propósito la captura, almacenamiento, custodia, seguridad, consulta, </w:t>
      </w:r>
      <w:r w:rsidRPr="007C017E">
        <w:rPr>
          <w:rFonts w:ascii="Verdana" w:hAnsi="Verdana" w:cs="Times New Roman"/>
          <w:color w:val="000000"/>
          <w:sz w:val="21"/>
          <w:szCs w:val="21"/>
          <w:lang w:eastAsia="es-ES_tradnl"/>
        </w:rPr>
        <w:lastRenderedPageBreak/>
        <w:t>administración y transmisión de información concerniente a los contribuyentes que podrán ser beneficiarios de los programas que se instrumenten en el marco de la presente Ley. </w:t>
      </w:r>
    </w:p>
    <w:p w14:paraId="17E7A3FD" w14:textId="77777777" w:rsidR="007C017E" w:rsidRPr="007C017E" w:rsidRDefault="007C017E" w:rsidP="007C017E">
      <w:pPr>
        <w:spacing w:after="150"/>
        <w:jc w:val="both"/>
        <w:rPr>
          <w:rFonts w:ascii="Verdana" w:hAnsi="Verdana" w:cs="Times New Roman"/>
          <w:color w:val="000000"/>
          <w:sz w:val="21"/>
          <w:szCs w:val="21"/>
          <w:lang w:eastAsia="es-ES_tradnl"/>
        </w:rPr>
      </w:pPr>
      <w:r w:rsidRPr="007C017E">
        <w:rPr>
          <w:rFonts w:ascii="Verdana" w:hAnsi="Verdana" w:cs="Times New Roman"/>
          <w:color w:val="000000"/>
          <w:sz w:val="21"/>
          <w:szCs w:val="21"/>
          <w:lang w:eastAsia="es-ES_tradnl"/>
        </w:rPr>
        <w:t>La información que se consigne en el Padrón deberá manejarse de conformidad con lo establecido por la Ley General de Transparencia y Acceso a la Información Pública, la Ley Federal de Transparencia y Acceso a la Información Pública y La Ley General de Protección de Datos Personales en Posesión de Sujetos Obligados.</w:t>
      </w:r>
    </w:p>
    <w:p w14:paraId="2C8AE10D" w14:textId="77777777" w:rsidR="007C017E" w:rsidRPr="007C017E" w:rsidRDefault="007C017E" w:rsidP="007C017E">
      <w:pPr>
        <w:spacing w:after="150"/>
        <w:jc w:val="both"/>
        <w:rPr>
          <w:rFonts w:ascii="Verdana" w:hAnsi="Verdana" w:cs="Times New Roman"/>
          <w:color w:val="000000"/>
          <w:sz w:val="21"/>
          <w:szCs w:val="21"/>
          <w:lang w:eastAsia="es-ES_tradnl"/>
        </w:rPr>
      </w:pPr>
      <w:r w:rsidRPr="007C017E">
        <w:rPr>
          <w:rFonts w:ascii="Verdana" w:hAnsi="Verdana" w:cs="Times New Roman"/>
          <w:color w:val="000000"/>
          <w:sz w:val="21"/>
          <w:szCs w:val="21"/>
          <w:lang w:eastAsia="es-ES_tradnl"/>
        </w:rPr>
        <w:t>Artículo 5. El Padrón se conformará con la información de los contribuyentes que voluntariamente se inscriban. La inscripción voluntaria se entenderá como un acto de buena fe, por el cual los contribuyentes manifiestan que se encuentran al corriente en el cumplimiento de las obligaciones regulatorias y fiscales, de acuerdo con la actividad económica que desempeñen.</w:t>
      </w:r>
    </w:p>
    <w:p w14:paraId="66E875C7" w14:textId="77777777" w:rsidR="007C017E" w:rsidRPr="007C017E" w:rsidRDefault="007C017E" w:rsidP="007C017E">
      <w:pPr>
        <w:spacing w:after="150"/>
        <w:jc w:val="both"/>
        <w:rPr>
          <w:rFonts w:ascii="Verdana" w:hAnsi="Verdana" w:cs="Times New Roman"/>
          <w:color w:val="000000"/>
          <w:sz w:val="21"/>
          <w:szCs w:val="21"/>
          <w:lang w:eastAsia="es-ES_tradnl"/>
        </w:rPr>
      </w:pPr>
      <w:r w:rsidRPr="007C017E">
        <w:rPr>
          <w:rFonts w:ascii="Verdana" w:hAnsi="Verdana" w:cs="Times New Roman"/>
          <w:color w:val="000000"/>
          <w:sz w:val="21"/>
          <w:szCs w:val="21"/>
          <w:lang w:eastAsia="es-ES_tradnl"/>
        </w:rPr>
        <w:t>Al momento de su inscripción en el Padrón, los contribuyentes deberán manifestar, bajo protesta de decir verdad, que se comprometen a continuar con el cumplimiento de las obligaciones derivadas de la normatividad que los regula, así como con sus obligaciones fiscales, a efecto de ser objeto de los beneficios que se otorguen en el marco de la presente Ley.</w:t>
      </w:r>
    </w:p>
    <w:p w14:paraId="7EFB4D1F" w14:textId="77777777" w:rsidR="007C017E" w:rsidRPr="007C017E" w:rsidRDefault="007C017E" w:rsidP="007C017E">
      <w:pPr>
        <w:spacing w:after="150"/>
        <w:jc w:val="both"/>
        <w:rPr>
          <w:rFonts w:ascii="Verdana" w:hAnsi="Verdana" w:cs="Times New Roman"/>
          <w:color w:val="000000"/>
          <w:sz w:val="21"/>
          <w:szCs w:val="21"/>
          <w:lang w:eastAsia="es-ES_tradnl"/>
        </w:rPr>
      </w:pPr>
      <w:r w:rsidRPr="007C017E">
        <w:rPr>
          <w:rFonts w:ascii="Verdana" w:hAnsi="Verdana" w:cs="Times New Roman"/>
          <w:color w:val="000000"/>
          <w:sz w:val="21"/>
          <w:szCs w:val="21"/>
          <w:lang w:eastAsia="es-ES_tradnl"/>
        </w:rPr>
        <w:t>Artículo 6. El registro al Padrón otorgará los beneficios y facilidades administrativas que acuerde el Órgano, en el marco de los programas sectoriales establecidos por las dependencias y entidades de la Administración Pública Federal.</w:t>
      </w:r>
    </w:p>
    <w:p w14:paraId="09CAABCE" w14:textId="77777777" w:rsidR="007C017E" w:rsidRPr="007C017E" w:rsidRDefault="007C017E" w:rsidP="007C017E">
      <w:pPr>
        <w:spacing w:after="150"/>
        <w:jc w:val="both"/>
        <w:rPr>
          <w:rFonts w:ascii="Verdana" w:hAnsi="Verdana" w:cs="Times New Roman"/>
          <w:color w:val="000000"/>
          <w:sz w:val="21"/>
          <w:szCs w:val="21"/>
          <w:lang w:eastAsia="es-ES_tradnl"/>
        </w:rPr>
      </w:pPr>
      <w:r w:rsidRPr="007C017E">
        <w:rPr>
          <w:rFonts w:ascii="Verdana" w:hAnsi="Verdana" w:cs="Times New Roman"/>
          <w:color w:val="000000"/>
          <w:sz w:val="21"/>
          <w:szCs w:val="21"/>
          <w:lang w:eastAsia="es-ES_tradnl"/>
        </w:rPr>
        <w:t>La inscripción y registro al Padrón no obligará al pago de cuota alguna de afiliación.</w:t>
      </w:r>
    </w:p>
    <w:p w14:paraId="3F2DB5F5" w14:textId="77777777" w:rsidR="007C017E" w:rsidRPr="007C017E" w:rsidRDefault="007C017E" w:rsidP="007C017E">
      <w:pPr>
        <w:spacing w:after="150"/>
        <w:jc w:val="both"/>
        <w:rPr>
          <w:rFonts w:ascii="Verdana" w:hAnsi="Verdana" w:cs="Times New Roman"/>
          <w:color w:val="000000"/>
          <w:sz w:val="21"/>
          <w:szCs w:val="21"/>
          <w:lang w:eastAsia="es-ES_tradnl"/>
        </w:rPr>
      </w:pPr>
      <w:r w:rsidRPr="007C017E">
        <w:rPr>
          <w:rFonts w:ascii="Verdana" w:hAnsi="Verdana" w:cs="Times New Roman"/>
          <w:color w:val="000000"/>
          <w:sz w:val="21"/>
          <w:szCs w:val="21"/>
          <w:lang w:eastAsia="es-ES_tradnl"/>
        </w:rPr>
        <w:t>Artículo 7. Para los procesos de inscripción y registro al Padrón, la Secretaría, en el ámbito de sus atribuciones, aprovechará de la mejor manera las tecnologías de la información, y aplicará en lo conducente los principios a que se refiere el artículo 7 de la Ley General de Mejora Regulatoria.</w:t>
      </w:r>
    </w:p>
    <w:p w14:paraId="57AA53B7" w14:textId="77777777" w:rsidR="007C017E" w:rsidRPr="007C017E" w:rsidRDefault="007C017E" w:rsidP="007C017E">
      <w:pPr>
        <w:spacing w:after="150"/>
        <w:jc w:val="both"/>
        <w:rPr>
          <w:rFonts w:ascii="Verdana" w:hAnsi="Verdana" w:cs="Times New Roman"/>
          <w:color w:val="000000"/>
          <w:sz w:val="21"/>
          <w:szCs w:val="21"/>
          <w:lang w:eastAsia="es-ES_tradnl"/>
        </w:rPr>
      </w:pPr>
      <w:r w:rsidRPr="007C017E">
        <w:rPr>
          <w:rFonts w:ascii="Verdana" w:hAnsi="Verdana" w:cs="Times New Roman"/>
          <w:color w:val="000000"/>
          <w:sz w:val="21"/>
          <w:szCs w:val="21"/>
          <w:lang w:eastAsia="es-ES_tradnl"/>
        </w:rPr>
        <w:t>Artículo 8. El Órgano definirá la información que los contribuyentes deberán registrar en el Padrón, y los criterios para realizar el registro, los cuales deberán ser ampliamente difundidos, teniendo en cuenta las características de la actividad económica en la que se desempeñen.</w:t>
      </w:r>
    </w:p>
    <w:p w14:paraId="3C5A79E8" w14:textId="77777777" w:rsidR="007C017E" w:rsidRPr="007C017E" w:rsidRDefault="007C017E" w:rsidP="007C017E">
      <w:pPr>
        <w:spacing w:after="150"/>
        <w:jc w:val="both"/>
        <w:rPr>
          <w:rFonts w:ascii="Verdana" w:hAnsi="Verdana" w:cs="Times New Roman"/>
          <w:color w:val="000000"/>
          <w:sz w:val="21"/>
          <w:szCs w:val="21"/>
          <w:lang w:eastAsia="es-ES_tradnl"/>
        </w:rPr>
      </w:pPr>
      <w:r w:rsidRPr="007C017E">
        <w:rPr>
          <w:rFonts w:ascii="Verdana" w:hAnsi="Verdana" w:cs="Times New Roman"/>
          <w:color w:val="000000"/>
          <w:sz w:val="21"/>
          <w:szCs w:val="21"/>
          <w:lang w:eastAsia="es-ES_tradnl"/>
        </w:rPr>
        <w:t>Artículo 9. La consulta al Padrón se podrá realizar de manera pública a través del portal de internet que la Secretaría desarrolle para tal efecto. La Secretaría protegerá los datos personales, de acuerdo con la legislación vigente en la materia.</w:t>
      </w:r>
    </w:p>
    <w:p w14:paraId="76039EBB" w14:textId="77777777" w:rsidR="007C017E" w:rsidRPr="007C017E" w:rsidRDefault="007C017E" w:rsidP="007C017E">
      <w:pPr>
        <w:rPr>
          <w:rFonts w:ascii="Times New Roman" w:eastAsia="Times New Roman" w:hAnsi="Times New Roman" w:cs="Times New Roman"/>
          <w:lang w:eastAsia="es-ES_tradnl"/>
        </w:rPr>
      </w:pPr>
      <w:r w:rsidRPr="007C017E">
        <w:rPr>
          <w:rFonts w:ascii="Verdana" w:eastAsia="Times New Roman" w:hAnsi="Verdana" w:cs="Times New Roman"/>
          <w:b/>
          <w:bCs/>
          <w:color w:val="000000"/>
          <w:sz w:val="21"/>
          <w:szCs w:val="21"/>
          <w:lang w:eastAsia="es-ES_tradnl"/>
        </w:rPr>
        <w:br w:type="textWrapping" w:clear="all"/>
      </w:r>
    </w:p>
    <w:p w14:paraId="03ED69E4" w14:textId="77777777" w:rsidR="007C017E" w:rsidRPr="007C017E" w:rsidRDefault="007C017E" w:rsidP="007C017E">
      <w:pPr>
        <w:spacing w:after="150"/>
        <w:jc w:val="center"/>
        <w:rPr>
          <w:rFonts w:ascii="Verdana" w:hAnsi="Verdana" w:cs="Times New Roman"/>
          <w:color w:val="000000"/>
          <w:sz w:val="21"/>
          <w:szCs w:val="21"/>
          <w:lang w:eastAsia="es-ES_tradnl"/>
        </w:rPr>
      </w:pPr>
      <w:r w:rsidRPr="007C017E">
        <w:rPr>
          <w:rFonts w:ascii="Verdana" w:hAnsi="Verdana" w:cs="Times New Roman"/>
          <w:b/>
          <w:bCs/>
          <w:color w:val="000000"/>
          <w:sz w:val="21"/>
          <w:szCs w:val="21"/>
          <w:lang w:eastAsia="es-ES_tradnl"/>
        </w:rPr>
        <w:t>CAPÍTULO III</w:t>
      </w:r>
    </w:p>
    <w:p w14:paraId="46041057" w14:textId="77777777" w:rsidR="007C017E" w:rsidRPr="007C017E" w:rsidRDefault="007C017E" w:rsidP="007C017E">
      <w:pPr>
        <w:spacing w:after="150"/>
        <w:jc w:val="center"/>
        <w:rPr>
          <w:rFonts w:ascii="Verdana" w:hAnsi="Verdana" w:cs="Times New Roman"/>
          <w:color w:val="000000"/>
          <w:sz w:val="21"/>
          <w:szCs w:val="21"/>
          <w:lang w:eastAsia="es-ES_tradnl"/>
        </w:rPr>
      </w:pPr>
      <w:r w:rsidRPr="007C017E">
        <w:rPr>
          <w:rFonts w:ascii="Verdana" w:hAnsi="Verdana" w:cs="Times New Roman"/>
          <w:b/>
          <w:bCs/>
          <w:color w:val="000000"/>
          <w:sz w:val="21"/>
          <w:szCs w:val="21"/>
          <w:lang w:eastAsia="es-ES_tradnl"/>
        </w:rPr>
        <w:t>DE LA COORDINACIÓN INSTITUCIONAL PARA EL FOMENTO DE LA CONFIANZA CIUDADANA</w:t>
      </w:r>
    </w:p>
    <w:p w14:paraId="24F3C282" w14:textId="77777777" w:rsidR="007C017E" w:rsidRPr="007C017E" w:rsidRDefault="007C017E" w:rsidP="007C017E">
      <w:pPr>
        <w:spacing w:after="150"/>
        <w:jc w:val="both"/>
        <w:rPr>
          <w:rFonts w:ascii="Verdana" w:hAnsi="Verdana" w:cs="Times New Roman"/>
          <w:color w:val="000000"/>
          <w:sz w:val="21"/>
          <w:szCs w:val="21"/>
          <w:lang w:eastAsia="es-ES_tradnl"/>
        </w:rPr>
      </w:pPr>
      <w:r w:rsidRPr="007C017E">
        <w:rPr>
          <w:rFonts w:ascii="Verdana" w:hAnsi="Verdana" w:cs="Times New Roman"/>
          <w:color w:val="000000"/>
          <w:sz w:val="21"/>
          <w:szCs w:val="21"/>
          <w:lang w:eastAsia="es-ES_tradnl"/>
        </w:rPr>
        <w:t>Artículo 10. La Secretaría, en coordinación con las dependencias y entidades de la Administración Pública Federal, y los sectores público, privado y académico integrarán, de conformidad con lo establecido en el Reglamento, el Órgano encargado de definir las actividades, esquemas y programas, mediante los cuales se otorgarán los beneficios y facilidades administrativas a los que podrán tener acceso los contribuyentes que se registren en el Padrón.</w:t>
      </w:r>
    </w:p>
    <w:p w14:paraId="3679B418" w14:textId="77777777" w:rsidR="007C017E" w:rsidRPr="007C017E" w:rsidRDefault="007C017E" w:rsidP="007C017E">
      <w:pPr>
        <w:spacing w:after="150"/>
        <w:jc w:val="both"/>
        <w:rPr>
          <w:rFonts w:ascii="Verdana" w:hAnsi="Verdana" w:cs="Times New Roman"/>
          <w:color w:val="000000"/>
          <w:sz w:val="21"/>
          <w:szCs w:val="21"/>
          <w:lang w:eastAsia="es-ES_tradnl"/>
        </w:rPr>
      </w:pPr>
      <w:r w:rsidRPr="007C017E">
        <w:rPr>
          <w:rFonts w:ascii="Verdana" w:hAnsi="Verdana" w:cs="Times New Roman"/>
          <w:color w:val="000000"/>
          <w:sz w:val="21"/>
          <w:szCs w:val="21"/>
          <w:lang w:eastAsia="es-ES_tradnl"/>
        </w:rPr>
        <w:t>Artículo 11. El Órgano tendrá las funciones siguientes:</w:t>
      </w:r>
    </w:p>
    <w:p w14:paraId="75FEBF67" w14:textId="77777777" w:rsidR="007C017E" w:rsidRPr="007C017E" w:rsidRDefault="007C017E" w:rsidP="007C017E">
      <w:pPr>
        <w:numPr>
          <w:ilvl w:val="0"/>
          <w:numId w:val="3"/>
        </w:numPr>
        <w:spacing w:before="100" w:beforeAutospacing="1" w:after="100" w:afterAutospacing="1"/>
        <w:jc w:val="both"/>
        <w:rPr>
          <w:rFonts w:ascii="Verdana" w:eastAsia="Times New Roman" w:hAnsi="Verdana" w:cs="Times New Roman"/>
          <w:color w:val="000000"/>
          <w:sz w:val="21"/>
          <w:szCs w:val="21"/>
          <w:lang w:eastAsia="es-ES_tradnl"/>
        </w:rPr>
      </w:pPr>
      <w:r w:rsidRPr="007C017E">
        <w:rPr>
          <w:rFonts w:ascii="Verdana" w:eastAsia="Times New Roman" w:hAnsi="Verdana" w:cs="Times New Roman"/>
          <w:color w:val="000000"/>
          <w:sz w:val="21"/>
          <w:szCs w:val="21"/>
          <w:lang w:eastAsia="es-ES_tradnl"/>
        </w:rPr>
        <w:t>Emitir su reglamento interno;</w:t>
      </w:r>
    </w:p>
    <w:p w14:paraId="4901C595" w14:textId="77777777" w:rsidR="007C017E" w:rsidRPr="007C017E" w:rsidRDefault="007C017E" w:rsidP="007C017E">
      <w:pPr>
        <w:numPr>
          <w:ilvl w:val="0"/>
          <w:numId w:val="3"/>
        </w:numPr>
        <w:spacing w:before="100" w:beforeAutospacing="1" w:after="100" w:afterAutospacing="1"/>
        <w:jc w:val="both"/>
        <w:rPr>
          <w:rFonts w:ascii="Verdana" w:eastAsia="Times New Roman" w:hAnsi="Verdana" w:cs="Times New Roman"/>
          <w:color w:val="000000"/>
          <w:sz w:val="21"/>
          <w:szCs w:val="21"/>
          <w:lang w:eastAsia="es-ES_tradnl"/>
        </w:rPr>
      </w:pPr>
      <w:r w:rsidRPr="007C017E">
        <w:rPr>
          <w:rFonts w:ascii="Verdana" w:eastAsia="Times New Roman" w:hAnsi="Verdana" w:cs="Times New Roman"/>
          <w:color w:val="000000"/>
          <w:sz w:val="21"/>
          <w:szCs w:val="21"/>
          <w:lang w:eastAsia="es-ES_tradnl"/>
        </w:rPr>
        <w:t>Promover la coordinación de acciones y programas sectoriales de las dependencias y entidades de la Administración Pública Federal, en el ámbito de sus atribuciones, para el otorgamiento de beneficios y facilidades administrativas;</w:t>
      </w:r>
    </w:p>
    <w:p w14:paraId="6405C602" w14:textId="77777777" w:rsidR="007C017E" w:rsidRPr="007C017E" w:rsidRDefault="007C017E" w:rsidP="007C017E">
      <w:pPr>
        <w:numPr>
          <w:ilvl w:val="0"/>
          <w:numId w:val="3"/>
        </w:numPr>
        <w:spacing w:before="100" w:beforeAutospacing="1" w:after="100" w:afterAutospacing="1"/>
        <w:jc w:val="both"/>
        <w:rPr>
          <w:rFonts w:ascii="Verdana" w:eastAsia="Times New Roman" w:hAnsi="Verdana" w:cs="Times New Roman"/>
          <w:color w:val="000000"/>
          <w:sz w:val="21"/>
          <w:szCs w:val="21"/>
          <w:lang w:eastAsia="es-ES_tradnl"/>
        </w:rPr>
      </w:pPr>
      <w:r w:rsidRPr="007C017E">
        <w:rPr>
          <w:rFonts w:ascii="Verdana" w:eastAsia="Times New Roman" w:hAnsi="Verdana" w:cs="Times New Roman"/>
          <w:color w:val="000000"/>
          <w:sz w:val="21"/>
          <w:szCs w:val="21"/>
          <w:lang w:eastAsia="es-ES_tradnl"/>
        </w:rPr>
        <w:t>Acordar los beneficios y facilidades administrativas que la Administración Pública Federal otorgará a los contribuyentes inscritos en el Padrón;</w:t>
      </w:r>
    </w:p>
    <w:p w14:paraId="4C8A359C" w14:textId="77777777" w:rsidR="007C017E" w:rsidRPr="007C017E" w:rsidRDefault="007C017E" w:rsidP="007C017E">
      <w:pPr>
        <w:numPr>
          <w:ilvl w:val="0"/>
          <w:numId w:val="3"/>
        </w:numPr>
        <w:spacing w:before="100" w:beforeAutospacing="1" w:after="100" w:afterAutospacing="1"/>
        <w:jc w:val="both"/>
        <w:rPr>
          <w:rFonts w:ascii="Verdana" w:eastAsia="Times New Roman" w:hAnsi="Verdana" w:cs="Times New Roman"/>
          <w:color w:val="000000"/>
          <w:sz w:val="21"/>
          <w:szCs w:val="21"/>
          <w:lang w:eastAsia="es-ES_tradnl"/>
        </w:rPr>
      </w:pPr>
      <w:r w:rsidRPr="007C017E">
        <w:rPr>
          <w:rFonts w:ascii="Verdana" w:eastAsia="Times New Roman" w:hAnsi="Verdana" w:cs="Times New Roman"/>
          <w:color w:val="000000"/>
          <w:sz w:val="21"/>
          <w:szCs w:val="21"/>
          <w:lang w:eastAsia="es-ES_tradnl"/>
        </w:rPr>
        <w:t>Formular e instrumentar acciones para la promoción de la cultura de la legalidad y el cumplimiento de las obligaciones regulatorias y fiscales;</w:t>
      </w:r>
    </w:p>
    <w:p w14:paraId="6D377750" w14:textId="77777777" w:rsidR="007C017E" w:rsidRPr="007C017E" w:rsidRDefault="007C017E" w:rsidP="007C017E">
      <w:pPr>
        <w:numPr>
          <w:ilvl w:val="0"/>
          <w:numId w:val="3"/>
        </w:numPr>
        <w:spacing w:before="100" w:beforeAutospacing="1" w:after="100" w:afterAutospacing="1"/>
        <w:jc w:val="both"/>
        <w:rPr>
          <w:rFonts w:ascii="Verdana" w:eastAsia="Times New Roman" w:hAnsi="Verdana" w:cs="Times New Roman"/>
          <w:color w:val="000000"/>
          <w:sz w:val="21"/>
          <w:szCs w:val="21"/>
          <w:lang w:eastAsia="es-ES_tradnl"/>
        </w:rPr>
      </w:pPr>
      <w:r w:rsidRPr="007C017E">
        <w:rPr>
          <w:rFonts w:ascii="Verdana" w:eastAsia="Times New Roman" w:hAnsi="Verdana" w:cs="Times New Roman"/>
          <w:color w:val="000000"/>
          <w:sz w:val="21"/>
          <w:szCs w:val="21"/>
          <w:lang w:eastAsia="es-ES_tradnl"/>
        </w:rPr>
        <w:t>Aprobar su calendario anual de sesiones;</w:t>
      </w:r>
    </w:p>
    <w:p w14:paraId="03E92982" w14:textId="77777777" w:rsidR="007C017E" w:rsidRPr="007C017E" w:rsidRDefault="007C017E" w:rsidP="007C017E">
      <w:pPr>
        <w:numPr>
          <w:ilvl w:val="0"/>
          <w:numId w:val="3"/>
        </w:numPr>
        <w:spacing w:before="100" w:beforeAutospacing="1" w:after="100" w:afterAutospacing="1"/>
        <w:jc w:val="both"/>
        <w:rPr>
          <w:rFonts w:ascii="Verdana" w:eastAsia="Times New Roman" w:hAnsi="Verdana" w:cs="Times New Roman"/>
          <w:color w:val="000000"/>
          <w:sz w:val="21"/>
          <w:szCs w:val="21"/>
          <w:lang w:eastAsia="es-ES_tradnl"/>
        </w:rPr>
      </w:pPr>
      <w:r w:rsidRPr="007C017E">
        <w:rPr>
          <w:rFonts w:ascii="Verdana" w:eastAsia="Times New Roman" w:hAnsi="Verdana" w:cs="Times New Roman"/>
          <w:color w:val="000000"/>
          <w:sz w:val="21"/>
          <w:szCs w:val="21"/>
          <w:lang w:eastAsia="es-ES_tradnl"/>
        </w:rPr>
        <w:t>Promover el fortalecimiento de las capacidades administrativas de verificación de obligaciones legales de los contribuyentes;</w:t>
      </w:r>
    </w:p>
    <w:p w14:paraId="22EA1401" w14:textId="77777777" w:rsidR="007C017E" w:rsidRPr="007C017E" w:rsidRDefault="007C017E" w:rsidP="007C017E">
      <w:pPr>
        <w:numPr>
          <w:ilvl w:val="0"/>
          <w:numId w:val="3"/>
        </w:numPr>
        <w:spacing w:before="100" w:beforeAutospacing="1" w:after="100" w:afterAutospacing="1"/>
        <w:jc w:val="both"/>
        <w:rPr>
          <w:rFonts w:ascii="Verdana" w:eastAsia="Times New Roman" w:hAnsi="Verdana" w:cs="Times New Roman"/>
          <w:color w:val="000000"/>
          <w:sz w:val="21"/>
          <w:szCs w:val="21"/>
          <w:lang w:eastAsia="es-ES_tradnl"/>
        </w:rPr>
      </w:pPr>
      <w:r w:rsidRPr="007C017E">
        <w:rPr>
          <w:rFonts w:ascii="Verdana" w:eastAsia="Times New Roman" w:hAnsi="Verdana" w:cs="Times New Roman"/>
          <w:color w:val="000000"/>
          <w:sz w:val="21"/>
          <w:szCs w:val="21"/>
          <w:lang w:eastAsia="es-ES_tradnl"/>
        </w:rPr>
        <w:t>Definir los criterios para el registro de los contribuyentes en el Padrón, tomando en consideración las particularidades y el marco jurídico y normativo que regula cada actividad económica;</w:t>
      </w:r>
    </w:p>
    <w:p w14:paraId="090E318D" w14:textId="77777777" w:rsidR="007C017E" w:rsidRPr="007C017E" w:rsidRDefault="007C017E" w:rsidP="007C017E">
      <w:pPr>
        <w:numPr>
          <w:ilvl w:val="0"/>
          <w:numId w:val="3"/>
        </w:numPr>
        <w:spacing w:before="100" w:beforeAutospacing="1" w:after="100" w:afterAutospacing="1"/>
        <w:jc w:val="both"/>
        <w:rPr>
          <w:rFonts w:ascii="Verdana" w:eastAsia="Times New Roman" w:hAnsi="Verdana" w:cs="Times New Roman"/>
          <w:color w:val="000000"/>
          <w:sz w:val="21"/>
          <w:szCs w:val="21"/>
          <w:lang w:eastAsia="es-ES_tradnl"/>
        </w:rPr>
      </w:pPr>
      <w:r w:rsidRPr="007C017E">
        <w:rPr>
          <w:rFonts w:ascii="Verdana" w:eastAsia="Times New Roman" w:hAnsi="Verdana" w:cs="Times New Roman"/>
          <w:color w:val="000000"/>
          <w:sz w:val="21"/>
          <w:szCs w:val="21"/>
          <w:lang w:eastAsia="es-ES_tradnl"/>
        </w:rPr>
        <w:t>Publicar un informe anual sobre los avances y el cumplimiento de las acciones y los programas sectoriales que se emiten de conformidad con las disposiciones de la presente Ley;</w:t>
      </w:r>
    </w:p>
    <w:p w14:paraId="008F90C5" w14:textId="77777777" w:rsidR="007C017E" w:rsidRPr="007C017E" w:rsidRDefault="007C017E" w:rsidP="007C017E">
      <w:pPr>
        <w:numPr>
          <w:ilvl w:val="0"/>
          <w:numId w:val="3"/>
        </w:numPr>
        <w:spacing w:before="100" w:beforeAutospacing="1" w:after="100" w:afterAutospacing="1"/>
        <w:jc w:val="both"/>
        <w:rPr>
          <w:rFonts w:ascii="Verdana" w:eastAsia="Times New Roman" w:hAnsi="Verdana" w:cs="Times New Roman"/>
          <w:color w:val="000000"/>
          <w:sz w:val="21"/>
          <w:szCs w:val="21"/>
          <w:lang w:eastAsia="es-ES_tradnl"/>
        </w:rPr>
      </w:pPr>
      <w:r w:rsidRPr="007C017E">
        <w:rPr>
          <w:rFonts w:ascii="Verdana" w:eastAsia="Times New Roman" w:hAnsi="Verdana" w:cs="Times New Roman"/>
          <w:color w:val="000000"/>
          <w:sz w:val="21"/>
          <w:szCs w:val="21"/>
          <w:lang w:eastAsia="es-ES_tradnl"/>
        </w:rPr>
        <w:t>Determinar la forma y periodicidad con que la Secretaría, en coordinación con el sector privado, llevará a cabo los procesos de selección del uno por ciento de los contribuyentes que se encuentren inscritos en el Padrón, a efecto de verificar el cumplimiento de las obligaciones regulatorias y fiscales a las que se encuentran sujetos;</w:t>
      </w:r>
    </w:p>
    <w:p w14:paraId="1EB17EEE" w14:textId="77777777" w:rsidR="007C017E" w:rsidRPr="007C017E" w:rsidRDefault="007C017E" w:rsidP="007C017E">
      <w:pPr>
        <w:numPr>
          <w:ilvl w:val="0"/>
          <w:numId w:val="3"/>
        </w:numPr>
        <w:spacing w:before="100" w:beforeAutospacing="1" w:after="100" w:afterAutospacing="1"/>
        <w:jc w:val="both"/>
        <w:rPr>
          <w:rFonts w:ascii="Verdana" w:eastAsia="Times New Roman" w:hAnsi="Verdana" w:cs="Times New Roman"/>
          <w:color w:val="000000"/>
          <w:sz w:val="21"/>
          <w:szCs w:val="21"/>
          <w:lang w:eastAsia="es-ES_tradnl"/>
        </w:rPr>
      </w:pPr>
      <w:r w:rsidRPr="007C017E">
        <w:rPr>
          <w:rFonts w:ascii="Verdana" w:eastAsia="Times New Roman" w:hAnsi="Verdana" w:cs="Times New Roman"/>
          <w:color w:val="000000"/>
          <w:sz w:val="21"/>
          <w:szCs w:val="21"/>
          <w:lang w:eastAsia="es-ES_tradnl"/>
        </w:rPr>
        <w:t>Establecer los mecanismos de colaboración que se instrumentarán con el sector privado, con el objeto de llevar a cabo los procesos de verificación de los contribuyentes sujetos a los procesos de verificación, de conformidad con el numeral anterior;</w:t>
      </w:r>
    </w:p>
    <w:p w14:paraId="1A5F2E21" w14:textId="77777777" w:rsidR="007C017E" w:rsidRPr="007C017E" w:rsidRDefault="007C017E" w:rsidP="007C017E">
      <w:pPr>
        <w:numPr>
          <w:ilvl w:val="0"/>
          <w:numId w:val="3"/>
        </w:numPr>
        <w:spacing w:before="100" w:beforeAutospacing="1" w:after="100" w:afterAutospacing="1"/>
        <w:jc w:val="both"/>
        <w:rPr>
          <w:rFonts w:ascii="Verdana" w:eastAsia="Times New Roman" w:hAnsi="Verdana" w:cs="Times New Roman"/>
          <w:color w:val="000000"/>
          <w:sz w:val="21"/>
          <w:szCs w:val="21"/>
          <w:lang w:eastAsia="es-ES_tradnl"/>
        </w:rPr>
      </w:pPr>
      <w:r w:rsidRPr="007C017E">
        <w:rPr>
          <w:rFonts w:ascii="Verdana" w:eastAsia="Times New Roman" w:hAnsi="Verdana" w:cs="Times New Roman"/>
          <w:color w:val="000000"/>
          <w:sz w:val="21"/>
          <w:szCs w:val="21"/>
          <w:lang w:eastAsia="es-ES_tradnl"/>
        </w:rPr>
        <w:t>Imponer las sanciones que se deriven del incumplimiento a las disposiciones de la presente Ley;</w:t>
      </w:r>
    </w:p>
    <w:p w14:paraId="507979C6" w14:textId="77777777" w:rsidR="007C017E" w:rsidRPr="007C017E" w:rsidRDefault="007C017E" w:rsidP="007C017E">
      <w:pPr>
        <w:numPr>
          <w:ilvl w:val="0"/>
          <w:numId w:val="3"/>
        </w:numPr>
        <w:spacing w:before="100" w:beforeAutospacing="1" w:after="100" w:afterAutospacing="1"/>
        <w:jc w:val="both"/>
        <w:rPr>
          <w:rFonts w:ascii="Verdana" w:eastAsia="Times New Roman" w:hAnsi="Verdana" w:cs="Times New Roman"/>
          <w:color w:val="000000"/>
          <w:sz w:val="21"/>
          <w:szCs w:val="21"/>
          <w:lang w:eastAsia="es-ES_tradnl"/>
        </w:rPr>
      </w:pPr>
      <w:r w:rsidRPr="007C017E">
        <w:rPr>
          <w:rFonts w:ascii="Verdana" w:eastAsia="Times New Roman" w:hAnsi="Verdana" w:cs="Times New Roman"/>
          <w:color w:val="000000"/>
          <w:sz w:val="21"/>
          <w:szCs w:val="21"/>
          <w:lang w:eastAsia="es-ES_tradnl"/>
        </w:rPr>
        <w:t>Las demás que le confieran la presente Ley, el reglamento de la Ley, su reglamento interno y las demás disposiciones jurídicas que de ella deriven.</w:t>
      </w:r>
    </w:p>
    <w:p w14:paraId="5F417197" w14:textId="77777777" w:rsidR="007C017E" w:rsidRPr="007C017E" w:rsidRDefault="007C017E" w:rsidP="007C017E">
      <w:pPr>
        <w:spacing w:after="150"/>
        <w:jc w:val="both"/>
        <w:rPr>
          <w:rFonts w:ascii="Verdana" w:hAnsi="Verdana" w:cs="Times New Roman"/>
          <w:color w:val="000000"/>
          <w:sz w:val="21"/>
          <w:szCs w:val="21"/>
          <w:lang w:eastAsia="es-ES_tradnl"/>
        </w:rPr>
      </w:pPr>
      <w:r w:rsidRPr="007C017E">
        <w:rPr>
          <w:rFonts w:ascii="Verdana" w:hAnsi="Verdana" w:cs="Times New Roman"/>
          <w:color w:val="000000"/>
          <w:sz w:val="21"/>
          <w:szCs w:val="21"/>
          <w:lang w:eastAsia="es-ES_tradnl"/>
        </w:rPr>
        <w:t>Artículo 12. El Órgano velará por que los beneficios y facilidades administrativas que instrumenten las dependencias y entidades de la Administración Pública Federal cumplan con criterios de equidad, proporcionalidad, racionalidad y eficiencia, así como los objetivos a que se refiere el artículo 8 de la Ley General de Mejora Regulatoria.</w:t>
      </w:r>
    </w:p>
    <w:p w14:paraId="6CAF891E" w14:textId="77777777" w:rsidR="007C017E" w:rsidRPr="007C017E" w:rsidRDefault="007C017E" w:rsidP="007C017E">
      <w:pPr>
        <w:spacing w:after="150"/>
        <w:jc w:val="center"/>
        <w:rPr>
          <w:rFonts w:ascii="Verdana" w:hAnsi="Verdana" w:cs="Times New Roman"/>
          <w:color w:val="000000"/>
          <w:sz w:val="21"/>
          <w:szCs w:val="21"/>
          <w:lang w:eastAsia="es-ES_tradnl"/>
        </w:rPr>
      </w:pPr>
      <w:r w:rsidRPr="007C017E">
        <w:rPr>
          <w:rFonts w:ascii="Verdana" w:hAnsi="Verdana" w:cs="Times New Roman"/>
          <w:b/>
          <w:bCs/>
          <w:color w:val="000000"/>
          <w:sz w:val="21"/>
          <w:szCs w:val="21"/>
          <w:lang w:eastAsia="es-ES_tradnl"/>
        </w:rPr>
        <w:t>CAPÍTULO IV</w:t>
      </w:r>
    </w:p>
    <w:p w14:paraId="252C26E1" w14:textId="77777777" w:rsidR="007C017E" w:rsidRPr="007C017E" w:rsidRDefault="007C017E" w:rsidP="007C017E">
      <w:pPr>
        <w:spacing w:after="150"/>
        <w:jc w:val="center"/>
        <w:rPr>
          <w:rFonts w:ascii="Verdana" w:hAnsi="Verdana" w:cs="Times New Roman"/>
          <w:color w:val="000000"/>
          <w:sz w:val="21"/>
          <w:szCs w:val="21"/>
          <w:lang w:eastAsia="es-ES_tradnl"/>
        </w:rPr>
      </w:pPr>
      <w:r w:rsidRPr="007C017E">
        <w:rPr>
          <w:rFonts w:ascii="Verdana" w:hAnsi="Verdana" w:cs="Times New Roman"/>
          <w:b/>
          <w:bCs/>
          <w:color w:val="000000"/>
          <w:sz w:val="21"/>
          <w:szCs w:val="21"/>
          <w:lang w:eastAsia="es-ES_tradnl"/>
        </w:rPr>
        <w:t>DE LAS SANCIONES</w:t>
      </w:r>
    </w:p>
    <w:p w14:paraId="29DC5DA1" w14:textId="77777777" w:rsidR="007C017E" w:rsidRPr="007C017E" w:rsidRDefault="007C017E" w:rsidP="007C017E">
      <w:pPr>
        <w:spacing w:after="150"/>
        <w:jc w:val="both"/>
        <w:rPr>
          <w:rFonts w:ascii="Verdana" w:hAnsi="Verdana" w:cs="Times New Roman"/>
          <w:color w:val="000000"/>
          <w:sz w:val="21"/>
          <w:szCs w:val="21"/>
          <w:lang w:eastAsia="es-ES_tradnl"/>
        </w:rPr>
      </w:pPr>
      <w:r w:rsidRPr="007C017E">
        <w:rPr>
          <w:rFonts w:ascii="Verdana" w:hAnsi="Verdana" w:cs="Times New Roman"/>
          <w:color w:val="000000"/>
          <w:sz w:val="21"/>
          <w:szCs w:val="21"/>
          <w:lang w:eastAsia="es-ES_tradnl"/>
        </w:rPr>
        <w:t>Artículo 13. Será causa de sanción a los contribuyentes, el que proporcionen, para el Padrón, información que no sea fidedigna.</w:t>
      </w:r>
    </w:p>
    <w:p w14:paraId="0600C5CE" w14:textId="77777777" w:rsidR="007C017E" w:rsidRPr="007C017E" w:rsidRDefault="007C017E" w:rsidP="007C017E">
      <w:pPr>
        <w:spacing w:after="150"/>
        <w:jc w:val="both"/>
        <w:rPr>
          <w:rFonts w:ascii="Verdana" w:hAnsi="Verdana" w:cs="Times New Roman"/>
          <w:color w:val="000000"/>
          <w:sz w:val="21"/>
          <w:szCs w:val="21"/>
          <w:lang w:eastAsia="es-ES_tradnl"/>
        </w:rPr>
      </w:pPr>
      <w:r w:rsidRPr="007C017E">
        <w:rPr>
          <w:rFonts w:ascii="Verdana" w:hAnsi="Verdana" w:cs="Times New Roman"/>
          <w:color w:val="000000"/>
          <w:sz w:val="21"/>
          <w:szCs w:val="21"/>
          <w:lang w:eastAsia="es-ES_tradnl"/>
        </w:rPr>
        <w:t>Artículo 14. Los contribuyentes sancionados perderán su inscripción en el Padrón y no podrán ser sujetos de los beneficios y facilidades administrativas que se otorguen en el marco de la presente Ley, por el periodo de hasta un año de haber sido sancionados.</w:t>
      </w:r>
    </w:p>
    <w:p w14:paraId="66B11AEB" w14:textId="77777777" w:rsidR="007C017E" w:rsidRPr="007C017E" w:rsidRDefault="007C017E" w:rsidP="007C017E">
      <w:pPr>
        <w:spacing w:after="150"/>
        <w:jc w:val="both"/>
        <w:rPr>
          <w:rFonts w:ascii="Verdana" w:hAnsi="Verdana" w:cs="Times New Roman"/>
          <w:color w:val="000000"/>
          <w:sz w:val="21"/>
          <w:szCs w:val="21"/>
          <w:lang w:eastAsia="es-ES_tradnl"/>
        </w:rPr>
      </w:pPr>
      <w:r w:rsidRPr="007C017E">
        <w:rPr>
          <w:rFonts w:ascii="Verdana" w:hAnsi="Verdana" w:cs="Times New Roman"/>
          <w:color w:val="000000"/>
          <w:sz w:val="21"/>
          <w:szCs w:val="21"/>
          <w:lang w:eastAsia="es-ES_tradnl"/>
        </w:rPr>
        <w:t>Adicionalmente, los contribuyentes que pierdan su inscripción en el Padrón serán sujetos, de manera continua, a los procesos de verificación que realice la Secretaría, hasta en tanto no revaliden su inscripción, conforme a los criterios establecidos por el Órgano.</w:t>
      </w:r>
    </w:p>
    <w:p w14:paraId="33629438" w14:textId="77777777" w:rsidR="007C017E" w:rsidRPr="007C017E" w:rsidRDefault="007C017E" w:rsidP="007C017E">
      <w:pPr>
        <w:spacing w:after="150"/>
        <w:jc w:val="both"/>
        <w:rPr>
          <w:rFonts w:ascii="Verdana" w:hAnsi="Verdana" w:cs="Times New Roman"/>
          <w:color w:val="000000"/>
          <w:sz w:val="21"/>
          <w:szCs w:val="21"/>
          <w:lang w:eastAsia="es-ES_tradnl"/>
        </w:rPr>
      </w:pPr>
      <w:r w:rsidRPr="007C017E">
        <w:rPr>
          <w:rFonts w:ascii="Verdana" w:hAnsi="Verdana" w:cs="Times New Roman"/>
          <w:color w:val="000000"/>
          <w:sz w:val="21"/>
          <w:szCs w:val="21"/>
          <w:lang w:eastAsia="es-ES_tradnl"/>
        </w:rPr>
        <w:t>Artículo 15. Para la aplicación de la sanción señalada en el artículo anterior, se observará el procedimiento establecido en la Ley Federal de Procedimiento Administrativo.</w:t>
      </w:r>
    </w:p>
    <w:p w14:paraId="67DD02EE" w14:textId="77777777" w:rsidR="007C017E" w:rsidRPr="007C017E" w:rsidRDefault="007C017E" w:rsidP="007C017E">
      <w:pPr>
        <w:spacing w:after="150"/>
        <w:jc w:val="both"/>
        <w:rPr>
          <w:rFonts w:ascii="Verdana" w:hAnsi="Verdana" w:cs="Times New Roman"/>
          <w:color w:val="000000"/>
          <w:sz w:val="21"/>
          <w:szCs w:val="21"/>
          <w:lang w:eastAsia="es-ES_tradnl"/>
        </w:rPr>
      </w:pPr>
      <w:r w:rsidRPr="007C017E">
        <w:rPr>
          <w:rFonts w:ascii="Verdana" w:hAnsi="Verdana" w:cs="Times New Roman"/>
          <w:color w:val="000000"/>
          <w:sz w:val="21"/>
          <w:szCs w:val="21"/>
          <w:lang w:eastAsia="es-ES_tradnl"/>
        </w:rPr>
        <w:t>Artículo 16. Las resoluciones a través de las cuales se sancionen a los contribuyentes en el marco de la presente Ley podrán ser impugnadas, de conformidad con lo establecido en la Ley Federal de Procedimiento Administrativo.</w:t>
      </w:r>
    </w:p>
    <w:p w14:paraId="24C65574" w14:textId="77777777" w:rsidR="007C017E" w:rsidRPr="007C017E" w:rsidRDefault="007C017E" w:rsidP="007C017E">
      <w:pPr>
        <w:spacing w:after="150"/>
        <w:jc w:val="center"/>
        <w:rPr>
          <w:rFonts w:ascii="Verdana" w:hAnsi="Verdana" w:cs="Times New Roman"/>
          <w:color w:val="000000"/>
          <w:sz w:val="21"/>
          <w:szCs w:val="21"/>
          <w:lang w:eastAsia="es-ES_tradnl"/>
        </w:rPr>
      </w:pPr>
      <w:r w:rsidRPr="007C017E">
        <w:rPr>
          <w:rFonts w:ascii="Verdana" w:hAnsi="Verdana" w:cs="Times New Roman"/>
          <w:b/>
          <w:bCs/>
          <w:color w:val="000000"/>
          <w:sz w:val="21"/>
          <w:szCs w:val="21"/>
          <w:lang w:eastAsia="es-ES_tradnl"/>
        </w:rPr>
        <w:t>Transitorios</w:t>
      </w:r>
    </w:p>
    <w:p w14:paraId="67C919AE" w14:textId="77777777" w:rsidR="007C017E" w:rsidRPr="007C017E" w:rsidRDefault="007C017E" w:rsidP="007C017E">
      <w:pPr>
        <w:spacing w:after="150"/>
        <w:jc w:val="both"/>
        <w:rPr>
          <w:rFonts w:ascii="Verdana" w:hAnsi="Verdana" w:cs="Times New Roman"/>
          <w:color w:val="000000"/>
          <w:sz w:val="21"/>
          <w:szCs w:val="21"/>
          <w:lang w:eastAsia="es-ES_tradnl"/>
        </w:rPr>
      </w:pPr>
      <w:r w:rsidRPr="007C017E">
        <w:rPr>
          <w:rFonts w:ascii="Verdana" w:hAnsi="Verdana" w:cs="Times New Roman"/>
          <w:b/>
          <w:bCs/>
          <w:color w:val="000000"/>
          <w:sz w:val="21"/>
          <w:szCs w:val="21"/>
          <w:lang w:eastAsia="es-ES_tradnl"/>
        </w:rPr>
        <w:t>Primero. </w:t>
      </w:r>
      <w:r w:rsidRPr="007C017E">
        <w:rPr>
          <w:rFonts w:ascii="Verdana" w:hAnsi="Verdana" w:cs="Times New Roman"/>
          <w:color w:val="000000"/>
          <w:sz w:val="21"/>
          <w:szCs w:val="21"/>
          <w:lang w:eastAsia="es-ES_tradnl"/>
        </w:rPr>
        <w:t>El presente Decreto entrará en vigor al día siguiente de su publicación en el </w:t>
      </w:r>
      <w:r w:rsidRPr="007C017E">
        <w:rPr>
          <w:rFonts w:ascii="Verdana" w:hAnsi="Verdana" w:cs="Times New Roman"/>
          <w:i/>
          <w:iCs/>
          <w:color w:val="000000"/>
          <w:sz w:val="21"/>
          <w:szCs w:val="21"/>
          <w:lang w:eastAsia="es-ES_tradnl"/>
        </w:rPr>
        <w:t>Diario Oficial de la Federación</w:t>
      </w:r>
      <w:r w:rsidRPr="007C017E">
        <w:rPr>
          <w:rFonts w:ascii="Verdana" w:hAnsi="Verdana" w:cs="Times New Roman"/>
          <w:color w:val="000000"/>
          <w:sz w:val="21"/>
          <w:szCs w:val="21"/>
          <w:lang w:eastAsia="es-ES_tradnl"/>
        </w:rPr>
        <w:t>.</w:t>
      </w:r>
    </w:p>
    <w:p w14:paraId="28EB208C" w14:textId="77777777" w:rsidR="007C017E" w:rsidRPr="007C017E" w:rsidRDefault="007C017E" w:rsidP="007C017E">
      <w:pPr>
        <w:spacing w:after="150"/>
        <w:jc w:val="both"/>
        <w:rPr>
          <w:rFonts w:ascii="Verdana" w:hAnsi="Verdana" w:cs="Times New Roman"/>
          <w:color w:val="000000"/>
          <w:sz w:val="21"/>
          <w:szCs w:val="21"/>
          <w:lang w:eastAsia="es-ES_tradnl"/>
        </w:rPr>
      </w:pPr>
      <w:r w:rsidRPr="007C017E">
        <w:rPr>
          <w:rFonts w:ascii="Verdana" w:hAnsi="Verdana" w:cs="Times New Roman"/>
          <w:b/>
          <w:bCs/>
          <w:color w:val="000000"/>
          <w:sz w:val="21"/>
          <w:szCs w:val="21"/>
          <w:lang w:eastAsia="es-ES_tradnl"/>
        </w:rPr>
        <w:t>Segundo. </w:t>
      </w:r>
      <w:r w:rsidRPr="007C017E">
        <w:rPr>
          <w:rFonts w:ascii="Verdana" w:hAnsi="Verdana" w:cs="Times New Roman"/>
          <w:color w:val="000000"/>
          <w:sz w:val="21"/>
          <w:szCs w:val="21"/>
          <w:lang w:eastAsia="es-ES_tradnl"/>
        </w:rPr>
        <w:t>El Ejecutivo federal contará con un plazo de 90 días, contados a partir de la entrada en vigor del presente Decreto, para publicar el reglamento de la presente Ley.</w:t>
      </w:r>
    </w:p>
    <w:p w14:paraId="5F4C69C2" w14:textId="77777777" w:rsidR="007C017E" w:rsidRPr="007C017E" w:rsidRDefault="007C017E" w:rsidP="007C017E">
      <w:pPr>
        <w:spacing w:after="150"/>
        <w:jc w:val="both"/>
        <w:rPr>
          <w:rFonts w:ascii="Verdana" w:hAnsi="Verdana" w:cs="Times New Roman"/>
          <w:color w:val="000000"/>
          <w:sz w:val="21"/>
          <w:szCs w:val="21"/>
          <w:lang w:eastAsia="es-ES_tradnl"/>
        </w:rPr>
      </w:pPr>
      <w:r w:rsidRPr="007C017E">
        <w:rPr>
          <w:rFonts w:ascii="Verdana" w:hAnsi="Verdana" w:cs="Times New Roman"/>
          <w:b/>
          <w:bCs/>
          <w:color w:val="000000"/>
          <w:sz w:val="21"/>
          <w:szCs w:val="21"/>
          <w:lang w:eastAsia="es-ES_tradnl"/>
        </w:rPr>
        <w:t>Tercero. </w:t>
      </w:r>
      <w:r w:rsidRPr="007C017E">
        <w:rPr>
          <w:rFonts w:ascii="Verdana" w:hAnsi="Verdana" w:cs="Times New Roman"/>
          <w:color w:val="000000"/>
          <w:sz w:val="21"/>
          <w:szCs w:val="21"/>
          <w:lang w:eastAsia="es-ES_tradnl"/>
        </w:rPr>
        <w:t>El Órgano contará con un plazo de 180 días, contados a partir de la publicación del presente Decreto en el </w:t>
      </w:r>
      <w:r w:rsidRPr="007C017E">
        <w:rPr>
          <w:rFonts w:ascii="Verdana" w:hAnsi="Verdana" w:cs="Times New Roman"/>
          <w:i/>
          <w:iCs/>
          <w:color w:val="000000"/>
          <w:sz w:val="21"/>
          <w:szCs w:val="21"/>
          <w:lang w:eastAsia="es-ES_tradnl"/>
        </w:rPr>
        <w:t>Diario Oficial de la Federación</w:t>
      </w:r>
      <w:r w:rsidRPr="007C017E">
        <w:rPr>
          <w:rFonts w:ascii="Verdana" w:hAnsi="Verdana" w:cs="Times New Roman"/>
          <w:color w:val="000000"/>
          <w:sz w:val="21"/>
          <w:szCs w:val="21"/>
          <w:lang w:eastAsia="es-ES_tradnl"/>
        </w:rPr>
        <w:t>, para llevar a cabo su instalación.</w:t>
      </w:r>
    </w:p>
    <w:p w14:paraId="11821B95" w14:textId="77777777" w:rsidR="007C017E" w:rsidRPr="007C017E" w:rsidRDefault="007C017E" w:rsidP="007C017E">
      <w:pPr>
        <w:spacing w:after="150"/>
        <w:jc w:val="both"/>
        <w:rPr>
          <w:rFonts w:ascii="Verdana" w:hAnsi="Verdana" w:cs="Times New Roman"/>
          <w:color w:val="000000"/>
          <w:sz w:val="21"/>
          <w:szCs w:val="21"/>
          <w:lang w:eastAsia="es-ES_tradnl"/>
        </w:rPr>
      </w:pPr>
      <w:r w:rsidRPr="007C017E">
        <w:rPr>
          <w:rFonts w:ascii="Verdana" w:hAnsi="Verdana" w:cs="Times New Roman"/>
          <w:b/>
          <w:bCs/>
          <w:color w:val="000000"/>
          <w:sz w:val="21"/>
          <w:szCs w:val="21"/>
          <w:lang w:eastAsia="es-ES_tradnl"/>
        </w:rPr>
        <w:t>Cuarto. </w:t>
      </w:r>
      <w:r w:rsidRPr="007C017E">
        <w:rPr>
          <w:rFonts w:ascii="Verdana" w:hAnsi="Verdana" w:cs="Times New Roman"/>
          <w:color w:val="000000"/>
          <w:sz w:val="21"/>
          <w:szCs w:val="21"/>
          <w:lang w:eastAsia="es-ES_tradnl"/>
        </w:rPr>
        <w:t>El Órgano contará con un plazo de 90 días, contados a partir de su instalación, para aprobar su reglamento interno.</w:t>
      </w:r>
    </w:p>
    <w:p w14:paraId="4768F061" w14:textId="77777777" w:rsidR="007C017E" w:rsidRPr="007C017E" w:rsidRDefault="007C017E" w:rsidP="007C017E">
      <w:pPr>
        <w:spacing w:after="150"/>
        <w:jc w:val="both"/>
        <w:rPr>
          <w:rFonts w:ascii="Verdana" w:hAnsi="Verdana" w:cs="Times New Roman"/>
          <w:color w:val="000000"/>
          <w:sz w:val="21"/>
          <w:szCs w:val="21"/>
          <w:lang w:eastAsia="es-ES_tradnl"/>
        </w:rPr>
      </w:pPr>
      <w:r w:rsidRPr="007C017E">
        <w:rPr>
          <w:rFonts w:ascii="Verdana" w:hAnsi="Verdana" w:cs="Times New Roman"/>
          <w:b/>
          <w:bCs/>
          <w:color w:val="000000"/>
          <w:sz w:val="21"/>
          <w:szCs w:val="21"/>
          <w:lang w:eastAsia="es-ES_tradnl"/>
        </w:rPr>
        <w:t>Quinto. </w:t>
      </w:r>
      <w:r w:rsidRPr="007C017E">
        <w:rPr>
          <w:rFonts w:ascii="Verdana" w:hAnsi="Verdana" w:cs="Times New Roman"/>
          <w:color w:val="000000"/>
          <w:sz w:val="21"/>
          <w:szCs w:val="21"/>
          <w:lang w:eastAsia="es-ES_tradnl"/>
        </w:rPr>
        <w:t>La Secretaría de Economía, en el marco de operación de la presente Ley, se coordinará con las dependencias y entidades de la Administración Pública Federal, a efecto de llevar a cabo la suspensión de las actividades de vigilancia y fiscalización de la regulación a establecimientos comerciales, mercantiles y de servicio que realizan los inspectores adscritos a las mismas.</w:t>
      </w:r>
    </w:p>
    <w:p w14:paraId="1FDA9D7F" w14:textId="77777777" w:rsidR="007C017E" w:rsidRPr="007C017E" w:rsidRDefault="007C017E" w:rsidP="007C017E">
      <w:pPr>
        <w:spacing w:after="150"/>
        <w:jc w:val="both"/>
        <w:rPr>
          <w:rFonts w:ascii="Verdana" w:hAnsi="Verdana" w:cs="Times New Roman"/>
          <w:color w:val="000000"/>
          <w:sz w:val="21"/>
          <w:szCs w:val="21"/>
          <w:lang w:eastAsia="es-ES_tradnl"/>
        </w:rPr>
      </w:pPr>
      <w:r w:rsidRPr="007C017E">
        <w:rPr>
          <w:rFonts w:ascii="Verdana" w:hAnsi="Verdana" w:cs="Times New Roman"/>
          <w:b/>
          <w:bCs/>
          <w:color w:val="000000"/>
          <w:sz w:val="21"/>
          <w:szCs w:val="21"/>
          <w:lang w:eastAsia="es-ES_tradnl"/>
        </w:rPr>
        <w:t>Sexto. </w:t>
      </w:r>
      <w:r w:rsidRPr="007C017E">
        <w:rPr>
          <w:rFonts w:ascii="Verdana" w:hAnsi="Verdana" w:cs="Times New Roman"/>
          <w:color w:val="000000"/>
          <w:sz w:val="21"/>
          <w:szCs w:val="21"/>
          <w:lang w:eastAsia="es-ES_tradnl"/>
        </w:rPr>
        <w:t>Las erogaciones que se generen con motivo de la entrada en vigor del presente Decreto se realizarán con cargo a la disponibilidad presupuestaria que se apruebe para tal fin a la Secretaría de Economía, para el ejercicio fiscal de que se trate</w:t>
      </w:r>
      <w:r w:rsidRPr="007C017E">
        <w:rPr>
          <w:rFonts w:ascii="Verdana" w:hAnsi="Verdana" w:cs="Times New Roman"/>
          <w:b/>
          <w:bCs/>
          <w:color w:val="000000"/>
          <w:sz w:val="21"/>
          <w:szCs w:val="21"/>
          <w:lang w:eastAsia="es-ES_tradnl"/>
        </w:rPr>
        <w:t>.</w:t>
      </w:r>
    </w:p>
    <w:p w14:paraId="20D8C5F7" w14:textId="77777777" w:rsidR="007C017E" w:rsidRPr="007C017E" w:rsidRDefault="007C017E" w:rsidP="007C017E">
      <w:pPr>
        <w:spacing w:after="150"/>
        <w:jc w:val="both"/>
        <w:rPr>
          <w:rFonts w:ascii="Verdana" w:hAnsi="Verdana" w:cs="Times New Roman"/>
          <w:color w:val="000000"/>
          <w:sz w:val="21"/>
          <w:szCs w:val="21"/>
          <w:lang w:eastAsia="es-ES_tradnl"/>
        </w:rPr>
      </w:pPr>
      <w:r w:rsidRPr="007C017E">
        <w:rPr>
          <w:rFonts w:ascii="Verdana" w:hAnsi="Verdana" w:cs="Times New Roman"/>
          <w:color w:val="000000"/>
          <w:sz w:val="21"/>
          <w:szCs w:val="21"/>
          <w:lang w:eastAsia="es-ES_tradnl"/>
        </w:rPr>
        <w:t>Salón de Sesiones del Senado de la República a los 13 días del mes de noviembre de 2018.</w:t>
      </w:r>
    </w:p>
    <w:p w14:paraId="372F4A61" w14:textId="77777777" w:rsidR="007C017E" w:rsidRPr="007C017E" w:rsidRDefault="007C017E" w:rsidP="007C017E">
      <w:pPr>
        <w:spacing w:after="150"/>
        <w:jc w:val="center"/>
        <w:rPr>
          <w:rFonts w:ascii="Verdana" w:hAnsi="Verdana" w:cs="Times New Roman"/>
          <w:color w:val="000000"/>
          <w:sz w:val="21"/>
          <w:szCs w:val="21"/>
          <w:lang w:eastAsia="es-ES_tradnl"/>
        </w:rPr>
      </w:pPr>
      <w:r w:rsidRPr="007C017E">
        <w:rPr>
          <w:rFonts w:ascii="Verdana" w:hAnsi="Verdana" w:cs="Times New Roman"/>
          <w:b/>
          <w:bCs/>
          <w:color w:val="000000"/>
          <w:sz w:val="21"/>
          <w:szCs w:val="21"/>
          <w:lang w:eastAsia="es-ES_tradnl"/>
        </w:rPr>
        <w:t>Suscribe</w:t>
      </w:r>
    </w:p>
    <w:p w14:paraId="2C45472D" w14:textId="77777777" w:rsidR="007C017E" w:rsidRPr="007C017E" w:rsidRDefault="007C017E" w:rsidP="007C017E">
      <w:pPr>
        <w:spacing w:after="150"/>
        <w:jc w:val="center"/>
        <w:rPr>
          <w:rFonts w:ascii="Verdana" w:hAnsi="Verdana" w:cs="Times New Roman"/>
          <w:color w:val="000000"/>
          <w:sz w:val="21"/>
          <w:szCs w:val="21"/>
          <w:lang w:eastAsia="es-ES_tradnl"/>
        </w:rPr>
      </w:pPr>
      <w:proofErr w:type="spellStart"/>
      <w:r w:rsidRPr="007C017E">
        <w:rPr>
          <w:rFonts w:ascii="Verdana" w:hAnsi="Verdana" w:cs="Times New Roman"/>
          <w:b/>
          <w:bCs/>
          <w:color w:val="000000"/>
          <w:sz w:val="21"/>
          <w:szCs w:val="21"/>
          <w:lang w:eastAsia="es-ES_tradnl"/>
        </w:rPr>
        <w:t>Sen</w:t>
      </w:r>
      <w:proofErr w:type="spellEnd"/>
      <w:r w:rsidRPr="007C017E">
        <w:rPr>
          <w:rFonts w:ascii="Verdana" w:hAnsi="Verdana" w:cs="Times New Roman"/>
          <w:b/>
          <w:bCs/>
          <w:color w:val="000000"/>
          <w:sz w:val="21"/>
          <w:szCs w:val="21"/>
          <w:lang w:eastAsia="es-ES_tradnl"/>
        </w:rPr>
        <w:t>. Dr. Ricardo Monreal Ávila</w:t>
      </w:r>
    </w:p>
    <w:p w14:paraId="78C85E50" w14:textId="77777777" w:rsidR="007C017E" w:rsidRPr="007C017E" w:rsidRDefault="007C017E" w:rsidP="007C017E">
      <w:pPr>
        <w:spacing w:after="150"/>
        <w:jc w:val="both"/>
        <w:rPr>
          <w:rFonts w:ascii="Verdana" w:hAnsi="Verdana" w:cs="Times New Roman"/>
          <w:color w:val="000000"/>
          <w:sz w:val="21"/>
          <w:szCs w:val="21"/>
          <w:lang w:eastAsia="es-ES_tradnl"/>
        </w:rPr>
      </w:pPr>
      <w:bookmarkStart w:id="2" w:name="_ftn1"/>
      <w:bookmarkEnd w:id="2"/>
      <w:r w:rsidRPr="007C017E">
        <w:rPr>
          <w:rFonts w:ascii="Verdana" w:hAnsi="Verdana" w:cs="Times New Roman"/>
          <w:color w:val="000000"/>
          <w:sz w:val="21"/>
          <w:szCs w:val="21"/>
          <w:lang w:eastAsia="es-ES_tradnl"/>
        </w:rPr>
        <w:t>Arana, David. “Pymes mexicanas, un panorama para 2018”, </w:t>
      </w:r>
      <w:r w:rsidRPr="007C017E">
        <w:rPr>
          <w:rFonts w:ascii="Verdana" w:hAnsi="Verdana" w:cs="Times New Roman"/>
          <w:i/>
          <w:iCs/>
          <w:color w:val="000000"/>
          <w:sz w:val="21"/>
          <w:szCs w:val="21"/>
          <w:lang w:eastAsia="es-ES_tradnl"/>
        </w:rPr>
        <w:t>Forbes México</w:t>
      </w:r>
      <w:r w:rsidRPr="007C017E">
        <w:rPr>
          <w:rFonts w:ascii="Verdana" w:hAnsi="Verdana" w:cs="Times New Roman"/>
          <w:color w:val="000000"/>
          <w:sz w:val="21"/>
          <w:szCs w:val="21"/>
          <w:lang w:eastAsia="es-ES_tradnl"/>
        </w:rPr>
        <w:t>, 31 de enero de 2108 [en línea] [fecha de consulta: 09/11/2018] disponible en: </w:t>
      </w:r>
      <w:hyperlink r:id="rId7" w:history="1">
        <w:r w:rsidRPr="007C017E">
          <w:rPr>
            <w:rFonts w:ascii="Verdana" w:hAnsi="Verdana" w:cs="Times New Roman"/>
            <w:color w:val="000000"/>
            <w:sz w:val="21"/>
            <w:szCs w:val="21"/>
            <w:lang w:eastAsia="es-ES_tradnl"/>
          </w:rPr>
          <w:t>https://bit.ly/2nn8Dav</w:t>
        </w:r>
      </w:hyperlink>
    </w:p>
    <w:p w14:paraId="39D72284" w14:textId="77777777" w:rsidR="007C017E" w:rsidRPr="007C017E" w:rsidRDefault="007C017E" w:rsidP="007C017E">
      <w:pPr>
        <w:spacing w:after="150"/>
        <w:jc w:val="both"/>
        <w:rPr>
          <w:rFonts w:ascii="Verdana" w:hAnsi="Verdana" w:cs="Times New Roman"/>
          <w:color w:val="000000"/>
          <w:sz w:val="21"/>
          <w:szCs w:val="21"/>
          <w:lang w:eastAsia="es-ES_tradnl"/>
        </w:rPr>
      </w:pPr>
      <w:bookmarkStart w:id="3" w:name="_ftn2"/>
      <w:bookmarkEnd w:id="3"/>
      <w:r w:rsidRPr="007C017E">
        <w:rPr>
          <w:rFonts w:ascii="Verdana" w:hAnsi="Verdana" w:cs="Times New Roman"/>
          <w:color w:val="000000"/>
          <w:sz w:val="21"/>
          <w:szCs w:val="21"/>
          <w:lang w:eastAsia="es-ES_tradnl"/>
        </w:rPr>
        <w:t xml:space="preserve">Bancomext. Comunicación Social. Boletín de prensa núm. 285/16, 13 DE JULIO DE 2016, Aguascalientes, </w:t>
      </w:r>
      <w:proofErr w:type="spellStart"/>
      <w:r w:rsidRPr="007C017E">
        <w:rPr>
          <w:rFonts w:ascii="Verdana" w:hAnsi="Verdana" w:cs="Times New Roman"/>
          <w:color w:val="000000"/>
          <w:sz w:val="21"/>
          <w:szCs w:val="21"/>
          <w:lang w:eastAsia="es-ES_tradnl"/>
        </w:rPr>
        <w:t>Ags</w:t>
      </w:r>
      <w:proofErr w:type="spellEnd"/>
      <w:r w:rsidRPr="007C017E">
        <w:rPr>
          <w:rFonts w:ascii="Verdana" w:hAnsi="Verdana" w:cs="Times New Roman"/>
          <w:color w:val="000000"/>
          <w:sz w:val="21"/>
          <w:szCs w:val="21"/>
          <w:lang w:eastAsia="es-ES_tradnl"/>
        </w:rPr>
        <w:t>., pp. 1-3 [en línea] [fecha de consulta: 09/11/2018] disponible en: </w:t>
      </w:r>
      <w:hyperlink r:id="rId8" w:history="1">
        <w:r w:rsidRPr="007C017E">
          <w:rPr>
            <w:rFonts w:ascii="Verdana" w:hAnsi="Verdana" w:cs="Times New Roman"/>
            <w:color w:val="000000"/>
            <w:sz w:val="21"/>
            <w:szCs w:val="21"/>
            <w:lang w:eastAsia="es-ES_tradnl"/>
          </w:rPr>
          <w:t>https://bit.ly/2K3LuEh</w:t>
        </w:r>
      </w:hyperlink>
    </w:p>
    <w:p w14:paraId="0D53FABF" w14:textId="77777777" w:rsidR="007C017E" w:rsidRPr="007C017E" w:rsidRDefault="007C017E" w:rsidP="007C017E">
      <w:pPr>
        <w:spacing w:after="150"/>
        <w:jc w:val="both"/>
        <w:rPr>
          <w:rFonts w:ascii="Verdana" w:hAnsi="Verdana" w:cs="Times New Roman"/>
          <w:color w:val="000000"/>
          <w:sz w:val="21"/>
          <w:szCs w:val="21"/>
          <w:lang w:eastAsia="es-ES_tradnl"/>
        </w:rPr>
      </w:pPr>
      <w:bookmarkStart w:id="4" w:name="_ftn3"/>
      <w:bookmarkEnd w:id="4"/>
      <w:r w:rsidRPr="007C017E">
        <w:rPr>
          <w:rFonts w:ascii="Verdana" w:hAnsi="Verdana" w:cs="Times New Roman"/>
          <w:color w:val="000000"/>
          <w:sz w:val="21"/>
          <w:szCs w:val="21"/>
          <w:lang w:eastAsia="es-ES_tradnl"/>
        </w:rPr>
        <w:t>CEPAL. </w:t>
      </w:r>
      <w:r w:rsidRPr="007C017E">
        <w:rPr>
          <w:rFonts w:ascii="Verdana" w:hAnsi="Verdana" w:cs="Times New Roman"/>
          <w:i/>
          <w:iCs/>
          <w:color w:val="000000"/>
          <w:sz w:val="21"/>
          <w:szCs w:val="21"/>
          <w:lang w:eastAsia="es-ES_tradnl"/>
        </w:rPr>
        <w:t>Productividad y brechas estructurales en México</w:t>
      </w:r>
      <w:r w:rsidRPr="007C017E">
        <w:rPr>
          <w:rFonts w:ascii="Verdana" w:hAnsi="Verdana" w:cs="Times New Roman"/>
          <w:color w:val="000000"/>
          <w:sz w:val="21"/>
          <w:szCs w:val="21"/>
          <w:lang w:eastAsia="es-ES_tradnl"/>
        </w:rPr>
        <w:t>, Sede subregional de la CEPAL en México, Ciudad de México, 22 de junio de 2016, p. 5 [en línea] [fecha de consulta: 08/11/2018] disponible en: </w:t>
      </w:r>
      <w:hyperlink r:id="rId9" w:history="1">
        <w:r w:rsidRPr="007C017E">
          <w:rPr>
            <w:rFonts w:ascii="Verdana" w:hAnsi="Verdana" w:cs="Times New Roman"/>
            <w:color w:val="000000"/>
            <w:sz w:val="21"/>
            <w:szCs w:val="21"/>
            <w:lang w:eastAsia="es-ES_tradnl"/>
          </w:rPr>
          <w:t>https://bit.ly/2Dhc37n</w:t>
        </w:r>
      </w:hyperlink>
      <w:r w:rsidRPr="007C017E">
        <w:rPr>
          <w:rFonts w:ascii="Verdana" w:hAnsi="Verdana" w:cs="Times New Roman"/>
          <w:color w:val="000000"/>
          <w:sz w:val="21"/>
          <w:szCs w:val="21"/>
          <w:lang w:eastAsia="es-ES_tradnl"/>
        </w:rPr>
        <w:t> </w:t>
      </w:r>
    </w:p>
    <w:p w14:paraId="69C72E3A" w14:textId="77777777" w:rsidR="007C017E" w:rsidRPr="007C017E" w:rsidRDefault="007C017E" w:rsidP="007C017E">
      <w:pPr>
        <w:spacing w:after="150"/>
        <w:jc w:val="both"/>
        <w:rPr>
          <w:rFonts w:ascii="Verdana" w:hAnsi="Verdana" w:cs="Times New Roman"/>
          <w:color w:val="000000"/>
          <w:sz w:val="21"/>
          <w:szCs w:val="21"/>
          <w:lang w:eastAsia="es-ES_tradnl"/>
        </w:rPr>
      </w:pPr>
      <w:bookmarkStart w:id="5" w:name="_ftn4"/>
      <w:bookmarkEnd w:id="5"/>
      <w:r w:rsidRPr="007C017E">
        <w:rPr>
          <w:rFonts w:ascii="Verdana" w:hAnsi="Verdana" w:cs="Times New Roman"/>
          <w:color w:val="000000"/>
          <w:sz w:val="21"/>
          <w:szCs w:val="21"/>
          <w:lang w:eastAsia="es-ES_tradnl"/>
        </w:rPr>
        <w:t>Casar, María Amparo. </w:t>
      </w:r>
      <w:r w:rsidRPr="007C017E">
        <w:rPr>
          <w:rFonts w:ascii="Verdana" w:hAnsi="Verdana" w:cs="Times New Roman"/>
          <w:i/>
          <w:iCs/>
          <w:color w:val="000000"/>
          <w:sz w:val="21"/>
          <w:szCs w:val="21"/>
          <w:lang w:eastAsia="es-ES_tradnl"/>
        </w:rPr>
        <w:t>México: anatomía de la corrupción</w:t>
      </w:r>
      <w:r w:rsidRPr="007C017E">
        <w:rPr>
          <w:rFonts w:ascii="Verdana" w:hAnsi="Verdana" w:cs="Times New Roman"/>
          <w:color w:val="000000"/>
          <w:sz w:val="21"/>
          <w:szCs w:val="21"/>
          <w:lang w:eastAsia="es-ES_tradnl"/>
        </w:rPr>
        <w:t>, IMCO-CIDE [en línea] [fecha de consulta: 09/11/2018] Disponible en: </w:t>
      </w:r>
      <w:hyperlink r:id="rId10" w:history="1">
        <w:r w:rsidRPr="007C017E">
          <w:rPr>
            <w:rFonts w:ascii="Verdana" w:hAnsi="Verdana" w:cs="Times New Roman"/>
            <w:color w:val="000000"/>
            <w:sz w:val="21"/>
            <w:szCs w:val="21"/>
            <w:lang w:eastAsia="es-ES_tradnl"/>
          </w:rPr>
          <w:t>https://bit.ly/2GElIqJ</w:t>
        </w:r>
      </w:hyperlink>
      <w:r w:rsidRPr="007C017E">
        <w:rPr>
          <w:rFonts w:ascii="Verdana" w:hAnsi="Verdana" w:cs="Times New Roman"/>
          <w:color w:val="000000"/>
          <w:sz w:val="21"/>
          <w:szCs w:val="21"/>
          <w:lang w:eastAsia="es-ES_tradnl"/>
        </w:rPr>
        <w:t>  </w:t>
      </w:r>
    </w:p>
    <w:p w14:paraId="194553CB" w14:textId="77777777" w:rsidR="007C017E" w:rsidRPr="007C017E" w:rsidRDefault="007C017E" w:rsidP="007C017E">
      <w:pPr>
        <w:spacing w:after="150"/>
        <w:jc w:val="both"/>
        <w:rPr>
          <w:rFonts w:ascii="Verdana" w:hAnsi="Verdana" w:cs="Times New Roman"/>
          <w:color w:val="000000"/>
          <w:sz w:val="21"/>
          <w:szCs w:val="21"/>
          <w:lang w:eastAsia="es-ES_tradnl"/>
        </w:rPr>
      </w:pPr>
      <w:bookmarkStart w:id="6" w:name="_ftn5"/>
      <w:bookmarkEnd w:id="6"/>
      <w:r w:rsidRPr="007C017E">
        <w:rPr>
          <w:rFonts w:ascii="Verdana" w:hAnsi="Verdana" w:cs="Times New Roman"/>
          <w:color w:val="000000"/>
          <w:sz w:val="21"/>
          <w:szCs w:val="21"/>
          <w:lang w:eastAsia="es-ES_tradnl"/>
        </w:rPr>
        <w:t>Schwab, Klaus. </w:t>
      </w:r>
      <w:proofErr w:type="spellStart"/>
      <w:r w:rsidRPr="007C017E">
        <w:rPr>
          <w:rFonts w:ascii="Verdana" w:hAnsi="Verdana" w:cs="Times New Roman"/>
          <w:i/>
          <w:iCs/>
          <w:color w:val="000000"/>
          <w:sz w:val="21"/>
          <w:szCs w:val="21"/>
          <w:lang w:eastAsia="es-ES_tradnl"/>
        </w:rPr>
        <w:t>The</w:t>
      </w:r>
      <w:proofErr w:type="spellEnd"/>
      <w:r w:rsidRPr="007C017E">
        <w:rPr>
          <w:rFonts w:ascii="Verdana" w:hAnsi="Verdana" w:cs="Times New Roman"/>
          <w:i/>
          <w:iCs/>
          <w:color w:val="000000"/>
          <w:sz w:val="21"/>
          <w:szCs w:val="21"/>
          <w:lang w:eastAsia="es-ES_tradnl"/>
        </w:rPr>
        <w:t xml:space="preserve"> Global </w:t>
      </w:r>
      <w:proofErr w:type="spellStart"/>
      <w:r w:rsidRPr="007C017E">
        <w:rPr>
          <w:rFonts w:ascii="Verdana" w:hAnsi="Verdana" w:cs="Times New Roman"/>
          <w:i/>
          <w:iCs/>
          <w:color w:val="000000"/>
          <w:sz w:val="21"/>
          <w:szCs w:val="21"/>
          <w:lang w:eastAsia="es-ES_tradnl"/>
        </w:rPr>
        <w:t>Competitiveness</w:t>
      </w:r>
      <w:proofErr w:type="spellEnd"/>
      <w:r w:rsidRPr="007C017E">
        <w:rPr>
          <w:rFonts w:ascii="Verdana" w:hAnsi="Verdana" w:cs="Times New Roman"/>
          <w:i/>
          <w:iCs/>
          <w:color w:val="000000"/>
          <w:sz w:val="21"/>
          <w:szCs w:val="21"/>
          <w:lang w:eastAsia="es-ES_tradnl"/>
        </w:rPr>
        <w:t xml:space="preserve"> </w:t>
      </w:r>
      <w:proofErr w:type="spellStart"/>
      <w:r w:rsidRPr="007C017E">
        <w:rPr>
          <w:rFonts w:ascii="Verdana" w:hAnsi="Verdana" w:cs="Times New Roman"/>
          <w:i/>
          <w:iCs/>
          <w:color w:val="000000"/>
          <w:sz w:val="21"/>
          <w:szCs w:val="21"/>
          <w:lang w:eastAsia="es-ES_tradnl"/>
        </w:rPr>
        <w:t>Report</w:t>
      </w:r>
      <w:proofErr w:type="spellEnd"/>
      <w:r w:rsidRPr="007C017E">
        <w:rPr>
          <w:rFonts w:ascii="Verdana" w:hAnsi="Verdana" w:cs="Times New Roman"/>
          <w:i/>
          <w:iCs/>
          <w:color w:val="000000"/>
          <w:sz w:val="21"/>
          <w:szCs w:val="21"/>
          <w:lang w:eastAsia="es-ES_tradnl"/>
        </w:rPr>
        <w:t xml:space="preserve"> 2018</w:t>
      </w:r>
      <w:r w:rsidRPr="007C017E">
        <w:rPr>
          <w:rFonts w:ascii="Verdana" w:hAnsi="Verdana" w:cs="Times New Roman"/>
          <w:color w:val="000000"/>
          <w:sz w:val="21"/>
          <w:szCs w:val="21"/>
          <w:lang w:eastAsia="es-ES_tradnl"/>
        </w:rPr>
        <w:t xml:space="preserve">, </w:t>
      </w:r>
      <w:proofErr w:type="spellStart"/>
      <w:r w:rsidRPr="007C017E">
        <w:rPr>
          <w:rFonts w:ascii="Verdana" w:hAnsi="Verdana" w:cs="Times New Roman"/>
          <w:color w:val="000000"/>
          <w:sz w:val="21"/>
          <w:szCs w:val="21"/>
          <w:lang w:eastAsia="es-ES_tradnl"/>
        </w:rPr>
        <w:t>World</w:t>
      </w:r>
      <w:proofErr w:type="spellEnd"/>
      <w:r w:rsidRPr="007C017E">
        <w:rPr>
          <w:rFonts w:ascii="Verdana" w:hAnsi="Verdana" w:cs="Times New Roman"/>
          <w:color w:val="000000"/>
          <w:sz w:val="21"/>
          <w:szCs w:val="21"/>
          <w:lang w:eastAsia="es-ES_tradnl"/>
        </w:rPr>
        <w:t xml:space="preserve"> </w:t>
      </w:r>
      <w:proofErr w:type="spellStart"/>
      <w:r w:rsidRPr="007C017E">
        <w:rPr>
          <w:rFonts w:ascii="Verdana" w:hAnsi="Verdana" w:cs="Times New Roman"/>
          <w:color w:val="000000"/>
          <w:sz w:val="21"/>
          <w:szCs w:val="21"/>
          <w:lang w:eastAsia="es-ES_tradnl"/>
        </w:rPr>
        <w:t>Economic</w:t>
      </w:r>
      <w:proofErr w:type="spellEnd"/>
      <w:r w:rsidRPr="007C017E">
        <w:rPr>
          <w:rFonts w:ascii="Verdana" w:hAnsi="Verdana" w:cs="Times New Roman"/>
          <w:color w:val="000000"/>
          <w:sz w:val="21"/>
          <w:szCs w:val="21"/>
          <w:lang w:eastAsia="es-ES_tradnl"/>
        </w:rPr>
        <w:t xml:space="preserve"> </w:t>
      </w:r>
      <w:proofErr w:type="spellStart"/>
      <w:r w:rsidRPr="007C017E">
        <w:rPr>
          <w:rFonts w:ascii="Verdana" w:hAnsi="Verdana" w:cs="Times New Roman"/>
          <w:color w:val="000000"/>
          <w:sz w:val="21"/>
          <w:szCs w:val="21"/>
          <w:lang w:eastAsia="es-ES_tradnl"/>
        </w:rPr>
        <w:t>Forum</w:t>
      </w:r>
      <w:proofErr w:type="spellEnd"/>
      <w:r w:rsidRPr="007C017E">
        <w:rPr>
          <w:rFonts w:ascii="Verdana" w:hAnsi="Verdana" w:cs="Times New Roman"/>
          <w:color w:val="000000"/>
          <w:sz w:val="21"/>
          <w:szCs w:val="21"/>
          <w:lang w:eastAsia="es-ES_tradnl"/>
        </w:rPr>
        <w:t>, pp. 31 y 391-393 [en línea] [fecha de consulta: 07/11/2018] disponible en: </w:t>
      </w:r>
      <w:hyperlink r:id="rId11" w:history="1">
        <w:r w:rsidRPr="007C017E">
          <w:rPr>
            <w:rFonts w:ascii="Verdana" w:hAnsi="Verdana" w:cs="Times New Roman"/>
            <w:color w:val="000000"/>
            <w:sz w:val="21"/>
            <w:szCs w:val="21"/>
            <w:lang w:eastAsia="es-ES_tradnl"/>
          </w:rPr>
          <w:t>https://bit.ly/2Clb71j</w:t>
        </w:r>
      </w:hyperlink>
    </w:p>
    <w:p w14:paraId="13AC5BBB" w14:textId="77777777" w:rsidR="007C017E" w:rsidRPr="007C017E" w:rsidRDefault="007C017E" w:rsidP="007C017E">
      <w:pPr>
        <w:spacing w:after="150"/>
        <w:jc w:val="both"/>
        <w:rPr>
          <w:rFonts w:ascii="Verdana" w:hAnsi="Verdana" w:cs="Times New Roman"/>
          <w:color w:val="000000"/>
          <w:sz w:val="21"/>
          <w:szCs w:val="21"/>
          <w:lang w:eastAsia="es-ES_tradnl"/>
        </w:rPr>
      </w:pPr>
      <w:bookmarkStart w:id="7" w:name="_ftn6"/>
      <w:bookmarkEnd w:id="7"/>
      <w:r w:rsidRPr="007C017E">
        <w:rPr>
          <w:rFonts w:ascii="Verdana" w:hAnsi="Verdana" w:cs="Times New Roman"/>
          <w:color w:val="000000"/>
          <w:sz w:val="21"/>
          <w:szCs w:val="21"/>
          <w:lang w:eastAsia="es-ES_tradnl"/>
        </w:rPr>
        <w:t>Morena. </w:t>
      </w:r>
      <w:r w:rsidRPr="007C017E">
        <w:rPr>
          <w:rFonts w:ascii="Verdana" w:hAnsi="Verdana" w:cs="Times New Roman"/>
          <w:i/>
          <w:iCs/>
          <w:color w:val="000000"/>
          <w:sz w:val="21"/>
          <w:szCs w:val="21"/>
          <w:lang w:eastAsia="es-ES_tradnl"/>
        </w:rPr>
        <w:t>Proyecto de Nación 2018-2024</w:t>
      </w:r>
      <w:r w:rsidRPr="007C017E">
        <w:rPr>
          <w:rFonts w:ascii="Verdana" w:hAnsi="Verdana" w:cs="Times New Roman"/>
          <w:color w:val="000000"/>
          <w:sz w:val="21"/>
          <w:szCs w:val="21"/>
          <w:lang w:eastAsia="es-ES_tradnl"/>
        </w:rPr>
        <w:t>, p. 24, [en línea] [fecha de consulta: 10/11/2018] disponible en: </w:t>
      </w:r>
      <w:hyperlink r:id="rId12" w:history="1">
        <w:r w:rsidRPr="007C017E">
          <w:rPr>
            <w:rFonts w:ascii="Verdana" w:hAnsi="Verdana" w:cs="Times New Roman"/>
            <w:color w:val="000000"/>
            <w:sz w:val="21"/>
            <w:szCs w:val="21"/>
            <w:lang w:eastAsia="es-ES_tradnl"/>
          </w:rPr>
          <w:t>https://bit.ly/2wzGBfu</w:t>
        </w:r>
      </w:hyperlink>
    </w:p>
    <w:p w14:paraId="5647C543" w14:textId="77777777" w:rsidR="007C017E" w:rsidRPr="007C017E" w:rsidRDefault="007C017E" w:rsidP="007C017E">
      <w:pPr>
        <w:spacing w:after="150"/>
        <w:jc w:val="both"/>
        <w:rPr>
          <w:rFonts w:ascii="Verdana" w:hAnsi="Verdana" w:cs="Times New Roman"/>
          <w:color w:val="000000"/>
          <w:sz w:val="21"/>
          <w:szCs w:val="21"/>
          <w:lang w:eastAsia="es-ES_tradnl"/>
        </w:rPr>
      </w:pPr>
      <w:bookmarkStart w:id="8" w:name="_ftn7"/>
      <w:bookmarkEnd w:id="8"/>
      <w:r w:rsidRPr="007C017E">
        <w:rPr>
          <w:rFonts w:ascii="Verdana" w:hAnsi="Verdana" w:cs="Times New Roman"/>
          <w:color w:val="000000"/>
          <w:sz w:val="21"/>
          <w:szCs w:val="21"/>
          <w:lang w:eastAsia="es-ES_tradnl"/>
        </w:rPr>
        <w:t>OCDE/CAF/CEPAL. </w:t>
      </w:r>
      <w:r w:rsidRPr="007C017E">
        <w:rPr>
          <w:rFonts w:ascii="Verdana" w:hAnsi="Verdana" w:cs="Times New Roman"/>
          <w:i/>
          <w:iCs/>
          <w:color w:val="000000"/>
          <w:sz w:val="21"/>
          <w:szCs w:val="21"/>
          <w:lang w:eastAsia="es-ES_tradnl"/>
        </w:rPr>
        <w:t>Perspectivas económicas de América Latina 2018: Repensando las instituciones</w:t>
      </w:r>
      <w:r w:rsidRPr="007C017E">
        <w:rPr>
          <w:rFonts w:ascii="Verdana" w:hAnsi="Verdana" w:cs="Times New Roman"/>
          <w:color w:val="000000"/>
          <w:sz w:val="21"/>
          <w:szCs w:val="21"/>
          <w:lang w:eastAsia="es-ES_tradnl"/>
        </w:rPr>
        <w:br/>
      </w:r>
      <w:r w:rsidRPr="007C017E">
        <w:rPr>
          <w:rFonts w:ascii="Verdana" w:hAnsi="Verdana" w:cs="Times New Roman"/>
          <w:i/>
          <w:iCs/>
          <w:color w:val="000000"/>
          <w:sz w:val="21"/>
          <w:szCs w:val="21"/>
          <w:lang w:eastAsia="es-ES_tradnl"/>
        </w:rPr>
        <w:t>para el desarrollo</w:t>
      </w:r>
      <w:r w:rsidRPr="007C017E">
        <w:rPr>
          <w:rFonts w:ascii="Verdana" w:hAnsi="Verdana" w:cs="Times New Roman"/>
          <w:color w:val="000000"/>
          <w:sz w:val="21"/>
          <w:szCs w:val="21"/>
          <w:lang w:eastAsia="es-ES_tradnl"/>
        </w:rPr>
        <w:t xml:space="preserve">, </w:t>
      </w:r>
      <w:proofErr w:type="spellStart"/>
      <w:r w:rsidRPr="007C017E">
        <w:rPr>
          <w:rFonts w:ascii="Verdana" w:hAnsi="Verdana" w:cs="Times New Roman"/>
          <w:color w:val="000000"/>
          <w:sz w:val="21"/>
          <w:szCs w:val="21"/>
          <w:lang w:eastAsia="es-ES_tradnl"/>
        </w:rPr>
        <w:t>Éditions</w:t>
      </w:r>
      <w:proofErr w:type="spellEnd"/>
      <w:r w:rsidRPr="007C017E">
        <w:rPr>
          <w:rFonts w:ascii="Verdana" w:hAnsi="Verdana" w:cs="Times New Roman"/>
          <w:color w:val="000000"/>
          <w:sz w:val="21"/>
          <w:szCs w:val="21"/>
          <w:lang w:eastAsia="es-ES_tradnl"/>
        </w:rPr>
        <w:t xml:space="preserve"> OCDE, París, 2018, p. 183 [en línea] [fecha de consulta: 09/11/2018] disponible en: </w:t>
      </w:r>
      <w:hyperlink r:id="rId13" w:history="1">
        <w:r w:rsidRPr="007C017E">
          <w:rPr>
            <w:rFonts w:ascii="Verdana" w:hAnsi="Verdana" w:cs="Times New Roman"/>
            <w:color w:val="000000"/>
            <w:sz w:val="21"/>
            <w:szCs w:val="21"/>
            <w:lang w:eastAsia="es-ES_tradnl"/>
          </w:rPr>
          <w:t>https://bit.ly/2HQfRLm</w:t>
        </w:r>
      </w:hyperlink>
      <w:r w:rsidRPr="007C017E">
        <w:rPr>
          <w:rFonts w:ascii="Verdana" w:hAnsi="Verdana" w:cs="Times New Roman"/>
          <w:color w:val="000000"/>
          <w:sz w:val="21"/>
          <w:szCs w:val="21"/>
          <w:lang w:eastAsia="es-ES_tradnl"/>
        </w:rPr>
        <w:t> y </w:t>
      </w:r>
      <w:hyperlink r:id="rId14" w:history="1">
        <w:r w:rsidRPr="007C017E">
          <w:rPr>
            <w:rFonts w:ascii="Verdana" w:hAnsi="Verdana" w:cs="Times New Roman"/>
            <w:color w:val="000000"/>
            <w:sz w:val="21"/>
            <w:szCs w:val="21"/>
            <w:lang w:eastAsia="es-ES_tradnl"/>
          </w:rPr>
          <w:t>http://dx.doi.org/10.1787/leo-2018-es</w:t>
        </w:r>
      </w:hyperlink>
    </w:p>
    <w:p w14:paraId="1A677B40" w14:textId="77777777" w:rsidR="00A97ADD" w:rsidRDefault="00A97ADD"/>
    <w:sectPr w:rsidR="00A97ADD" w:rsidSect="003226FB">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391EF" w14:textId="77777777" w:rsidR="006A05BF" w:rsidRDefault="006A05BF" w:rsidP="007C017E">
      <w:r>
        <w:separator/>
      </w:r>
    </w:p>
  </w:endnote>
  <w:endnote w:type="continuationSeparator" w:id="0">
    <w:p w14:paraId="12BF80D1" w14:textId="77777777" w:rsidR="006A05BF" w:rsidRDefault="006A05BF" w:rsidP="007C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C3AF9" w14:textId="77777777" w:rsidR="006A05BF" w:rsidRDefault="006A05BF" w:rsidP="007C017E">
      <w:r>
        <w:separator/>
      </w:r>
    </w:p>
  </w:footnote>
  <w:footnote w:type="continuationSeparator" w:id="0">
    <w:p w14:paraId="3C7B2475" w14:textId="77777777" w:rsidR="006A05BF" w:rsidRDefault="006A05BF" w:rsidP="007C01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1F6BD" w14:textId="77777777" w:rsidR="007C017E" w:rsidRPr="007C017E" w:rsidRDefault="007C017E">
    <w:pPr>
      <w:pStyle w:val="Encabezado"/>
      <w:rPr>
        <w:lang w:val="es-ES"/>
      </w:rPr>
    </w:pPr>
    <w:r>
      <w:rPr>
        <w:lang w:val="es-ES"/>
      </w:rPr>
      <w:t xml:space="preserve">INICIATIVA PRESENTADA EL 13/11/2018, EN EL SENADO </w:t>
    </w:r>
    <w:hyperlink r:id="rId1" w:history="1">
      <w:r w:rsidRPr="00AF109B">
        <w:rPr>
          <w:rStyle w:val="Hipervnculo"/>
          <w:lang w:val="es-ES"/>
        </w:rPr>
        <w:t>http://www.senado.gob.mx/64/gaceta_del_senado/documento/85856</w:t>
      </w:r>
    </w:hyperlink>
    <w:r>
      <w:rPr>
        <w:lang w:val="es-E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7042"/>
    <w:multiLevelType w:val="hybridMultilevel"/>
    <w:tmpl w:val="AD52BC72"/>
    <w:lvl w:ilvl="0" w:tplc="F5F8CB0A">
      <w:start w:val="1"/>
      <w:numFmt w:val="upperRoman"/>
      <w:lvlText w:val="%1."/>
      <w:lvlJc w:val="right"/>
      <w:pPr>
        <w:tabs>
          <w:tab w:val="num" w:pos="720"/>
        </w:tabs>
        <w:ind w:left="720" w:hanging="360"/>
      </w:pPr>
    </w:lvl>
    <w:lvl w:ilvl="1" w:tplc="B3E620A4" w:tentative="1">
      <w:start w:val="1"/>
      <w:numFmt w:val="decimal"/>
      <w:lvlText w:val="%2."/>
      <w:lvlJc w:val="left"/>
      <w:pPr>
        <w:tabs>
          <w:tab w:val="num" w:pos="1440"/>
        </w:tabs>
        <w:ind w:left="1440" w:hanging="360"/>
      </w:pPr>
    </w:lvl>
    <w:lvl w:ilvl="2" w:tplc="B746911C" w:tentative="1">
      <w:start w:val="1"/>
      <w:numFmt w:val="decimal"/>
      <w:lvlText w:val="%3."/>
      <w:lvlJc w:val="left"/>
      <w:pPr>
        <w:tabs>
          <w:tab w:val="num" w:pos="2160"/>
        </w:tabs>
        <w:ind w:left="2160" w:hanging="360"/>
      </w:pPr>
    </w:lvl>
    <w:lvl w:ilvl="3" w:tplc="669275B2" w:tentative="1">
      <w:start w:val="1"/>
      <w:numFmt w:val="decimal"/>
      <w:lvlText w:val="%4."/>
      <w:lvlJc w:val="left"/>
      <w:pPr>
        <w:tabs>
          <w:tab w:val="num" w:pos="2880"/>
        </w:tabs>
        <w:ind w:left="2880" w:hanging="360"/>
      </w:pPr>
    </w:lvl>
    <w:lvl w:ilvl="4" w:tplc="B7A4C070" w:tentative="1">
      <w:start w:val="1"/>
      <w:numFmt w:val="decimal"/>
      <w:lvlText w:val="%5."/>
      <w:lvlJc w:val="left"/>
      <w:pPr>
        <w:tabs>
          <w:tab w:val="num" w:pos="3600"/>
        </w:tabs>
        <w:ind w:left="3600" w:hanging="360"/>
      </w:pPr>
    </w:lvl>
    <w:lvl w:ilvl="5" w:tplc="21FE57A8" w:tentative="1">
      <w:start w:val="1"/>
      <w:numFmt w:val="decimal"/>
      <w:lvlText w:val="%6."/>
      <w:lvlJc w:val="left"/>
      <w:pPr>
        <w:tabs>
          <w:tab w:val="num" w:pos="4320"/>
        </w:tabs>
        <w:ind w:left="4320" w:hanging="360"/>
      </w:pPr>
    </w:lvl>
    <w:lvl w:ilvl="6" w:tplc="4866C490" w:tentative="1">
      <w:start w:val="1"/>
      <w:numFmt w:val="decimal"/>
      <w:lvlText w:val="%7."/>
      <w:lvlJc w:val="left"/>
      <w:pPr>
        <w:tabs>
          <w:tab w:val="num" w:pos="5040"/>
        </w:tabs>
        <w:ind w:left="5040" w:hanging="360"/>
      </w:pPr>
    </w:lvl>
    <w:lvl w:ilvl="7" w:tplc="42AE5AC4" w:tentative="1">
      <w:start w:val="1"/>
      <w:numFmt w:val="decimal"/>
      <w:lvlText w:val="%8."/>
      <w:lvlJc w:val="left"/>
      <w:pPr>
        <w:tabs>
          <w:tab w:val="num" w:pos="5760"/>
        </w:tabs>
        <w:ind w:left="5760" w:hanging="360"/>
      </w:pPr>
    </w:lvl>
    <w:lvl w:ilvl="8" w:tplc="ADF4121A" w:tentative="1">
      <w:start w:val="1"/>
      <w:numFmt w:val="decimal"/>
      <w:lvlText w:val="%9."/>
      <w:lvlJc w:val="left"/>
      <w:pPr>
        <w:tabs>
          <w:tab w:val="num" w:pos="6480"/>
        </w:tabs>
        <w:ind w:left="6480" w:hanging="360"/>
      </w:pPr>
    </w:lvl>
  </w:abstractNum>
  <w:abstractNum w:abstractNumId="1">
    <w:nsid w:val="77AB1BCA"/>
    <w:multiLevelType w:val="hybridMultilevel"/>
    <w:tmpl w:val="970E6E62"/>
    <w:lvl w:ilvl="0" w:tplc="12F82626">
      <w:start w:val="1"/>
      <w:numFmt w:val="upperRoman"/>
      <w:lvlText w:val="%1."/>
      <w:lvlJc w:val="right"/>
      <w:pPr>
        <w:tabs>
          <w:tab w:val="num" w:pos="720"/>
        </w:tabs>
        <w:ind w:left="720" w:hanging="360"/>
      </w:pPr>
    </w:lvl>
    <w:lvl w:ilvl="1" w:tplc="CEB45D18" w:tentative="1">
      <w:start w:val="1"/>
      <w:numFmt w:val="decimal"/>
      <w:lvlText w:val="%2."/>
      <w:lvlJc w:val="left"/>
      <w:pPr>
        <w:tabs>
          <w:tab w:val="num" w:pos="1440"/>
        </w:tabs>
        <w:ind w:left="1440" w:hanging="360"/>
      </w:pPr>
    </w:lvl>
    <w:lvl w:ilvl="2" w:tplc="D7B86780" w:tentative="1">
      <w:start w:val="1"/>
      <w:numFmt w:val="decimal"/>
      <w:lvlText w:val="%3."/>
      <w:lvlJc w:val="left"/>
      <w:pPr>
        <w:tabs>
          <w:tab w:val="num" w:pos="2160"/>
        </w:tabs>
        <w:ind w:left="2160" w:hanging="360"/>
      </w:pPr>
    </w:lvl>
    <w:lvl w:ilvl="3" w:tplc="1B60A15E" w:tentative="1">
      <w:start w:val="1"/>
      <w:numFmt w:val="decimal"/>
      <w:lvlText w:val="%4."/>
      <w:lvlJc w:val="left"/>
      <w:pPr>
        <w:tabs>
          <w:tab w:val="num" w:pos="2880"/>
        </w:tabs>
        <w:ind w:left="2880" w:hanging="360"/>
      </w:pPr>
    </w:lvl>
    <w:lvl w:ilvl="4" w:tplc="0DC6C40C" w:tentative="1">
      <w:start w:val="1"/>
      <w:numFmt w:val="decimal"/>
      <w:lvlText w:val="%5."/>
      <w:lvlJc w:val="left"/>
      <w:pPr>
        <w:tabs>
          <w:tab w:val="num" w:pos="3600"/>
        </w:tabs>
        <w:ind w:left="3600" w:hanging="360"/>
      </w:pPr>
    </w:lvl>
    <w:lvl w:ilvl="5" w:tplc="BB927A98" w:tentative="1">
      <w:start w:val="1"/>
      <w:numFmt w:val="decimal"/>
      <w:lvlText w:val="%6."/>
      <w:lvlJc w:val="left"/>
      <w:pPr>
        <w:tabs>
          <w:tab w:val="num" w:pos="4320"/>
        </w:tabs>
        <w:ind w:left="4320" w:hanging="360"/>
      </w:pPr>
    </w:lvl>
    <w:lvl w:ilvl="6" w:tplc="9AE02132" w:tentative="1">
      <w:start w:val="1"/>
      <w:numFmt w:val="decimal"/>
      <w:lvlText w:val="%7."/>
      <w:lvlJc w:val="left"/>
      <w:pPr>
        <w:tabs>
          <w:tab w:val="num" w:pos="5040"/>
        </w:tabs>
        <w:ind w:left="5040" w:hanging="360"/>
      </w:pPr>
    </w:lvl>
    <w:lvl w:ilvl="7" w:tplc="D22A395C" w:tentative="1">
      <w:start w:val="1"/>
      <w:numFmt w:val="decimal"/>
      <w:lvlText w:val="%8."/>
      <w:lvlJc w:val="left"/>
      <w:pPr>
        <w:tabs>
          <w:tab w:val="num" w:pos="5760"/>
        </w:tabs>
        <w:ind w:left="5760" w:hanging="360"/>
      </w:pPr>
    </w:lvl>
    <w:lvl w:ilvl="8" w:tplc="FF169BBA" w:tentative="1">
      <w:start w:val="1"/>
      <w:numFmt w:val="decimal"/>
      <w:lvlText w:val="%9."/>
      <w:lvlJc w:val="left"/>
      <w:pPr>
        <w:tabs>
          <w:tab w:val="num" w:pos="6480"/>
        </w:tabs>
        <w:ind w:left="6480" w:hanging="360"/>
      </w:pPr>
    </w:lvl>
  </w:abstractNum>
  <w:abstractNum w:abstractNumId="2">
    <w:nsid w:val="7D4E7A15"/>
    <w:multiLevelType w:val="hybridMultilevel"/>
    <w:tmpl w:val="808875BE"/>
    <w:lvl w:ilvl="0" w:tplc="86A6214E">
      <w:start w:val="1"/>
      <w:numFmt w:val="upperRoman"/>
      <w:lvlText w:val="%1."/>
      <w:lvlJc w:val="right"/>
      <w:pPr>
        <w:tabs>
          <w:tab w:val="num" w:pos="720"/>
        </w:tabs>
        <w:ind w:left="720" w:hanging="360"/>
      </w:pPr>
    </w:lvl>
    <w:lvl w:ilvl="1" w:tplc="F69A246E" w:tentative="1">
      <w:start w:val="1"/>
      <w:numFmt w:val="decimal"/>
      <w:lvlText w:val="%2."/>
      <w:lvlJc w:val="left"/>
      <w:pPr>
        <w:tabs>
          <w:tab w:val="num" w:pos="1440"/>
        </w:tabs>
        <w:ind w:left="1440" w:hanging="360"/>
      </w:pPr>
    </w:lvl>
    <w:lvl w:ilvl="2" w:tplc="05389B14" w:tentative="1">
      <w:start w:val="1"/>
      <w:numFmt w:val="decimal"/>
      <w:lvlText w:val="%3."/>
      <w:lvlJc w:val="left"/>
      <w:pPr>
        <w:tabs>
          <w:tab w:val="num" w:pos="2160"/>
        </w:tabs>
        <w:ind w:left="2160" w:hanging="360"/>
      </w:pPr>
    </w:lvl>
    <w:lvl w:ilvl="3" w:tplc="D8608090" w:tentative="1">
      <w:start w:val="1"/>
      <w:numFmt w:val="decimal"/>
      <w:lvlText w:val="%4."/>
      <w:lvlJc w:val="left"/>
      <w:pPr>
        <w:tabs>
          <w:tab w:val="num" w:pos="2880"/>
        </w:tabs>
        <w:ind w:left="2880" w:hanging="360"/>
      </w:pPr>
    </w:lvl>
    <w:lvl w:ilvl="4" w:tplc="88EC60C8" w:tentative="1">
      <w:start w:val="1"/>
      <w:numFmt w:val="decimal"/>
      <w:lvlText w:val="%5."/>
      <w:lvlJc w:val="left"/>
      <w:pPr>
        <w:tabs>
          <w:tab w:val="num" w:pos="3600"/>
        </w:tabs>
        <w:ind w:left="3600" w:hanging="360"/>
      </w:pPr>
    </w:lvl>
    <w:lvl w:ilvl="5" w:tplc="40E4C92A" w:tentative="1">
      <w:start w:val="1"/>
      <w:numFmt w:val="decimal"/>
      <w:lvlText w:val="%6."/>
      <w:lvlJc w:val="left"/>
      <w:pPr>
        <w:tabs>
          <w:tab w:val="num" w:pos="4320"/>
        </w:tabs>
        <w:ind w:left="4320" w:hanging="360"/>
      </w:pPr>
    </w:lvl>
    <w:lvl w:ilvl="6" w:tplc="0C4AB096" w:tentative="1">
      <w:start w:val="1"/>
      <w:numFmt w:val="decimal"/>
      <w:lvlText w:val="%7."/>
      <w:lvlJc w:val="left"/>
      <w:pPr>
        <w:tabs>
          <w:tab w:val="num" w:pos="5040"/>
        </w:tabs>
        <w:ind w:left="5040" w:hanging="360"/>
      </w:pPr>
    </w:lvl>
    <w:lvl w:ilvl="7" w:tplc="FCF600A2" w:tentative="1">
      <w:start w:val="1"/>
      <w:numFmt w:val="decimal"/>
      <w:lvlText w:val="%8."/>
      <w:lvlJc w:val="left"/>
      <w:pPr>
        <w:tabs>
          <w:tab w:val="num" w:pos="5760"/>
        </w:tabs>
        <w:ind w:left="5760" w:hanging="360"/>
      </w:pPr>
    </w:lvl>
    <w:lvl w:ilvl="8" w:tplc="8EF006C2"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7E"/>
    <w:rsid w:val="003226FB"/>
    <w:rsid w:val="006A05BF"/>
    <w:rsid w:val="007C017E"/>
    <w:rsid w:val="00A97AD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A4D36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017E"/>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7C017E"/>
    <w:rPr>
      <w:b/>
      <w:bCs/>
    </w:rPr>
  </w:style>
  <w:style w:type="character" w:styleId="nfasis">
    <w:name w:val="Emphasis"/>
    <w:basedOn w:val="Fuentedeprrafopredeter"/>
    <w:uiPriority w:val="20"/>
    <w:qFormat/>
    <w:rsid w:val="007C017E"/>
    <w:rPr>
      <w:i/>
      <w:iCs/>
    </w:rPr>
  </w:style>
  <w:style w:type="character" w:styleId="Hipervnculo">
    <w:name w:val="Hyperlink"/>
    <w:basedOn w:val="Fuentedeprrafopredeter"/>
    <w:uiPriority w:val="99"/>
    <w:unhideWhenUsed/>
    <w:rsid w:val="007C017E"/>
    <w:rPr>
      <w:color w:val="0000FF"/>
      <w:u w:val="single"/>
    </w:rPr>
  </w:style>
  <w:style w:type="paragraph" w:styleId="Encabezado">
    <w:name w:val="header"/>
    <w:basedOn w:val="Normal"/>
    <w:link w:val="EncabezadoCar"/>
    <w:uiPriority w:val="99"/>
    <w:unhideWhenUsed/>
    <w:rsid w:val="007C017E"/>
    <w:pPr>
      <w:tabs>
        <w:tab w:val="center" w:pos="4419"/>
        <w:tab w:val="right" w:pos="8838"/>
      </w:tabs>
    </w:pPr>
  </w:style>
  <w:style w:type="character" w:customStyle="1" w:styleId="EncabezadoCar">
    <w:name w:val="Encabezado Car"/>
    <w:basedOn w:val="Fuentedeprrafopredeter"/>
    <w:link w:val="Encabezado"/>
    <w:uiPriority w:val="99"/>
    <w:rsid w:val="007C017E"/>
  </w:style>
  <w:style w:type="paragraph" w:styleId="Piedepgina">
    <w:name w:val="footer"/>
    <w:basedOn w:val="Normal"/>
    <w:link w:val="PiedepginaCar"/>
    <w:uiPriority w:val="99"/>
    <w:unhideWhenUsed/>
    <w:rsid w:val="007C017E"/>
    <w:pPr>
      <w:tabs>
        <w:tab w:val="center" w:pos="4419"/>
        <w:tab w:val="right" w:pos="8838"/>
      </w:tabs>
    </w:pPr>
  </w:style>
  <w:style w:type="character" w:customStyle="1" w:styleId="PiedepginaCar">
    <w:name w:val="Pie de página Car"/>
    <w:basedOn w:val="Fuentedeprrafopredeter"/>
    <w:link w:val="Piedepgina"/>
    <w:uiPriority w:val="99"/>
    <w:rsid w:val="007C0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172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bit.ly/2Clb71j" TargetMode="External"/><Relationship Id="rId12" Type="http://schemas.openxmlformats.org/officeDocument/2006/relationships/hyperlink" Target="https://bit.ly/2wzGBfu" TargetMode="External"/><Relationship Id="rId13" Type="http://schemas.openxmlformats.org/officeDocument/2006/relationships/hyperlink" Target="https://bit.ly/2HQfRLm" TargetMode="External"/><Relationship Id="rId14" Type="http://schemas.openxmlformats.org/officeDocument/2006/relationships/hyperlink" Target="http://dx.doi.org/10.1787/leo-2018-es"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it.ly/2nn8Dav" TargetMode="External"/><Relationship Id="rId8" Type="http://schemas.openxmlformats.org/officeDocument/2006/relationships/hyperlink" Target="https://bit.ly/2K3LuEh" TargetMode="External"/><Relationship Id="rId9" Type="http://schemas.openxmlformats.org/officeDocument/2006/relationships/hyperlink" Target="https://bit.ly/2Dhc37n" TargetMode="External"/><Relationship Id="rId10" Type="http://schemas.openxmlformats.org/officeDocument/2006/relationships/hyperlink" Target="https://bit.ly/2GElIqJ"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enado.gob.mx/64/gaceta_del_senado/documento/858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1845</Words>
  <Characters>10149</Characters>
  <Application>Microsoft Macintosh Word</Application>
  <DocSecurity>0</DocSecurity>
  <Lines>84</Lines>
  <Paragraphs>23</Paragraphs>
  <ScaleCrop>false</ScaleCrop>
  <LinksUpToDate>false</LinksUpToDate>
  <CharactersWithSpaces>11971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2018-11-13T15:07:00Z</dcterms:created>
  <dcterms:modified xsi:type="dcterms:W3CDTF">2018-11-13T15:08:00Z</dcterms:modified>
</cp:coreProperties>
</file>