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E1E49" w14:textId="77777777" w:rsidR="00B62A45" w:rsidRDefault="00B62A45" w:rsidP="00B62A45">
      <w:pPr>
        <w:pStyle w:val="CABEZA"/>
      </w:pPr>
      <w:r>
        <w:t>SECRETARIA DE HACIENDA Y CREDITO PUBLICO</w:t>
      </w:r>
    </w:p>
    <w:p w14:paraId="5E0CA232" w14:textId="77777777" w:rsidR="00B62A45" w:rsidRPr="00070C1D" w:rsidRDefault="00B62A45" w:rsidP="00B62A45">
      <w:pPr>
        <w:pStyle w:val="Titulo1"/>
      </w:pPr>
      <w:r w:rsidRPr="00070C1D">
        <w:t>SEGUNDA Resolución de Modificaciones a la Resolución Miscelánea Fiscal para 2023 y Anexos 1, 1-A, 3, 9, 14, 15 y 23.</w:t>
      </w:r>
    </w:p>
    <w:p w14:paraId="25B7438A" w14:textId="77777777" w:rsidR="00B62A45" w:rsidRDefault="00B62A45" w:rsidP="00B62A45">
      <w:pPr>
        <w:pStyle w:val="Titulo2"/>
      </w:pPr>
      <w:r>
        <w:t xml:space="preserve">Al margen un sello con el Escudo Nacional, que dice: Estados Unidos Mexicanos.- HACIENDA.- Secretaría de Hacienda y Crédito Público.- Servicio </w:t>
      </w:r>
      <w:r w:rsidRPr="00070C1D">
        <w:t>de Administración Tributaria.</w:t>
      </w:r>
    </w:p>
    <w:p w14:paraId="02A6C3C7" w14:textId="77777777" w:rsidR="00B62A45" w:rsidRPr="00DC64AB" w:rsidRDefault="00B62A45" w:rsidP="00B62A45">
      <w:pPr>
        <w:pStyle w:val="ANOTACION"/>
      </w:pPr>
      <w:r w:rsidRPr="00DC64AB">
        <w:t>SEGUNDA RESOLUCIÓN DE MODIFICACIONES A LA RESOLUCIÓN MISCELÁNEA FISCAL PARA 2023 Y ANEXOS 1, 1-A, 3, 9, 14, 15 y 23.</w:t>
      </w:r>
    </w:p>
    <w:p w14:paraId="52B15713" w14:textId="77777777" w:rsidR="00B62A45" w:rsidRDefault="00B62A45" w:rsidP="00B62A45">
      <w:pPr>
        <w:pStyle w:val="texto"/>
        <w:spacing w:after="92" w:line="218" w:lineRule="exact"/>
        <w:rPr>
          <w:color w:val="000000"/>
        </w:rPr>
      </w:pPr>
      <w:r w:rsidRPr="00DC64AB">
        <w:rPr>
          <w:color w:val="000000"/>
        </w:rPr>
        <w:t>Con fundamento en los artículos 16 y 31 de la Ley Orgánica de la Administración Pública Federal; 33, fracción I, inciso g) del Código Fiscal de la Federación; 14, fracción III de la Ley del Servicio de Administración Tributaria, y 8 del Reglamento Interior del Servicio de Administración Tributaria se resuelve:</w:t>
      </w:r>
    </w:p>
    <w:p w14:paraId="78664D11" w14:textId="77777777" w:rsidR="00B62A45" w:rsidRPr="00DC64AB" w:rsidRDefault="00B62A45" w:rsidP="00B62A45">
      <w:pPr>
        <w:pStyle w:val="texto"/>
        <w:spacing w:after="92" w:line="218" w:lineRule="exact"/>
        <w:rPr>
          <w:color w:val="000000"/>
        </w:rPr>
      </w:pPr>
      <w:r w:rsidRPr="00DC64AB">
        <w:rPr>
          <w:b/>
        </w:rPr>
        <w:t xml:space="preserve">PRIMERO. </w:t>
      </w:r>
      <w:r w:rsidRPr="00DC64AB">
        <w:rPr>
          <w:color w:val="000000"/>
        </w:rPr>
        <w:t xml:space="preserve">Se </w:t>
      </w:r>
      <w:r w:rsidRPr="00DC64AB">
        <w:rPr>
          <w:b/>
          <w:color w:val="000000"/>
        </w:rPr>
        <w:t xml:space="preserve">reforman </w:t>
      </w:r>
      <w:r w:rsidRPr="00DC64AB">
        <w:rPr>
          <w:color w:val="000000"/>
        </w:rPr>
        <w:t xml:space="preserve">el Glosario, fracción II, numeral 42 y las reglas 1.4., segundo y tercer párrafos; 2.1.37., párrafos primero, fracción I y segundo; 2.2.23., primer párrafo; 2.4.4., segundo y tercer párrafos; 2.4.15.; 2.7.1.48., primer párrafo; 2.7.2.1., segundo párrafo, numerales 7, 8, 12 y 13; 2.7.2.3., primer párrafo; 2.7.2.4.; 2.7.2.6., segundo párrafo; 2.7.4.2., segundo párrafo, incisos I) y r); 2.7.4.7., primer párrafo; 2.7.4.8.; 2.7.7.1.2., epígrafe; 2.7.7.1.3., segundo párrafo; 2.7.7.2.8., primer párrafo; 2.7.7.3.4., primer párrafo; 2.8.1.6., primer párrafo, fracción II, inciso d); 2.14.6., primer párrafo, fracciones VIII y XI; 2.14.14., sexto párrafo; 3.3.1.11., tercer párrafo; 3.3.1.20., tercer párrafo; 3.3.1.43., segundo párrafo; 3.3.1.44., segundo párrafo; 3.8.1., tercer y cuarto párrafos; 3.8.2., tercer y cuarto párrafos; 3.13.15.; 3.16.11.; 5.2.6., fracción II, inciso c), numeral 2, romano i) e inciso i) y, 13.1.; </w:t>
      </w:r>
      <w:r w:rsidRPr="00DC64AB">
        <w:rPr>
          <w:b/>
          <w:color w:val="000000"/>
        </w:rPr>
        <w:t xml:space="preserve">se adicionan </w:t>
      </w:r>
      <w:r w:rsidRPr="00DC64AB">
        <w:rPr>
          <w:color w:val="000000"/>
        </w:rPr>
        <w:t xml:space="preserve">las reglas 1.6., segundo párrafo, fracción IV; 2.1.37., segundo párrafo, fracciones I a IV; 2.7.2.6., sexto párrafo; 2.7.2.8., fracción XXIV y, 2.12.11., tercer y cuarto párrafos; y se </w:t>
      </w:r>
      <w:r w:rsidRPr="00DC64AB">
        <w:rPr>
          <w:b/>
          <w:color w:val="000000"/>
        </w:rPr>
        <w:t xml:space="preserve">derogan </w:t>
      </w:r>
      <w:r w:rsidRPr="00DC64AB">
        <w:rPr>
          <w:color w:val="000000"/>
        </w:rPr>
        <w:t>las reglas 2.7.2.1., segundo párrafo, numerales 10 y 15; 2.7.4.2., segundo párrafo, incisos m) y t); 2.12.11., segundo párrafo y, 3.13.14., de la Resolución Miscelánea Fiscal para 2023, para quedar de la siguiente manera:</w:t>
      </w:r>
    </w:p>
    <w:p w14:paraId="07A77BDE" w14:textId="77777777" w:rsidR="00B62A45" w:rsidRPr="00DC64AB" w:rsidRDefault="00B62A45" w:rsidP="00B62A45">
      <w:pPr>
        <w:pStyle w:val="texto"/>
        <w:spacing w:after="92" w:line="218" w:lineRule="exact"/>
        <w:ind w:left="720" w:firstLine="0"/>
        <w:rPr>
          <w:b/>
        </w:rPr>
      </w:pPr>
      <w:r w:rsidRPr="00DC64AB">
        <w:rPr>
          <w:b/>
        </w:rPr>
        <w:t>Glosario</w:t>
      </w:r>
    </w:p>
    <w:p w14:paraId="3F479C56" w14:textId="77777777" w:rsidR="00B62A45" w:rsidRPr="00DC64AB" w:rsidRDefault="00B62A45" w:rsidP="00B62A45">
      <w:pPr>
        <w:pStyle w:val="texto"/>
        <w:spacing w:after="92" w:line="218" w:lineRule="exact"/>
        <w:ind w:left="720" w:hanging="432"/>
        <w:rPr>
          <w:color w:val="000000"/>
        </w:rPr>
      </w:pPr>
      <w:r w:rsidRPr="00DC64AB">
        <w:rPr>
          <w:b/>
          <w:color w:val="000000"/>
        </w:rPr>
        <w:t>I.</w:t>
      </w:r>
      <w:r w:rsidRPr="00DC64AB">
        <w:rPr>
          <w:color w:val="000000"/>
        </w:rPr>
        <w:tab/>
      </w:r>
      <w:r w:rsidRPr="00FC7E79">
        <w:rPr>
          <w:b/>
          <w:color w:val="000000"/>
        </w:rPr>
        <w:t>…</w:t>
      </w:r>
    </w:p>
    <w:p w14:paraId="39455AEC" w14:textId="77777777" w:rsidR="00B62A45" w:rsidRPr="00DC64AB" w:rsidRDefault="00B62A45" w:rsidP="00B62A45">
      <w:pPr>
        <w:pStyle w:val="texto"/>
        <w:spacing w:after="92" w:line="218" w:lineRule="exact"/>
        <w:ind w:left="720" w:hanging="432"/>
        <w:rPr>
          <w:b/>
        </w:rPr>
      </w:pPr>
      <w:r w:rsidRPr="00DC64AB">
        <w:rPr>
          <w:b/>
        </w:rPr>
        <w:t>II.</w:t>
      </w:r>
      <w:r w:rsidRPr="00DC64AB">
        <w:rPr>
          <w:b/>
        </w:rPr>
        <w:tab/>
        <w:t>ACRÓNIMOS:</w:t>
      </w:r>
    </w:p>
    <w:p w14:paraId="34BDD4BF" w14:textId="77777777" w:rsidR="00B62A45" w:rsidRPr="00DC64AB" w:rsidRDefault="00B62A45" w:rsidP="00B62A45">
      <w:pPr>
        <w:pStyle w:val="texto"/>
        <w:spacing w:after="92" w:line="218" w:lineRule="exact"/>
        <w:ind w:left="1080" w:hanging="360"/>
        <w:rPr>
          <w:color w:val="000000"/>
        </w:rPr>
      </w:pPr>
      <w:r w:rsidRPr="00DC64AB">
        <w:rPr>
          <w:b/>
          <w:color w:val="000000"/>
        </w:rPr>
        <w:t>1.</w:t>
      </w:r>
      <w:r w:rsidRPr="00DC64AB">
        <w:rPr>
          <w:color w:val="000000"/>
        </w:rPr>
        <w:t xml:space="preserve"> a </w:t>
      </w:r>
      <w:r w:rsidRPr="00DC64AB">
        <w:rPr>
          <w:b/>
          <w:color w:val="000000"/>
        </w:rPr>
        <w:t xml:space="preserve">41. </w:t>
      </w:r>
      <w:r w:rsidRPr="00E75855">
        <w:rPr>
          <w:b/>
          <w:color w:val="000000"/>
        </w:rPr>
        <w:t>...</w:t>
      </w:r>
    </w:p>
    <w:p w14:paraId="71976206" w14:textId="77777777" w:rsidR="00B62A45" w:rsidRPr="00DC64AB" w:rsidRDefault="00B62A45" w:rsidP="00B62A45">
      <w:pPr>
        <w:pStyle w:val="texto"/>
        <w:spacing w:after="92" w:line="218" w:lineRule="exact"/>
        <w:ind w:left="1260" w:hanging="540"/>
      </w:pPr>
      <w:r w:rsidRPr="00DC64AB">
        <w:rPr>
          <w:b/>
        </w:rPr>
        <w:t>42.</w:t>
      </w:r>
      <w:r w:rsidRPr="00DC64AB">
        <w:rPr>
          <w:b/>
        </w:rPr>
        <w:tab/>
        <w:t>RFA.</w:t>
      </w:r>
      <w:r w:rsidRPr="00DC64AB">
        <w:t xml:space="preserve"> Resolución de facilidades administrativas para los contribuyentes de los sectores que en la misma se señalan para 2023.</w:t>
      </w:r>
    </w:p>
    <w:p w14:paraId="57987AB0" w14:textId="77777777" w:rsidR="00B62A45" w:rsidRDefault="00B62A45" w:rsidP="00B62A45">
      <w:pPr>
        <w:pStyle w:val="texto"/>
        <w:spacing w:after="92" w:line="218" w:lineRule="exact"/>
        <w:ind w:left="1080" w:hanging="360"/>
        <w:rPr>
          <w:color w:val="000000"/>
        </w:rPr>
      </w:pPr>
      <w:r w:rsidRPr="00DC64AB">
        <w:rPr>
          <w:b/>
          <w:color w:val="000000"/>
        </w:rPr>
        <w:t>43.</w:t>
      </w:r>
      <w:r w:rsidRPr="00DC64AB">
        <w:rPr>
          <w:color w:val="000000"/>
        </w:rPr>
        <w:t xml:space="preserve"> a </w:t>
      </w:r>
      <w:r w:rsidRPr="00DC64AB">
        <w:rPr>
          <w:b/>
          <w:color w:val="000000"/>
        </w:rPr>
        <w:t xml:space="preserve">55. </w:t>
      </w:r>
      <w:r w:rsidRPr="00E75855">
        <w:rPr>
          <w:b/>
          <w:color w:val="000000"/>
        </w:rPr>
        <w:t>..</w:t>
      </w:r>
      <w:r w:rsidRPr="00977F26">
        <w:rPr>
          <w:b/>
          <w:color w:val="000000"/>
        </w:rPr>
        <w:t>.</w:t>
      </w:r>
    </w:p>
    <w:p w14:paraId="0FA78B2E" w14:textId="77777777" w:rsidR="00B62A45" w:rsidRPr="00DC64AB" w:rsidRDefault="00B62A45" w:rsidP="00B62A45">
      <w:pPr>
        <w:pStyle w:val="texto"/>
        <w:spacing w:after="92" w:line="218" w:lineRule="exact"/>
        <w:ind w:left="1800" w:firstLine="0"/>
        <w:rPr>
          <w:b/>
        </w:rPr>
      </w:pPr>
      <w:bookmarkStart w:id="0" w:name="_Hlk103074663"/>
      <w:r w:rsidRPr="00DC64AB">
        <w:rPr>
          <w:b/>
        </w:rPr>
        <w:t>Presunción de operaciones inexistentes o simuladas y procedimiento para desvirtuar los hechos que determinaron dicha presunción</w:t>
      </w:r>
    </w:p>
    <w:p w14:paraId="29932400" w14:textId="77777777" w:rsidR="00B62A45" w:rsidRPr="00E75855" w:rsidRDefault="00B62A45" w:rsidP="00B62A45">
      <w:pPr>
        <w:pStyle w:val="texto"/>
        <w:spacing w:after="92" w:line="218" w:lineRule="exact"/>
        <w:ind w:left="1800" w:hanging="1080"/>
        <w:rPr>
          <w:b/>
        </w:rPr>
      </w:pPr>
      <w:r w:rsidRPr="00DC64AB">
        <w:rPr>
          <w:b/>
        </w:rPr>
        <w:t>1.4.</w:t>
      </w:r>
      <w:r w:rsidRPr="00DC64AB">
        <w:tab/>
      </w:r>
      <w:r w:rsidRPr="00E75855">
        <w:rPr>
          <w:b/>
        </w:rPr>
        <w:t>...</w:t>
      </w:r>
    </w:p>
    <w:p w14:paraId="0CD8E800" w14:textId="77777777" w:rsidR="00B62A45" w:rsidRPr="00DC64AB" w:rsidRDefault="00B62A45" w:rsidP="00B62A45">
      <w:pPr>
        <w:pStyle w:val="texto"/>
        <w:spacing w:after="92" w:line="218" w:lineRule="exact"/>
        <w:ind w:left="1800" w:hanging="1080"/>
      </w:pPr>
      <w:r w:rsidRPr="00DC64AB">
        <w:tab/>
        <w:t>Asimismo, la autoridad fiscal emitirá los oficios globales que contengan la relación de los contribuyentes que presuntamente se ubicaron en los supuestos establecidos en el artículo 69-B, primer y último párrafos del CFF, a fin de que sean notificados a través del Portal del SAT y en el DOF, de conformidad con lo dispuesto en el segundo párrafo del citado artículo, en relación con el numeral 69, primer párrafo del Reglamento del CFF.</w:t>
      </w:r>
    </w:p>
    <w:p w14:paraId="7848ECDD" w14:textId="77777777" w:rsidR="00B62A45" w:rsidRPr="00DC64AB" w:rsidRDefault="00B62A45" w:rsidP="00B62A45">
      <w:pPr>
        <w:pStyle w:val="texto"/>
        <w:spacing w:after="92" w:line="218" w:lineRule="exact"/>
        <w:ind w:left="1800" w:hanging="1080"/>
      </w:pPr>
      <w:r w:rsidRPr="00DC64AB">
        <w:tab/>
        <w:t>Los contribuyentes podrán manifestar lo que a su derecho convenga y aportar la documentación e información que consideren pertinente para desvirtuar los hechos dados a conocer en el oficio que contiene la presunción de inexistencia de operaciones, dentro del plazo de quince días, computado a partir de la última de las notificaciones que se hayan efectuado, siendo esta la publicación que se lleva a cabo a través del DOF, en términos del artículo 69-B, segundo párrafo del CFF, en relación con el artículo 69, primer párrafo de su Reglamento.</w:t>
      </w:r>
    </w:p>
    <w:p w14:paraId="20B3C237" w14:textId="77777777" w:rsidR="00B62A45" w:rsidRPr="00E75855" w:rsidRDefault="00B62A45" w:rsidP="00B62A45">
      <w:pPr>
        <w:pStyle w:val="texto"/>
        <w:spacing w:after="92" w:line="218" w:lineRule="exact"/>
        <w:ind w:left="1800" w:hanging="1080"/>
        <w:rPr>
          <w:b/>
        </w:rPr>
      </w:pPr>
      <w:r w:rsidRPr="00DC64AB">
        <w:tab/>
      </w:r>
      <w:r w:rsidRPr="00FC7E79">
        <w:rPr>
          <w:b/>
        </w:rPr>
        <w:t>…</w:t>
      </w:r>
    </w:p>
    <w:p w14:paraId="2B2E690F" w14:textId="77777777" w:rsidR="00B62A45" w:rsidRPr="00DC64AB" w:rsidRDefault="00B62A45" w:rsidP="00B62A45">
      <w:pPr>
        <w:pStyle w:val="texto"/>
        <w:spacing w:after="92" w:line="218" w:lineRule="exact"/>
        <w:ind w:left="1800" w:hanging="1080"/>
        <w:rPr>
          <w:i/>
        </w:rPr>
      </w:pPr>
      <w:r w:rsidRPr="00DC64AB">
        <w:rPr>
          <w:i/>
        </w:rPr>
        <w:tab/>
        <w:t>CFF 69-B</w:t>
      </w:r>
    </w:p>
    <w:p w14:paraId="2E813D51" w14:textId="77777777" w:rsidR="00B62A45" w:rsidRPr="00DC64AB" w:rsidRDefault="00B62A45" w:rsidP="00B62A45">
      <w:pPr>
        <w:pStyle w:val="texto"/>
        <w:spacing w:after="92" w:line="218" w:lineRule="exact"/>
        <w:ind w:left="1800" w:firstLine="0"/>
        <w:rPr>
          <w:lang w:val="es-ES"/>
        </w:rPr>
      </w:pPr>
      <w:r w:rsidRPr="00DC64AB">
        <w:rPr>
          <w:b/>
        </w:rPr>
        <w:t>Lugar y forma para presentar documentación</w:t>
      </w:r>
    </w:p>
    <w:p w14:paraId="2F1A103D" w14:textId="77777777" w:rsidR="00B62A45" w:rsidRPr="00E75855" w:rsidRDefault="00B62A45" w:rsidP="00B62A45">
      <w:pPr>
        <w:pStyle w:val="texto"/>
        <w:spacing w:after="92" w:line="218" w:lineRule="exact"/>
        <w:ind w:left="1800" w:hanging="1080"/>
        <w:rPr>
          <w:b/>
        </w:rPr>
      </w:pPr>
      <w:r w:rsidRPr="00DC64AB">
        <w:rPr>
          <w:b/>
        </w:rPr>
        <w:t>1.6.</w:t>
      </w:r>
      <w:r w:rsidRPr="00DC64AB">
        <w:tab/>
      </w:r>
      <w:r w:rsidRPr="00FC7E79">
        <w:rPr>
          <w:b/>
        </w:rPr>
        <w:t>…</w:t>
      </w:r>
    </w:p>
    <w:p w14:paraId="15EDB666" w14:textId="77777777" w:rsidR="00B62A45" w:rsidRPr="00E75855" w:rsidRDefault="00B62A45" w:rsidP="00B62A45">
      <w:pPr>
        <w:pStyle w:val="texto"/>
        <w:spacing w:after="92" w:line="218" w:lineRule="exact"/>
        <w:ind w:left="1800" w:hanging="1080"/>
        <w:rPr>
          <w:b/>
        </w:rPr>
      </w:pPr>
      <w:r w:rsidRPr="00E75855">
        <w:rPr>
          <w:b/>
        </w:rPr>
        <w:tab/>
      </w:r>
      <w:r w:rsidRPr="00FC7E79">
        <w:rPr>
          <w:b/>
        </w:rPr>
        <w:t>…</w:t>
      </w:r>
    </w:p>
    <w:p w14:paraId="5B7B3068" w14:textId="77777777" w:rsidR="00B62A45" w:rsidRPr="00E75855" w:rsidRDefault="00B62A45" w:rsidP="00B62A45">
      <w:pPr>
        <w:pStyle w:val="texto"/>
        <w:spacing w:after="92"/>
        <w:ind w:left="1800" w:firstLine="0"/>
        <w:rPr>
          <w:b/>
        </w:rPr>
      </w:pPr>
      <w:r w:rsidRPr="00DC64AB">
        <w:rPr>
          <w:b/>
        </w:rPr>
        <w:t xml:space="preserve">I. </w:t>
      </w:r>
      <w:r w:rsidRPr="00DC64AB">
        <w:t xml:space="preserve">a </w:t>
      </w:r>
      <w:r w:rsidRPr="00DC64AB">
        <w:rPr>
          <w:b/>
        </w:rPr>
        <w:t>III.</w:t>
      </w:r>
      <w:r>
        <w:t xml:space="preserve"> </w:t>
      </w:r>
      <w:r w:rsidRPr="00FC7E79">
        <w:rPr>
          <w:b/>
        </w:rPr>
        <w:t>…</w:t>
      </w:r>
    </w:p>
    <w:p w14:paraId="1FFCFF51" w14:textId="77777777" w:rsidR="00B62A45" w:rsidRPr="00DC64AB" w:rsidRDefault="00B62A45" w:rsidP="00B62A45">
      <w:pPr>
        <w:pStyle w:val="texto"/>
        <w:spacing w:after="92"/>
        <w:ind w:left="2340" w:hanging="540"/>
      </w:pPr>
      <w:r w:rsidRPr="00DC64AB">
        <w:rPr>
          <w:b/>
        </w:rPr>
        <w:lastRenderedPageBreak/>
        <w:t>IV.</w:t>
      </w:r>
      <w:r w:rsidRPr="00DC64AB">
        <w:rPr>
          <w:b/>
        </w:rPr>
        <w:tab/>
      </w:r>
      <w:r w:rsidRPr="00DC64AB">
        <w:t>Tratándose de asuntos competencia de la AGJ y de las Administraciones Centrales que de ella dependen, ante dichas unidades administrativas en Avenida Hidalgo, número 77, Módulo I, planta baja, Colonia Guerrero, Alcaldía Cuauhtémoc, C.P. 06300, Ciudad de México.</w:t>
      </w:r>
    </w:p>
    <w:p w14:paraId="47DB91BB" w14:textId="77777777" w:rsidR="00B62A45" w:rsidRPr="00DC64AB" w:rsidRDefault="00B62A45" w:rsidP="00B62A45">
      <w:pPr>
        <w:pStyle w:val="texto"/>
        <w:spacing w:after="92"/>
        <w:ind w:left="2340" w:hanging="540"/>
      </w:pPr>
      <w:r>
        <w:tab/>
      </w:r>
      <w:r w:rsidRPr="00DC64AB">
        <w:t>Respecto de asuntos que competan a la Administración Central de Amparo e Instancias Judiciales, se presentarán en Paseo de la Reforma, número 10, piso 6, Colonia Tabacalera, Alcaldía Cuauhtémoc, C.P. 06300, Ciudad de México.</w:t>
      </w:r>
    </w:p>
    <w:p w14:paraId="4D727B77" w14:textId="77777777" w:rsidR="00B62A45" w:rsidRPr="00DC64AB" w:rsidRDefault="00B62A45" w:rsidP="00B62A45">
      <w:pPr>
        <w:pStyle w:val="texto"/>
        <w:spacing w:after="92"/>
        <w:ind w:left="2340" w:hanging="540"/>
      </w:pPr>
      <w:r>
        <w:tab/>
      </w:r>
      <w:r w:rsidRPr="00DC64AB">
        <w:t>Asimismo, por lo que se refiere a las Administraciones Desconcentradas Jurídicas, se estará a lo dispuesto en el Anexo 23.</w:t>
      </w:r>
    </w:p>
    <w:p w14:paraId="3BF7577A" w14:textId="77777777" w:rsidR="00B62A45" w:rsidRPr="00E75855" w:rsidRDefault="00B62A45" w:rsidP="00B62A45">
      <w:pPr>
        <w:pStyle w:val="texto"/>
        <w:spacing w:after="92"/>
        <w:ind w:left="1800" w:firstLine="0"/>
        <w:rPr>
          <w:b/>
        </w:rPr>
      </w:pPr>
      <w:r w:rsidRPr="00FC7E79">
        <w:rPr>
          <w:b/>
        </w:rPr>
        <w:t>…</w:t>
      </w:r>
    </w:p>
    <w:p w14:paraId="1AE3B598" w14:textId="77777777" w:rsidR="00B62A45" w:rsidRPr="00E75855" w:rsidRDefault="00B62A45" w:rsidP="00B62A45">
      <w:pPr>
        <w:pStyle w:val="texto"/>
        <w:spacing w:after="92"/>
        <w:ind w:left="1800" w:firstLine="0"/>
        <w:rPr>
          <w:b/>
        </w:rPr>
      </w:pPr>
      <w:r w:rsidRPr="00FC7E79">
        <w:rPr>
          <w:b/>
        </w:rPr>
        <w:t>…</w:t>
      </w:r>
    </w:p>
    <w:p w14:paraId="2CBA4CA1" w14:textId="77777777" w:rsidR="00B62A45" w:rsidRPr="00E75855" w:rsidRDefault="00B62A45" w:rsidP="00B62A45">
      <w:pPr>
        <w:pStyle w:val="texto"/>
        <w:spacing w:after="92"/>
        <w:ind w:left="1800" w:firstLine="0"/>
        <w:rPr>
          <w:b/>
        </w:rPr>
      </w:pPr>
      <w:r w:rsidRPr="00FC7E79">
        <w:rPr>
          <w:b/>
        </w:rPr>
        <w:t>…</w:t>
      </w:r>
    </w:p>
    <w:p w14:paraId="021A901D" w14:textId="77777777" w:rsidR="00B62A45" w:rsidRPr="00E75855" w:rsidRDefault="00B62A45" w:rsidP="00B62A45">
      <w:pPr>
        <w:pStyle w:val="texto"/>
        <w:spacing w:after="92"/>
        <w:ind w:left="1800" w:firstLine="0"/>
        <w:rPr>
          <w:b/>
        </w:rPr>
      </w:pPr>
      <w:r w:rsidRPr="00FC7E79">
        <w:rPr>
          <w:b/>
        </w:rPr>
        <w:t>…</w:t>
      </w:r>
    </w:p>
    <w:p w14:paraId="501750EC" w14:textId="77777777" w:rsidR="00B62A45" w:rsidRPr="00E75855" w:rsidRDefault="00B62A45" w:rsidP="00B62A45">
      <w:pPr>
        <w:pStyle w:val="texto"/>
        <w:spacing w:after="92"/>
        <w:ind w:left="1800" w:firstLine="0"/>
        <w:rPr>
          <w:b/>
        </w:rPr>
      </w:pPr>
      <w:r w:rsidRPr="00FC7E79">
        <w:rPr>
          <w:b/>
        </w:rPr>
        <w:t>…</w:t>
      </w:r>
    </w:p>
    <w:p w14:paraId="298843E8" w14:textId="77777777" w:rsidR="00B62A45" w:rsidRPr="00E75855" w:rsidRDefault="00B62A45" w:rsidP="00B62A45">
      <w:pPr>
        <w:pStyle w:val="texto"/>
        <w:spacing w:after="92"/>
        <w:ind w:left="1800" w:firstLine="0"/>
        <w:rPr>
          <w:b/>
        </w:rPr>
      </w:pPr>
      <w:r w:rsidRPr="00FC7E79">
        <w:rPr>
          <w:b/>
        </w:rPr>
        <w:t>…</w:t>
      </w:r>
    </w:p>
    <w:p w14:paraId="6BA1E169" w14:textId="77777777" w:rsidR="00B62A45" w:rsidRPr="00DC64AB" w:rsidRDefault="00B62A45" w:rsidP="00B62A45">
      <w:pPr>
        <w:pStyle w:val="texto"/>
        <w:spacing w:after="92"/>
        <w:ind w:left="1800" w:firstLine="0"/>
        <w:rPr>
          <w:color w:val="000000"/>
        </w:rPr>
      </w:pPr>
      <w:r w:rsidRPr="00DC64AB">
        <w:rPr>
          <w:i/>
        </w:rPr>
        <w:t>CFF 18, 18-A, 22, 23, 31, RISAT 32</w:t>
      </w:r>
      <w:bookmarkEnd w:id="0"/>
    </w:p>
    <w:p w14:paraId="3C5179F2" w14:textId="77777777" w:rsidR="00B62A45" w:rsidRPr="00DC64AB" w:rsidRDefault="00B62A45" w:rsidP="00B62A45">
      <w:pPr>
        <w:pStyle w:val="texto"/>
        <w:spacing w:after="92"/>
        <w:ind w:left="1800" w:firstLine="0"/>
        <w:rPr>
          <w:b/>
        </w:rPr>
      </w:pPr>
      <w:r w:rsidRPr="00DC64AB">
        <w:rPr>
          <w:b/>
        </w:rPr>
        <w:t>Procedimiento que debe observarse para la obtención de la opinión del cumplimiento de obligaciones fiscales</w:t>
      </w:r>
    </w:p>
    <w:p w14:paraId="1CC01C0C" w14:textId="77777777" w:rsidR="00B62A45" w:rsidRPr="00DC64AB" w:rsidRDefault="00B62A45" w:rsidP="00B62A45">
      <w:pPr>
        <w:pStyle w:val="texto"/>
        <w:spacing w:after="92"/>
        <w:ind w:left="1800" w:hanging="1080"/>
      </w:pPr>
      <w:r w:rsidRPr="00DC64AB">
        <w:rPr>
          <w:b/>
        </w:rPr>
        <w:t>2.1.37.</w:t>
      </w:r>
      <w:r w:rsidRPr="00DC64AB">
        <w:rPr>
          <w:b/>
        </w:rPr>
        <w:tab/>
      </w:r>
      <w:r w:rsidRPr="00FC7E79">
        <w:rPr>
          <w:b/>
        </w:rPr>
        <w:t>…</w:t>
      </w:r>
    </w:p>
    <w:p w14:paraId="1100B7C0" w14:textId="77777777" w:rsidR="00B62A45" w:rsidRPr="00DC64AB" w:rsidRDefault="00B62A45" w:rsidP="00B62A45">
      <w:pPr>
        <w:pStyle w:val="texto"/>
        <w:spacing w:after="92"/>
        <w:ind w:left="2340" w:hanging="540"/>
      </w:pPr>
      <w:r w:rsidRPr="00DC64AB">
        <w:rPr>
          <w:b/>
        </w:rPr>
        <w:t>I.</w:t>
      </w:r>
      <w:r w:rsidRPr="00DC64AB">
        <w:tab/>
        <w:t>Ingresar a través del Portal del SAT, seleccionando la opción “Otros trámites y servicios”, posteriormente “Obtén tu opinión del cumplimiento de obligaciones fiscales”.</w:t>
      </w:r>
    </w:p>
    <w:p w14:paraId="63960DD9" w14:textId="77777777" w:rsidR="00B62A45" w:rsidRPr="002E2523" w:rsidRDefault="00B62A45" w:rsidP="00B62A45">
      <w:pPr>
        <w:pStyle w:val="texto"/>
        <w:spacing w:after="92"/>
        <w:ind w:left="1800" w:firstLine="0"/>
        <w:rPr>
          <w:b/>
        </w:rPr>
      </w:pPr>
      <w:r w:rsidRPr="00DC64AB">
        <w:rPr>
          <w:b/>
        </w:rPr>
        <w:t>II. a IV.</w:t>
      </w:r>
      <w:r>
        <w:rPr>
          <w:b/>
        </w:rPr>
        <w:t xml:space="preserve"> </w:t>
      </w:r>
      <w:r w:rsidRPr="00FC7E79">
        <w:rPr>
          <w:b/>
        </w:rPr>
        <w:t>…</w:t>
      </w:r>
    </w:p>
    <w:p w14:paraId="0E9E3A84" w14:textId="77777777" w:rsidR="00B62A45" w:rsidRPr="00DC64AB" w:rsidRDefault="00B62A45" w:rsidP="00B62A45">
      <w:pPr>
        <w:pStyle w:val="texto"/>
        <w:spacing w:after="92"/>
        <w:ind w:left="1800" w:firstLine="0"/>
      </w:pPr>
      <w:r w:rsidRPr="00DC64AB">
        <w:t>La opinión se generará atendiendo a la situación fiscal del contribuyente en los siguientes sentidos:</w:t>
      </w:r>
    </w:p>
    <w:p w14:paraId="67379705" w14:textId="77777777" w:rsidR="00B62A45" w:rsidRPr="00DC64AB" w:rsidRDefault="00B62A45" w:rsidP="00B62A45">
      <w:pPr>
        <w:pStyle w:val="texto"/>
        <w:spacing w:after="92"/>
        <w:ind w:left="2340" w:hanging="540"/>
      </w:pPr>
      <w:r w:rsidRPr="00DC64AB">
        <w:rPr>
          <w:b/>
        </w:rPr>
        <w:t>I.</w:t>
      </w:r>
      <w:r w:rsidRPr="00DC64AB">
        <w:rPr>
          <w:b/>
        </w:rPr>
        <w:tab/>
      </w:r>
      <w:r w:rsidRPr="00DC64AB">
        <w:t>Positiva.- Cuando el contribuyente esté inscrito y al corriente en el cumplimiento de las obligaciones que se consideran en los numerales 1 a 12 de esta regla.</w:t>
      </w:r>
    </w:p>
    <w:p w14:paraId="5AA97614" w14:textId="77777777" w:rsidR="00B62A45" w:rsidRPr="00DC64AB" w:rsidRDefault="00B62A45" w:rsidP="00B62A45">
      <w:pPr>
        <w:pStyle w:val="texto"/>
        <w:spacing w:after="92"/>
        <w:ind w:left="2340" w:hanging="540"/>
      </w:pPr>
      <w:r w:rsidRPr="00DC64AB">
        <w:rPr>
          <w:b/>
        </w:rPr>
        <w:t>II.</w:t>
      </w:r>
      <w:r w:rsidRPr="00DC64AB">
        <w:rPr>
          <w:b/>
        </w:rPr>
        <w:tab/>
      </w:r>
      <w:r w:rsidRPr="00DC64AB">
        <w:t>Negativa.- Cuando el contribuyente esté inscrito y no se encuentre al corriente en el cumplimiento de sus obligaciones fiscales que se consideran en los numerales 1 a 12 de esta regla.</w:t>
      </w:r>
    </w:p>
    <w:p w14:paraId="3223C03F" w14:textId="77777777" w:rsidR="00B62A45" w:rsidRPr="00DC64AB" w:rsidRDefault="00B62A45" w:rsidP="00B62A45">
      <w:pPr>
        <w:pStyle w:val="texto"/>
        <w:spacing w:after="92"/>
        <w:ind w:left="2340" w:hanging="540"/>
      </w:pPr>
      <w:r w:rsidRPr="00DC64AB">
        <w:rPr>
          <w:b/>
        </w:rPr>
        <w:t>III.</w:t>
      </w:r>
      <w:r w:rsidRPr="00DC64AB">
        <w:rPr>
          <w:b/>
        </w:rPr>
        <w:tab/>
      </w:r>
      <w:r w:rsidRPr="00DC64AB">
        <w:t>En suspensión de actividades.- Cuando el contribuyente se encuentre con estado de suspendido en el RFC a la fecha de emisión de la opinión de cumplimiento.</w:t>
      </w:r>
    </w:p>
    <w:p w14:paraId="209308B4" w14:textId="77777777" w:rsidR="00B62A45" w:rsidRPr="00DC64AB" w:rsidRDefault="00B62A45" w:rsidP="00B62A45">
      <w:pPr>
        <w:pStyle w:val="texto"/>
        <w:spacing w:after="92"/>
        <w:ind w:left="2340" w:hanging="540"/>
      </w:pPr>
      <w:r w:rsidRPr="00DC64AB">
        <w:rPr>
          <w:b/>
        </w:rPr>
        <w:t>IV.</w:t>
      </w:r>
      <w:r w:rsidRPr="00DC64AB">
        <w:rPr>
          <w:b/>
        </w:rPr>
        <w:tab/>
      </w:r>
      <w:r w:rsidRPr="00DC64AB">
        <w:t>Inscrito sin obligaciones fiscales.- Cuando el contribuyente se encuentre inscrito en el RFC pero no tiene obligaciones fiscales.</w:t>
      </w:r>
    </w:p>
    <w:p w14:paraId="43C1B6BC" w14:textId="77777777" w:rsidR="00B62A45" w:rsidRPr="002E2523" w:rsidRDefault="00B62A45" w:rsidP="00B62A45">
      <w:pPr>
        <w:pStyle w:val="texto"/>
        <w:spacing w:after="92"/>
        <w:ind w:left="1800" w:hanging="1080"/>
        <w:rPr>
          <w:b/>
        </w:rPr>
      </w:pPr>
      <w:r w:rsidRPr="00DC64AB">
        <w:tab/>
      </w:r>
      <w:r w:rsidRPr="00FC7E79">
        <w:rPr>
          <w:b/>
        </w:rPr>
        <w:t>…</w:t>
      </w:r>
    </w:p>
    <w:p w14:paraId="798C1FDD" w14:textId="77777777" w:rsidR="00B62A45" w:rsidRPr="002E2523" w:rsidRDefault="00B62A45" w:rsidP="00B62A45">
      <w:pPr>
        <w:pStyle w:val="texto"/>
        <w:spacing w:after="92"/>
        <w:ind w:left="1800" w:hanging="1080"/>
        <w:rPr>
          <w:b/>
        </w:rPr>
      </w:pPr>
      <w:r w:rsidRPr="002E2523">
        <w:rPr>
          <w:b/>
        </w:rPr>
        <w:tab/>
      </w:r>
      <w:r w:rsidRPr="00FC7E79">
        <w:rPr>
          <w:b/>
        </w:rPr>
        <w:t>…</w:t>
      </w:r>
    </w:p>
    <w:p w14:paraId="0FAF4BC3" w14:textId="77777777" w:rsidR="00B62A45" w:rsidRPr="002E2523" w:rsidRDefault="00B62A45" w:rsidP="00B62A45">
      <w:pPr>
        <w:pStyle w:val="texto"/>
        <w:spacing w:after="92"/>
        <w:ind w:left="1800" w:hanging="1080"/>
        <w:rPr>
          <w:b/>
        </w:rPr>
      </w:pPr>
      <w:r w:rsidRPr="002E2523">
        <w:rPr>
          <w:b/>
        </w:rPr>
        <w:tab/>
        <w:t>...</w:t>
      </w:r>
    </w:p>
    <w:p w14:paraId="52FA2FA9" w14:textId="77777777" w:rsidR="00B62A45" w:rsidRPr="002E2523" w:rsidRDefault="00B62A45" w:rsidP="00B62A45">
      <w:pPr>
        <w:pStyle w:val="texto"/>
        <w:spacing w:after="92"/>
        <w:ind w:left="1800" w:hanging="1080"/>
        <w:rPr>
          <w:b/>
        </w:rPr>
      </w:pPr>
      <w:r w:rsidRPr="002E2523">
        <w:rPr>
          <w:b/>
        </w:rPr>
        <w:tab/>
      </w:r>
      <w:r w:rsidRPr="00FC7E79">
        <w:rPr>
          <w:b/>
        </w:rPr>
        <w:t>…</w:t>
      </w:r>
    </w:p>
    <w:p w14:paraId="63034C98" w14:textId="77777777" w:rsidR="00B62A45" w:rsidRPr="002E2523" w:rsidRDefault="00B62A45" w:rsidP="00B62A45">
      <w:pPr>
        <w:pStyle w:val="texto"/>
        <w:spacing w:after="92"/>
        <w:ind w:left="1800" w:hanging="1080"/>
        <w:rPr>
          <w:b/>
        </w:rPr>
      </w:pPr>
      <w:r w:rsidRPr="002E2523">
        <w:rPr>
          <w:b/>
        </w:rPr>
        <w:tab/>
        <w:t>...</w:t>
      </w:r>
    </w:p>
    <w:p w14:paraId="109E5A22" w14:textId="77777777" w:rsidR="00B62A45" w:rsidRPr="002E2523" w:rsidRDefault="00B62A45" w:rsidP="00B62A45">
      <w:pPr>
        <w:pStyle w:val="texto"/>
        <w:spacing w:after="92"/>
        <w:ind w:left="1800" w:hanging="1080"/>
        <w:rPr>
          <w:b/>
        </w:rPr>
      </w:pPr>
      <w:r w:rsidRPr="002E2523">
        <w:rPr>
          <w:b/>
        </w:rPr>
        <w:tab/>
        <w:t>...</w:t>
      </w:r>
    </w:p>
    <w:p w14:paraId="25F487F2" w14:textId="77777777" w:rsidR="00B62A45" w:rsidRPr="002E2523" w:rsidRDefault="00B62A45" w:rsidP="00B62A45">
      <w:pPr>
        <w:pStyle w:val="texto"/>
        <w:spacing w:after="92"/>
        <w:ind w:left="1800" w:hanging="1080"/>
        <w:rPr>
          <w:b/>
        </w:rPr>
      </w:pPr>
      <w:r w:rsidRPr="002E2523">
        <w:rPr>
          <w:b/>
        </w:rPr>
        <w:tab/>
        <w:t>...</w:t>
      </w:r>
    </w:p>
    <w:p w14:paraId="31100E3B" w14:textId="77777777" w:rsidR="00B62A45" w:rsidRPr="00DC64AB" w:rsidRDefault="00B62A45" w:rsidP="00B62A45">
      <w:pPr>
        <w:pStyle w:val="texto"/>
        <w:spacing w:after="92"/>
        <w:ind w:left="1800" w:firstLine="0"/>
        <w:rPr>
          <w:color w:val="000000"/>
        </w:rPr>
      </w:pPr>
      <w:r w:rsidRPr="00DC64AB">
        <w:rPr>
          <w:i/>
        </w:rPr>
        <w:t>CFF 31, 32-B Ter, 32-B Quinquies, 32-D, 65, 66, 66-A, 69, 69-B, 69-B Bis, 141, LISR 82, 86, RMF 2023 2.1.51., 2.11.5., 3.10.10., 5.2.2., 5.2.13., 5.2.15., 5.2.17., 5.2.18., 5.2.19., 5.2.20., 5.2.21., 5.2.26.</w:t>
      </w:r>
    </w:p>
    <w:p w14:paraId="4FFEB391" w14:textId="77777777" w:rsidR="00B62A45" w:rsidRPr="00DC64AB" w:rsidRDefault="00B62A45" w:rsidP="00B62A45">
      <w:pPr>
        <w:pStyle w:val="texto"/>
        <w:spacing w:after="92"/>
        <w:ind w:left="1800" w:firstLine="0"/>
        <w:rPr>
          <w:b/>
        </w:rPr>
      </w:pPr>
      <w:bookmarkStart w:id="1" w:name="N_Hlk122031199"/>
      <w:r w:rsidRPr="00DC64AB">
        <w:rPr>
          <w:b/>
        </w:rPr>
        <w:t>Facilidades para no habilitar el buzón tributario</w:t>
      </w:r>
    </w:p>
    <w:p w14:paraId="793B9C1C" w14:textId="77777777" w:rsidR="00B62A45" w:rsidRPr="00DC64AB" w:rsidRDefault="00B62A45" w:rsidP="00B62A45">
      <w:pPr>
        <w:pStyle w:val="texto"/>
        <w:spacing w:after="92"/>
        <w:ind w:left="1800" w:hanging="1080"/>
        <w:rPr>
          <w:b/>
        </w:rPr>
      </w:pPr>
      <w:r w:rsidRPr="00DC64AB">
        <w:rPr>
          <w:b/>
        </w:rPr>
        <w:t>2.2.23.</w:t>
      </w:r>
      <w:r w:rsidRPr="00DC64AB">
        <w:tab/>
        <w:t xml:space="preserve">Para los efectos de los artículos 17-K, tercer párrafo respecto a la habilitación del buzón tributario, 27, apartado C, fracción IV, y 86-C del CFF, en cuanto hace a la no habilitación del buzón tributario; en relación con el artículo 29, fracciones V, XII, XIII, XIV, XV y XVI </w:t>
      </w:r>
      <w:r w:rsidRPr="00DC64AB">
        <w:lastRenderedPageBreak/>
        <w:t>del Reglamento del CFF, y las reglas 2.4.4., 2.4.11., fracciones V y VI, 2.5.1., 2.5.2., 2.5.3., 2.5.10. y 2.5.13., fracción X, los contribuyentes personas físicas que cuenten ante el RFC con situación fiscal: sin obligaciones fiscales, sin actividad económica o suspendidos, tendrán la opción de no habilitar el buzón tributario.</w:t>
      </w:r>
    </w:p>
    <w:p w14:paraId="7EE0E796" w14:textId="77777777" w:rsidR="00B62A45" w:rsidRPr="002E2523" w:rsidRDefault="00B62A45" w:rsidP="00B62A45">
      <w:pPr>
        <w:pStyle w:val="texto"/>
        <w:spacing w:after="92" w:line="226" w:lineRule="exact"/>
        <w:ind w:left="1800" w:firstLine="0"/>
        <w:rPr>
          <w:b/>
        </w:rPr>
      </w:pPr>
      <w:r w:rsidRPr="00FC7E79">
        <w:rPr>
          <w:b/>
        </w:rPr>
        <w:t>…</w:t>
      </w:r>
    </w:p>
    <w:p w14:paraId="15216ACB" w14:textId="77777777" w:rsidR="00B62A45" w:rsidRPr="002E2523" w:rsidRDefault="00B62A45" w:rsidP="00B62A45">
      <w:pPr>
        <w:pStyle w:val="texto"/>
        <w:spacing w:after="92" w:line="226" w:lineRule="exact"/>
        <w:ind w:left="1800" w:firstLine="0"/>
        <w:rPr>
          <w:b/>
        </w:rPr>
      </w:pPr>
      <w:r w:rsidRPr="00FC7E79">
        <w:rPr>
          <w:b/>
        </w:rPr>
        <w:t>…</w:t>
      </w:r>
    </w:p>
    <w:p w14:paraId="3E0AA69E" w14:textId="77777777" w:rsidR="00B62A45" w:rsidRPr="002E2523" w:rsidRDefault="00B62A45" w:rsidP="00B62A45">
      <w:pPr>
        <w:pStyle w:val="texto"/>
        <w:spacing w:after="92" w:line="226" w:lineRule="exact"/>
        <w:ind w:left="1800" w:firstLine="0"/>
        <w:rPr>
          <w:b/>
        </w:rPr>
      </w:pPr>
      <w:r w:rsidRPr="00FC7E79">
        <w:rPr>
          <w:b/>
        </w:rPr>
        <w:t>…</w:t>
      </w:r>
    </w:p>
    <w:p w14:paraId="39A6D011" w14:textId="77777777" w:rsidR="00B62A45" w:rsidRPr="002E2523" w:rsidRDefault="00B62A45" w:rsidP="00B62A45">
      <w:pPr>
        <w:pStyle w:val="texto"/>
        <w:spacing w:after="92" w:line="226" w:lineRule="exact"/>
        <w:ind w:left="1800" w:firstLine="0"/>
        <w:rPr>
          <w:b/>
        </w:rPr>
      </w:pPr>
      <w:r w:rsidRPr="00FC7E79">
        <w:rPr>
          <w:b/>
        </w:rPr>
        <w:t>…</w:t>
      </w:r>
    </w:p>
    <w:p w14:paraId="4F88FFC1" w14:textId="77777777" w:rsidR="00B62A45" w:rsidRPr="00DC64AB" w:rsidRDefault="00B62A45" w:rsidP="00B62A45">
      <w:pPr>
        <w:pStyle w:val="texto"/>
        <w:spacing w:after="92" w:line="226" w:lineRule="exact"/>
        <w:ind w:left="1800" w:firstLine="0"/>
        <w:rPr>
          <w:color w:val="000000"/>
        </w:rPr>
      </w:pPr>
      <w:r w:rsidRPr="00DC64AB">
        <w:rPr>
          <w:i/>
        </w:rPr>
        <w:t>CFF 17-K, 27, 29, 86-C, RMF 2023 2.4.4., 2.4.11., 2.5.1., 2.5.2., 2.5.3., 2.5.10., 2.5.13.</w:t>
      </w:r>
      <w:bookmarkEnd w:id="1"/>
    </w:p>
    <w:p w14:paraId="55C87850" w14:textId="77777777" w:rsidR="00B62A45" w:rsidRPr="00DC64AB" w:rsidRDefault="00B62A45" w:rsidP="00B62A45">
      <w:pPr>
        <w:pStyle w:val="texto"/>
        <w:spacing w:after="92" w:line="226" w:lineRule="exact"/>
        <w:ind w:left="1800" w:firstLine="0"/>
        <w:rPr>
          <w:b/>
        </w:rPr>
      </w:pPr>
      <w:r w:rsidRPr="00DC64AB">
        <w:rPr>
          <w:b/>
        </w:rPr>
        <w:t>Inscripción en el RFC de personas físicas menores de edad en el régimen de salarios</w:t>
      </w:r>
    </w:p>
    <w:p w14:paraId="06BC6FCE" w14:textId="77777777" w:rsidR="00B62A45" w:rsidRPr="002E2523" w:rsidRDefault="00B62A45" w:rsidP="00B62A45">
      <w:pPr>
        <w:pStyle w:val="texto"/>
        <w:spacing w:after="92" w:line="226" w:lineRule="exact"/>
        <w:ind w:left="1800" w:hanging="1080"/>
        <w:rPr>
          <w:b/>
          <w:lang w:val="es-ES"/>
        </w:rPr>
      </w:pPr>
      <w:r w:rsidRPr="00DC64AB">
        <w:rPr>
          <w:b/>
        </w:rPr>
        <w:t>2.4.4.</w:t>
      </w:r>
      <w:r w:rsidRPr="00DC64AB">
        <w:rPr>
          <w:b/>
        </w:rPr>
        <w:tab/>
      </w:r>
      <w:r w:rsidRPr="00FC7E79">
        <w:rPr>
          <w:b/>
        </w:rPr>
        <w:t>…</w:t>
      </w:r>
    </w:p>
    <w:p w14:paraId="0619E40B" w14:textId="77777777" w:rsidR="00B62A45" w:rsidRPr="00DC64AB" w:rsidRDefault="00B62A45" w:rsidP="00B62A45">
      <w:pPr>
        <w:pStyle w:val="texto"/>
        <w:spacing w:after="92" w:line="226" w:lineRule="exact"/>
        <w:ind w:left="1800" w:hanging="1080"/>
      </w:pPr>
      <w:r w:rsidRPr="00DC64AB">
        <w:tab/>
        <w:t>Los contribuyentes a que se refiere el párrafo anterior deberán acudir a cualquier ADSC a tramitar su inscripción en el RFC y su certificado de e.firma, de conformidad con la ficha de trámite 105/CFF “Solicitud de generación del Certificado de e.firma para personas físicas”, contenida en el Anexo 1-A, o realizar el trámite de su Contraseña a través del Portal del SAT con su certificado de e.firma, o bien, podrán solicitarla en las oficinas del SAT o en los módulos de servicios tributarios, previa cita, de conformidad con la mencionada ficha de trámite 105/CFF.</w:t>
      </w:r>
    </w:p>
    <w:p w14:paraId="2A4E21EF" w14:textId="77777777" w:rsidR="00B62A45" w:rsidRPr="00DC64AB" w:rsidRDefault="00B62A45" w:rsidP="00B62A45">
      <w:pPr>
        <w:pStyle w:val="texto"/>
        <w:spacing w:after="92" w:line="226" w:lineRule="exact"/>
        <w:ind w:left="1800" w:hanging="1080"/>
        <w:rPr>
          <w:i/>
        </w:rPr>
      </w:pPr>
      <w:r w:rsidRPr="00DC64AB">
        <w:tab/>
        <w:t>Los contribuyentes a que se refiere la presente regla podrán generar o actualizar su Contraseña utilizando su e.firma, en el Portal del SAT.</w:t>
      </w:r>
    </w:p>
    <w:p w14:paraId="1278A08C" w14:textId="77777777" w:rsidR="00B62A45" w:rsidRPr="00DC64AB" w:rsidRDefault="00B62A45" w:rsidP="00B62A45">
      <w:pPr>
        <w:pStyle w:val="texto"/>
        <w:spacing w:after="92" w:line="226" w:lineRule="exact"/>
        <w:ind w:left="1800" w:firstLine="0"/>
        <w:rPr>
          <w:color w:val="000000"/>
        </w:rPr>
      </w:pPr>
      <w:r w:rsidRPr="00DC64AB">
        <w:rPr>
          <w:i/>
        </w:rPr>
        <w:t>CFF 27</w:t>
      </w:r>
    </w:p>
    <w:p w14:paraId="38B3E2B7" w14:textId="77777777" w:rsidR="00B62A45" w:rsidRPr="00DC64AB" w:rsidRDefault="00B62A45" w:rsidP="00B62A45">
      <w:pPr>
        <w:pStyle w:val="texto"/>
        <w:spacing w:after="92" w:line="226" w:lineRule="exact"/>
        <w:ind w:left="1800" w:firstLine="0"/>
        <w:rPr>
          <w:b/>
        </w:rPr>
      </w:pPr>
      <w:r w:rsidRPr="00DC64AB">
        <w:rPr>
          <w:b/>
        </w:rPr>
        <w:t>Modificación o incorporación de información de socios o accionistas, así como de representantes legales</w:t>
      </w:r>
    </w:p>
    <w:p w14:paraId="680D67BC" w14:textId="77777777" w:rsidR="00B62A45" w:rsidRPr="00DC64AB" w:rsidRDefault="00B62A45" w:rsidP="00B62A45">
      <w:pPr>
        <w:pStyle w:val="texto"/>
        <w:spacing w:after="92" w:line="226" w:lineRule="exact"/>
        <w:ind w:left="1800" w:hanging="1080"/>
      </w:pPr>
      <w:r w:rsidRPr="00DC64AB">
        <w:rPr>
          <w:b/>
        </w:rPr>
        <w:t>2.4.15.</w:t>
      </w:r>
      <w:r w:rsidRPr="00DC64AB">
        <w:tab/>
        <w:t>Para los efectos del artículo 27, apartados A, fracción II y B, fracción VI del CFF, las personas morales deberán presentar solicitud ante el RFC en la cual informarán el nombre y la clave del RFC de los socios, accionistas o de las personas que tengan control, influencia significativa o poder de mando y de los representantes comunes de las acciones que ha emitido la persona moral cada vez que se realice una modificación o incorporación, conforme a la ficha de trámite 295/CFF “Solicitud de modificación o incorporación de socios, accionistas, asociados y demás personas que forman parte de la estructura orgánica de una persona moral, así como de aquellas que tengan control, influencia significativa, poder de mando y de representantes legales”, contenida en el Anexo 1-A.</w:t>
      </w:r>
    </w:p>
    <w:p w14:paraId="65518EA8" w14:textId="77777777" w:rsidR="00B62A45" w:rsidRPr="00DC64AB" w:rsidRDefault="00B62A45" w:rsidP="00B62A45">
      <w:pPr>
        <w:pStyle w:val="texto"/>
        <w:spacing w:after="92" w:line="226" w:lineRule="exact"/>
        <w:ind w:left="1800" w:firstLine="0"/>
        <w:rPr>
          <w:lang w:eastAsia="es-MX"/>
        </w:rPr>
      </w:pPr>
      <w:r w:rsidRPr="00DC64AB">
        <w:t>Asimismo, para los efectos del artículo 19 del CFF, los contribuyentes podrán incorporar o actualizar la información de sus representantes legales para efectos fiscales cuando se requiera, de conformidad con el procedimiento señalado en la referida ficha de trámite 295/CFF “Solicitud de modificación o incorporación de socios, accionistas, asociados y demás personas que forman parte de la estructura orgánica de una persona moral, así como de aquellas que tengan control, influencia significativa, poder de mando y de representantes legales”, contenida en el Anexo 1-A.</w:t>
      </w:r>
    </w:p>
    <w:p w14:paraId="04DAAA70" w14:textId="77777777" w:rsidR="00B62A45" w:rsidRPr="00DC64AB" w:rsidRDefault="00B62A45" w:rsidP="00B62A45">
      <w:pPr>
        <w:pStyle w:val="texto"/>
        <w:spacing w:after="92" w:line="226" w:lineRule="exact"/>
        <w:ind w:left="1800" w:firstLine="0"/>
        <w:rPr>
          <w:color w:val="000000"/>
        </w:rPr>
      </w:pPr>
      <w:r w:rsidRPr="00DC64AB">
        <w:rPr>
          <w:i/>
        </w:rPr>
        <w:t>CFF 19, 27</w:t>
      </w:r>
    </w:p>
    <w:p w14:paraId="53C93146" w14:textId="77777777" w:rsidR="00B62A45" w:rsidRPr="00DC64AB" w:rsidRDefault="00B62A45" w:rsidP="00B62A45">
      <w:pPr>
        <w:pStyle w:val="texto"/>
        <w:spacing w:after="92" w:line="226" w:lineRule="exact"/>
        <w:ind w:left="1800" w:firstLine="0"/>
        <w:rPr>
          <w:b/>
        </w:rPr>
      </w:pPr>
      <w:bookmarkStart w:id="2" w:name="N_Hlk121437395"/>
      <w:r w:rsidRPr="00DC64AB">
        <w:rPr>
          <w:b/>
        </w:rPr>
        <w:t>Solicitud de datos en el RFC para timbrado de CFDI con complemento de nómina</w:t>
      </w:r>
    </w:p>
    <w:p w14:paraId="6874392C" w14:textId="77777777" w:rsidR="00B62A45" w:rsidRPr="00DC64AB" w:rsidRDefault="00B62A45" w:rsidP="00B62A45">
      <w:pPr>
        <w:pStyle w:val="texto"/>
        <w:spacing w:after="92" w:line="226" w:lineRule="exact"/>
        <w:ind w:left="1800" w:hanging="1080"/>
      </w:pPr>
      <w:r w:rsidRPr="00DC64AB">
        <w:rPr>
          <w:b/>
        </w:rPr>
        <w:t>2.7.1.48.</w:t>
      </w:r>
      <w:r w:rsidRPr="00DC64AB">
        <w:tab/>
        <w:t>Para los efectos de los artículos, 27 apartado B, fracciones I y VII, 29, segundo párrafo, fracción III, en relación con el 29-A, primer párrafo, fracción IV del CFF, en relación con el artículo 26 del Reglamento del CFF, quienes hagan pagos por los conceptos a que se refiere el Título IV, Capítulo I de la Ley del ISR y que estén obligados a emitir CFDI por los mismos, podrán solicitar a la autoridad fiscal a través del Portal del SAT, la información relacionada con la inscripción en el RFC de las personas a quienes les realizan los referidos pagos, siempre que durante los últimos doce meses, el solicitante les haya efectuado pagos por esos mismos conceptos en términos de la citada Ley.</w:t>
      </w:r>
    </w:p>
    <w:p w14:paraId="4DC238A8" w14:textId="77777777" w:rsidR="00B62A45" w:rsidRPr="002E2523" w:rsidRDefault="00B62A45" w:rsidP="00B62A45">
      <w:pPr>
        <w:pStyle w:val="texto"/>
        <w:spacing w:after="92" w:line="226" w:lineRule="exact"/>
        <w:ind w:left="1800" w:firstLine="0"/>
        <w:rPr>
          <w:b/>
        </w:rPr>
      </w:pPr>
      <w:r w:rsidRPr="002E2523">
        <w:rPr>
          <w:b/>
        </w:rPr>
        <w:lastRenderedPageBreak/>
        <w:t>...</w:t>
      </w:r>
    </w:p>
    <w:p w14:paraId="2F045F8C" w14:textId="77777777" w:rsidR="00B62A45" w:rsidRPr="00DC64AB" w:rsidRDefault="00B62A45" w:rsidP="00B62A45">
      <w:pPr>
        <w:pStyle w:val="texto"/>
        <w:spacing w:after="92" w:line="226" w:lineRule="exact"/>
        <w:ind w:left="1800" w:firstLine="0"/>
        <w:rPr>
          <w:color w:val="000000"/>
        </w:rPr>
      </w:pPr>
      <w:r w:rsidRPr="00DC64AB">
        <w:rPr>
          <w:i/>
        </w:rPr>
        <w:t>CFF 27, 29, 29-A, RCFF 26</w:t>
      </w:r>
      <w:bookmarkEnd w:id="2"/>
    </w:p>
    <w:p w14:paraId="55D24185" w14:textId="77777777" w:rsidR="00B62A45" w:rsidRPr="00DC64AB" w:rsidRDefault="00B62A45" w:rsidP="00B62A45">
      <w:pPr>
        <w:pStyle w:val="texto"/>
        <w:spacing w:after="92"/>
        <w:ind w:left="1800" w:firstLine="0"/>
        <w:rPr>
          <w:b/>
        </w:rPr>
      </w:pPr>
      <w:r w:rsidRPr="00DC64AB">
        <w:rPr>
          <w:b/>
        </w:rPr>
        <w:t>Requisitos para obtener la autorización para operar como proveedor de certificación de CFDI</w:t>
      </w:r>
    </w:p>
    <w:p w14:paraId="7E2865FA" w14:textId="77777777" w:rsidR="00B62A45" w:rsidRPr="002E2523" w:rsidRDefault="00B62A45" w:rsidP="00B62A45">
      <w:pPr>
        <w:pStyle w:val="texto"/>
        <w:spacing w:after="92"/>
        <w:ind w:left="1800" w:hanging="1080"/>
        <w:rPr>
          <w:b/>
        </w:rPr>
      </w:pPr>
      <w:r w:rsidRPr="00DC64AB">
        <w:rPr>
          <w:b/>
        </w:rPr>
        <w:t>2.7.2.1.</w:t>
      </w:r>
      <w:r w:rsidRPr="00DC64AB">
        <w:rPr>
          <w:b/>
        </w:rPr>
        <w:tab/>
      </w:r>
      <w:r w:rsidRPr="00FC7E79">
        <w:rPr>
          <w:b/>
        </w:rPr>
        <w:t>…</w:t>
      </w:r>
    </w:p>
    <w:p w14:paraId="6EDD1FC7" w14:textId="77777777" w:rsidR="00B62A45" w:rsidRPr="002E2523" w:rsidRDefault="00B62A45" w:rsidP="00B62A45">
      <w:pPr>
        <w:pStyle w:val="texto"/>
        <w:spacing w:after="92"/>
        <w:ind w:left="1800" w:firstLine="0"/>
        <w:rPr>
          <w:b/>
        </w:rPr>
      </w:pPr>
      <w:r w:rsidRPr="00FC7E79">
        <w:rPr>
          <w:b/>
        </w:rPr>
        <w:t>…</w:t>
      </w:r>
    </w:p>
    <w:p w14:paraId="34190E27" w14:textId="77777777" w:rsidR="00B62A45" w:rsidRPr="002E2523" w:rsidRDefault="00B62A45" w:rsidP="00B62A45">
      <w:pPr>
        <w:pStyle w:val="texto"/>
        <w:spacing w:after="92"/>
        <w:ind w:left="1800" w:firstLine="0"/>
        <w:rPr>
          <w:b/>
        </w:rPr>
      </w:pPr>
      <w:r w:rsidRPr="00DC64AB">
        <w:rPr>
          <w:b/>
        </w:rPr>
        <w:t xml:space="preserve">1. </w:t>
      </w:r>
      <w:r w:rsidRPr="00DC64AB">
        <w:t xml:space="preserve">a </w:t>
      </w:r>
      <w:r w:rsidRPr="00DC64AB">
        <w:rPr>
          <w:b/>
        </w:rPr>
        <w:t>6.</w:t>
      </w:r>
      <w:r>
        <w:t xml:space="preserve"> </w:t>
      </w:r>
      <w:r w:rsidRPr="00FC7E79">
        <w:rPr>
          <w:b/>
        </w:rPr>
        <w:t>…</w:t>
      </w:r>
    </w:p>
    <w:p w14:paraId="4040C78F" w14:textId="77777777" w:rsidR="00B62A45" w:rsidRPr="00DC64AB" w:rsidRDefault="00B62A45" w:rsidP="00B62A45">
      <w:pPr>
        <w:pStyle w:val="texto"/>
        <w:spacing w:after="92"/>
        <w:ind w:left="2340" w:hanging="540"/>
      </w:pPr>
      <w:r w:rsidRPr="00DC64AB">
        <w:rPr>
          <w:b/>
        </w:rPr>
        <w:t>7.</w:t>
      </w:r>
      <w:r w:rsidRPr="00DC64AB">
        <w:rPr>
          <w:b/>
        </w:rPr>
        <w:tab/>
      </w:r>
      <w:r w:rsidRPr="00DC64AB">
        <w:t>Que la persona moral solicitante, sus socios o accionistas, representantes o apoderados legales, asociados o cualquier integrante del Comité Técnico, Consejo Directivo o de Administración, o cualquiera que sea su denominación, no formen o hayan formado parte, en los últimos cinco ejercicios fiscales, de manera directa o indirecta, de alguna persona moral a la que no se le haya renovado su autorización o se le haya revocado la misma, en términos de las reglas 2.7.2.4. y 2.7.2.12., según corresponda, o se le haya dejado sin efectos por haber iniciado un proceso de liquidación, concurso mercantil o su órgano de dirección haya tomado el acuerdo de extinción de la sociedad. Lo anterior, no resulta aplicable cuando la no renovación derive de la no presentación del aviso o de su presentación extemporánea.</w:t>
      </w:r>
    </w:p>
    <w:p w14:paraId="1034872D" w14:textId="77777777" w:rsidR="00B62A45" w:rsidRPr="00DC64AB" w:rsidRDefault="00B62A45" w:rsidP="00B62A45">
      <w:pPr>
        <w:pStyle w:val="texto"/>
        <w:spacing w:after="92"/>
        <w:ind w:left="2340" w:hanging="540"/>
      </w:pPr>
      <w:r w:rsidRPr="00DC64AB">
        <w:rPr>
          <w:b/>
        </w:rPr>
        <w:t>8.</w:t>
      </w:r>
      <w:r w:rsidRPr="00DC64AB">
        <w:tab/>
      </w:r>
      <w:bookmarkStart w:id="3" w:name="N_Hlk112748428"/>
      <w:r w:rsidRPr="00DC64AB">
        <w:t>Que la persona moral solicitante, sus socios o accionistas, representantes o apoderados legales, asociados o cualquier integrante del Comité Técnico, Consejo Directivo o de Administración, o cualquiera que sea su denominación, no formen o hayan formado parte, en los últimos cinco ejercicios fiscales, de manera directa o indirecta, de alguna persona moral que haya interpuesto algún medio de defensa en contra de la resolución a través de la cual se determinó no renovar, revocar o no otorgar la autorización como PCCFDI o cualquier acto conexo de las mismas.</w:t>
      </w:r>
      <w:bookmarkEnd w:id="3"/>
    </w:p>
    <w:p w14:paraId="4A32951A" w14:textId="77777777" w:rsidR="00B62A45" w:rsidRPr="00DC64AB" w:rsidRDefault="00B62A45" w:rsidP="00B62A45">
      <w:pPr>
        <w:pStyle w:val="texto"/>
        <w:spacing w:after="92"/>
        <w:ind w:left="2340" w:hanging="540"/>
      </w:pPr>
      <w:r w:rsidRPr="00DC64AB">
        <w:rPr>
          <w:b/>
        </w:rPr>
        <w:t>9.</w:t>
      </w:r>
      <w:r w:rsidRPr="00DC64AB">
        <w:tab/>
      </w:r>
      <w:r w:rsidRPr="00FC7E79">
        <w:rPr>
          <w:b/>
        </w:rPr>
        <w:t>…</w:t>
      </w:r>
    </w:p>
    <w:p w14:paraId="118ED26D" w14:textId="77777777" w:rsidR="00B62A45" w:rsidRPr="00DC64AB" w:rsidRDefault="00B62A45" w:rsidP="00B62A45">
      <w:pPr>
        <w:pStyle w:val="texto"/>
        <w:spacing w:after="92"/>
        <w:ind w:left="2340" w:hanging="540"/>
      </w:pPr>
      <w:r w:rsidRPr="00DC64AB">
        <w:rPr>
          <w:b/>
        </w:rPr>
        <w:t>10.</w:t>
      </w:r>
      <w:r w:rsidRPr="00DC64AB">
        <w:tab/>
      </w:r>
      <w:r w:rsidRPr="00DC64AB">
        <w:rPr>
          <w:b/>
        </w:rPr>
        <w:t>Se deroga.</w:t>
      </w:r>
    </w:p>
    <w:p w14:paraId="2F2B5A1E" w14:textId="77777777" w:rsidR="00B62A45" w:rsidRPr="00DC64AB" w:rsidRDefault="00B62A45" w:rsidP="00B62A45">
      <w:pPr>
        <w:pStyle w:val="texto"/>
        <w:spacing w:after="92"/>
        <w:ind w:left="2340" w:hanging="540"/>
      </w:pPr>
      <w:r w:rsidRPr="00DC64AB">
        <w:rPr>
          <w:b/>
        </w:rPr>
        <w:t>11.</w:t>
      </w:r>
      <w:r w:rsidRPr="00DC64AB">
        <w:tab/>
      </w:r>
      <w:r w:rsidRPr="00FC7E79">
        <w:rPr>
          <w:b/>
        </w:rPr>
        <w:t>…</w:t>
      </w:r>
    </w:p>
    <w:p w14:paraId="2D2D056B" w14:textId="77777777" w:rsidR="00B62A45" w:rsidRPr="00DC64AB" w:rsidRDefault="00B62A45" w:rsidP="00B62A45">
      <w:pPr>
        <w:pStyle w:val="texto"/>
        <w:spacing w:after="92"/>
        <w:ind w:left="2340" w:hanging="540"/>
      </w:pPr>
      <w:r w:rsidRPr="00DC64AB">
        <w:rPr>
          <w:b/>
        </w:rPr>
        <w:t>12.</w:t>
      </w:r>
      <w:r w:rsidRPr="00DC64AB">
        <w:tab/>
        <w:t>Presentar dictamen de estados financieros en términos del artículo 32-A del CFF del ejercicio fiscal anterior a aquel en que soliciten la autorización y por todos los ejercicios durante los cuales gocen de la misma, siempre y cuando estén obligados en términos del citado precepto.</w:t>
      </w:r>
    </w:p>
    <w:p w14:paraId="3335AF84" w14:textId="77777777" w:rsidR="00B62A45" w:rsidRPr="00DC64AB" w:rsidRDefault="00B62A45" w:rsidP="00B62A45">
      <w:pPr>
        <w:pStyle w:val="texto"/>
        <w:spacing w:after="92"/>
        <w:ind w:left="2340" w:hanging="540"/>
      </w:pPr>
      <w:r w:rsidRPr="00DC64AB">
        <w:rPr>
          <w:b/>
        </w:rPr>
        <w:t>13.</w:t>
      </w:r>
      <w:r w:rsidRPr="00DC64AB">
        <w:tab/>
      </w:r>
      <w:bookmarkStart w:id="4" w:name="N_Hlk112748493"/>
      <w:r w:rsidRPr="00DC64AB">
        <w:t>Presentar acta constitutiva de la persona moral y estatutos vigentes, así como las actas de asamblea en las que conste la modificación de socios o accionistas, representantes o apoderados legales, asociados o cualquier integrante del Comité Técnico, Consejo Directivo o de Administración, o cualquiera que sea su denominación, que se encuentran dentro de la persona moral, así como el aumento de capital, en los casos en que proceda, debidamente protocolizados ante notario o corredor público, acreditando su inscripción en el Registro Público de Comercio.</w:t>
      </w:r>
      <w:bookmarkEnd w:id="4"/>
    </w:p>
    <w:p w14:paraId="2D9B2608" w14:textId="77777777" w:rsidR="00B62A45" w:rsidRPr="00DC64AB" w:rsidRDefault="00B62A45" w:rsidP="00B62A45">
      <w:pPr>
        <w:pStyle w:val="texto"/>
        <w:spacing w:after="92"/>
        <w:ind w:left="2340" w:hanging="540"/>
      </w:pPr>
      <w:r w:rsidRPr="00DC64AB">
        <w:rPr>
          <w:b/>
        </w:rPr>
        <w:t>14.</w:t>
      </w:r>
      <w:r w:rsidRPr="00DC64AB">
        <w:tab/>
      </w:r>
      <w:r w:rsidRPr="00FC7E79">
        <w:rPr>
          <w:b/>
        </w:rPr>
        <w:t>…</w:t>
      </w:r>
    </w:p>
    <w:p w14:paraId="340EDAE5" w14:textId="77777777" w:rsidR="00B62A45" w:rsidRPr="00DC64AB" w:rsidRDefault="00B62A45" w:rsidP="00B62A45">
      <w:pPr>
        <w:pStyle w:val="texto"/>
        <w:spacing w:after="92"/>
        <w:ind w:left="2340" w:hanging="540"/>
      </w:pPr>
      <w:r w:rsidRPr="00DC64AB">
        <w:rPr>
          <w:b/>
        </w:rPr>
        <w:t>15.</w:t>
      </w:r>
      <w:r w:rsidRPr="00DC64AB">
        <w:tab/>
      </w:r>
      <w:r w:rsidRPr="00DC64AB">
        <w:rPr>
          <w:b/>
        </w:rPr>
        <w:t>Se deroga.</w:t>
      </w:r>
    </w:p>
    <w:p w14:paraId="38F062CD" w14:textId="77777777" w:rsidR="00B62A45" w:rsidRPr="00DC64AB" w:rsidRDefault="00B62A45" w:rsidP="00B62A45">
      <w:pPr>
        <w:pStyle w:val="texto"/>
        <w:spacing w:after="92"/>
        <w:ind w:left="1800" w:firstLine="0"/>
      </w:pPr>
      <w:r w:rsidRPr="00DC64AB">
        <w:t>...</w:t>
      </w:r>
    </w:p>
    <w:p w14:paraId="790B239E" w14:textId="77777777" w:rsidR="00B62A45" w:rsidRPr="00DC64AB" w:rsidRDefault="00B62A45" w:rsidP="00B62A45">
      <w:pPr>
        <w:pStyle w:val="texto"/>
        <w:spacing w:after="92"/>
        <w:ind w:left="1800" w:firstLine="0"/>
        <w:rPr>
          <w:lang w:val="es-ES"/>
        </w:rPr>
      </w:pPr>
      <w:r w:rsidRPr="00FC7E79">
        <w:rPr>
          <w:b/>
        </w:rPr>
        <w:t>…</w:t>
      </w:r>
    </w:p>
    <w:p w14:paraId="3B6259BD" w14:textId="77777777" w:rsidR="00B62A45" w:rsidRPr="00DC64AB" w:rsidRDefault="00B62A45" w:rsidP="00B62A45">
      <w:pPr>
        <w:pStyle w:val="texto"/>
        <w:spacing w:after="92"/>
        <w:ind w:left="1800" w:firstLine="0"/>
        <w:rPr>
          <w:color w:val="000000"/>
        </w:rPr>
      </w:pPr>
      <w:r w:rsidRPr="00DC64AB">
        <w:rPr>
          <w:i/>
        </w:rPr>
        <w:t>CFF 29, 29 Bis, 32-A, 69, 69-B, LISR 79, RMF 2023 2.7.2.4., 2.7.2.5., 2.7.2.8., 2.7.2.9., 2.7.2.11., 2.7.2.12., 2.7.2.15.</w:t>
      </w:r>
    </w:p>
    <w:p w14:paraId="47196C85" w14:textId="77777777" w:rsidR="00B62A45" w:rsidRPr="00DC64AB" w:rsidRDefault="00B62A45" w:rsidP="00B62A45">
      <w:pPr>
        <w:pStyle w:val="texto"/>
        <w:spacing w:after="92"/>
        <w:ind w:left="1800" w:firstLine="0"/>
        <w:rPr>
          <w:b/>
        </w:rPr>
      </w:pPr>
      <w:r w:rsidRPr="00DC64AB">
        <w:rPr>
          <w:b/>
        </w:rPr>
        <w:t>Vigencia de la autorización de los proveedores de certificación de CFDI</w:t>
      </w:r>
    </w:p>
    <w:p w14:paraId="35650162" w14:textId="77777777" w:rsidR="00B62A45" w:rsidRPr="00DC64AB" w:rsidRDefault="00B62A45" w:rsidP="00B62A45">
      <w:pPr>
        <w:pStyle w:val="texto"/>
        <w:spacing w:after="92"/>
        <w:ind w:left="1800" w:hanging="1080"/>
      </w:pPr>
      <w:r w:rsidRPr="00DC64AB">
        <w:rPr>
          <w:b/>
        </w:rPr>
        <w:t>2.7.2.3.</w:t>
      </w:r>
      <w:r w:rsidRPr="00DC64AB">
        <w:rPr>
          <w:b/>
        </w:rPr>
        <w:tab/>
      </w:r>
      <w:r w:rsidRPr="00DC64AB">
        <w:t>Para los efectos de los artículos 29, segundo párrafo, fracción IV y 29 Bis del CFF, la autorización para operar como PCCFDI tendrá vigencia durante los dos ejercicios fiscales siguientes a aquel en el que se notifique el oficio de autorización.</w:t>
      </w:r>
    </w:p>
    <w:p w14:paraId="7EF2E8FC" w14:textId="77777777" w:rsidR="00B62A45" w:rsidRPr="002E2523" w:rsidRDefault="00B62A45" w:rsidP="00B62A45">
      <w:pPr>
        <w:pStyle w:val="texto"/>
        <w:spacing w:after="92"/>
        <w:ind w:left="1800" w:firstLine="0"/>
        <w:rPr>
          <w:b/>
        </w:rPr>
      </w:pPr>
      <w:r w:rsidRPr="002E2523">
        <w:rPr>
          <w:b/>
        </w:rPr>
        <w:lastRenderedPageBreak/>
        <w:t>...</w:t>
      </w:r>
    </w:p>
    <w:p w14:paraId="47E10A53" w14:textId="77777777" w:rsidR="00B62A45" w:rsidRPr="002E2523" w:rsidRDefault="00B62A45" w:rsidP="00B62A45">
      <w:pPr>
        <w:pStyle w:val="texto"/>
        <w:spacing w:after="92"/>
        <w:ind w:left="1800" w:firstLine="0"/>
        <w:rPr>
          <w:b/>
        </w:rPr>
      </w:pPr>
      <w:r w:rsidRPr="002E2523">
        <w:rPr>
          <w:b/>
        </w:rPr>
        <w:t>...</w:t>
      </w:r>
    </w:p>
    <w:p w14:paraId="1F55F8E2" w14:textId="77777777" w:rsidR="00B62A45" w:rsidRPr="002E2523" w:rsidRDefault="00B62A45" w:rsidP="00B62A45">
      <w:pPr>
        <w:pStyle w:val="texto"/>
        <w:spacing w:after="92"/>
        <w:ind w:left="1800" w:firstLine="0"/>
        <w:rPr>
          <w:b/>
        </w:rPr>
      </w:pPr>
      <w:r w:rsidRPr="00FC7E79">
        <w:rPr>
          <w:b/>
        </w:rPr>
        <w:t>…</w:t>
      </w:r>
    </w:p>
    <w:p w14:paraId="4039AAB4" w14:textId="77777777" w:rsidR="00B62A45" w:rsidRPr="00DC64AB" w:rsidRDefault="00B62A45" w:rsidP="00B62A45">
      <w:pPr>
        <w:pStyle w:val="texto"/>
        <w:spacing w:after="92"/>
        <w:ind w:left="1800" w:firstLine="0"/>
        <w:rPr>
          <w:color w:val="000000"/>
        </w:rPr>
      </w:pPr>
      <w:r w:rsidRPr="00DC64AB">
        <w:rPr>
          <w:i/>
        </w:rPr>
        <w:t>CFF 29, 29 Bis, RMF 2023 2.7.2.1., 2.7.2.4., 2.7.2.12.</w:t>
      </w:r>
    </w:p>
    <w:p w14:paraId="7F56827E" w14:textId="77777777" w:rsidR="00B62A45" w:rsidRPr="00DC64AB" w:rsidRDefault="00B62A45" w:rsidP="00B62A45">
      <w:pPr>
        <w:pStyle w:val="texto"/>
        <w:spacing w:after="92" w:line="229" w:lineRule="exact"/>
        <w:ind w:left="1800" w:firstLine="0"/>
        <w:rPr>
          <w:b/>
        </w:rPr>
      </w:pPr>
      <w:r w:rsidRPr="00DC64AB">
        <w:rPr>
          <w:b/>
        </w:rPr>
        <w:t>Requisitos para que los proveedores de certificación de CFDI renueven la vigencia de la autorización</w:t>
      </w:r>
    </w:p>
    <w:p w14:paraId="34D92A70" w14:textId="77777777" w:rsidR="00B62A45" w:rsidRPr="00DC64AB" w:rsidRDefault="00B62A45" w:rsidP="00B62A45">
      <w:pPr>
        <w:pStyle w:val="texto"/>
        <w:spacing w:after="92" w:line="229" w:lineRule="exact"/>
        <w:ind w:left="1800" w:hanging="1080"/>
      </w:pPr>
      <w:r w:rsidRPr="00DC64AB">
        <w:rPr>
          <w:b/>
        </w:rPr>
        <w:t>2.7.2.4.</w:t>
      </w:r>
      <w:r w:rsidRPr="00DC64AB">
        <w:rPr>
          <w:b/>
        </w:rPr>
        <w:tab/>
      </w:r>
      <w:r w:rsidRPr="00DC64AB">
        <w:t>Para los efectos de la regla 2.7.2.3., en el último año en el que tenga vigencia la autorización los proveedores de certificación de CFDI podrán solicitar su renovación por dos ejercicios fiscales más, siempre que cumplan con los requisitos establecidos en la ficha de trámite 113/CFF “Solicitud de renovación de autorización para operar como proveedor de certificación de CFDI”, contenida en el Anexo 1-A, para tales efectos deberán presentar su solicitud de renovación en el mes que corresponda a la letra inicial de su clave en el RFC, conforme al siguiente calendario:</w:t>
      </w:r>
    </w:p>
    <w:tbl>
      <w:tblPr>
        <w:tblW w:w="5040" w:type="dxa"/>
        <w:tblInd w:w="2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890"/>
        <w:gridCol w:w="3150"/>
      </w:tblGrid>
      <w:tr w:rsidR="00B62A45" w:rsidRPr="00DC64AB" w14:paraId="3FDC8E9E" w14:textId="77777777" w:rsidTr="00660972">
        <w:trPr>
          <w:trHeight w:val="144"/>
        </w:trPr>
        <w:tc>
          <w:tcPr>
            <w:tcW w:w="1890" w:type="dxa"/>
            <w:shd w:val="clear" w:color="auto" w:fill="C0C0C0"/>
            <w:noWrap/>
            <w:vAlign w:val="center"/>
          </w:tcPr>
          <w:p w14:paraId="0A3DDE89" w14:textId="77777777" w:rsidR="00B62A45" w:rsidRPr="00DC64AB" w:rsidRDefault="00B62A45" w:rsidP="00660972">
            <w:pPr>
              <w:pStyle w:val="texto"/>
              <w:spacing w:after="92" w:line="229" w:lineRule="exact"/>
              <w:ind w:firstLine="0"/>
              <w:jc w:val="center"/>
              <w:rPr>
                <w:b/>
              </w:rPr>
            </w:pPr>
            <w:r w:rsidRPr="00DC64AB">
              <w:rPr>
                <w:b/>
              </w:rPr>
              <w:t>Mes</w:t>
            </w:r>
          </w:p>
        </w:tc>
        <w:tc>
          <w:tcPr>
            <w:tcW w:w="3150" w:type="dxa"/>
            <w:shd w:val="clear" w:color="auto" w:fill="C0C0C0"/>
            <w:vAlign w:val="center"/>
          </w:tcPr>
          <w:p w14:paraId="028EEB11" w14:textId="77777777" w:rsidR="00B62A45" w:rsidRPr="00DC64AB" w:rsidRDefault="00B62A45" w:rsidP="00660972">
            <w:pPr>
              <w:pStyle w:val="texto"/>
              <w:spacing w:after="92" w:line="229" w:lineRule="exact"/>
              <w:ind w:firstLine="0"/>
              <w:jc w:val="center"/>
              <w:rPr>
                <w:b/>
              </w:rPr>
            </w:pPr>
            <w:r w:rsidRPr="00DC64AB">
              <w:rPr>
                <w:b/>
              </w:rPr>
              <w:t>Primera letra de la clave del RFC</w:t>
            </w:r>
          </w:p>
        </w:tc>
      </w:tr>
      <w:tr w:rsidR="00B62A45" w:rsidRPr="00DC64AB" w14:paraId="4ABB39C4" w14:textId="77777777" w:rsidTr="00660972">
        <w:trPr>
          <w:trHeight w:val="144"/>
        </w:trPr>
        <w:tc>
          <w:tcPr>
            <w:tcW w:w="1890" w:type="dxa"/>
          </w:tcPr>
          <w:p w14:paraId="0B581A05" w14:textId="77777777" w:rsidR="00B62A45" w:rsidRPr="00DC64AB" w:rsidRDefault="00B62A45" w:rsidP="00660972">
            <w:pPr>
              <w:pStyle w:val="texto"/>
              <w:spacing w:after="92" w:line="229" w:lineRule="exact"/>
              <w:ind w:firstLine="0"/>
              <w:jc w:val="center"/>
            </w:pPr>
            <w:r w:rsidRPr="00DC64AB">
              <w:t>Junio</w:t>
            </w:r>
          </w:p>
        </w:tc>
        <w:tc>
          <w:tcPr>
            <w:tcW w:w="3150" w:type="dxa"/>
          </w:tcPr>
          <w:p w14:paraId="4DEAFB65" w14:textId="77777777" w:rsidR="00B62A45" w:rsidRPr="00DC64AB" w:rsidRDefault="00B62A45" w:rsidP="00660972">
            <w:pPr>
              <w:pStyle w:val="texto"/>
              <w:spacing w:after="92" w:line="229" w:lineRule="exact"/>
              <w:ind w:firstLine="0"/>
              <w:jc w:val="center"/>
            </w:pPr>
            <w:r w:rsidRPr="00DC64AB">
              <w:t>A-E</w:t>
            </w:r>
          </w:p>
        </w:tc>
      </w:tr>
      <w:tr w:rsidR="00B62A45" w:rsidRPr="00DC64AB" w14:paraId="3992DBC8" w14:textId="77777777" w:rsidTr="00660972">
        <w:trPr>
          <w:trHeight w:val="144"/>
        </w:trPr>
        <w:tc>
          <w:tcPr>
            <w:tcW w:w="1890" w:type="dxa"/>
          </w:tcPr>
          <w:p w14:paraId="0BA3F982" w14:textId="77777777" w:rsidR="00B62A45" w:rsidRPr="00DC64AB" w:rsidRDefault="00B62A45" w:rsidP="00660972">
            <w:pPr>
              <w:pStyle w:val="texto"/>
              <w:spacing w:after="92" w:line="229" w:lineRule="exact"/>
              <w:ind w:firstLine="0"/>
              <w:jc w:val="center"/>
            </w:pPr>
            <w:r w:rsidRPr="00DC64AB">
              <w:t>Julio</w:t>
            </w:r>
          </w:p>
        </w:tc>
        <w:tc>
          <w:tcPr>
            <w:tcW w:w="3150" w:type="dxa"/>
          </w:tcPr>
          <w:p w14:paraId="2CA7B9E2" w14:textId="77777777" w:rsidR="00B62A45" w:rsidRPr="00DC64AB" w:rsidRDefault="00B62A45" w:rsidP="00660972">
            <w:pPr>
              <w:pStyle w:val="texto"/>
              <w:spacing w:after="92" w:line="229" w:lineRule="exact"/>
              <w:ind w:firstLine="0"/>
              <w:jc w:val="center"/>
            </w:pPr>
            <w:r w:rsidRPr="00DC64AB">
              <w:t>F-M</w:t>
            </w:r>
          </w:p>
        </w:tc>
      </w:tr>
      <w:tr w:rsidR="00B62A45" w:rsidRPr="00DC64AB" w14:paraId="628765DF" w14:textId="77777777" w:rsidTr="00660972">
        <w:trPr>
          <w:trHeight w:val="144"/>
        </w:trPr>
        <w:tc>
          <w:tcPr>
            <w:tcW w:w="1890" w:type="dxa"/>
          </w:tcPr>
          <w:p w14:paraId="520668D6" w14:textId="77777777" w:rsidR="00B62A45" w:rsidRPr="00DC64AB" w:rsidRDefault="00B62A45" w:rsidP="00660972">
            <w:pPr>
              <w:pStyle w:val="texto"/>
              <w:spacing w:after="92" w:line="229" w:lineRule="exact"/>
              <w:ind w:firstLine="0"/>
              <w:jc w:val="center"/>
            </w:pPr>
            <w:r w:rsidRPr="00DC64AB">
              <w:t>Agosto</w:t>
            </w:r>
          </w:p>
        </w:tc>
        <w:tc>
          <w:tcPr>
            <w:tcW w:w="3150" w:type="dxa"/>
          </w:tcPr>
          <w:p w14:paraId="5AF0CA22" w14:textId="77777777" w:rsidR="00B62A45" w:rsidRPr="00DC64AB" w:rsidRDefault="00B62A45" w:rsidP="00660972">
            <w:pPr>
              <w:pStyle w:val="texto"/>
              <w:spacing w:after="92" w:line="229" w:lineRule="exact"/>
              <w:ind w:firstLine="0"/>
              <w:jc w:val="center"/>
            </w:pPr>
            <w:r w:rsidRPr="00DC64AB">
              <w:t>N-Z</w:t>
            </w:r>
          </w:p>
        </w:tc>
      </w:tr>
    </w:tbl>
    <w:p w14:paraId="7F5C0EF3" w14:textId="77777777" w:rsidR="00B62A45" w:rsidRPr="00DC64AB" w:rsidRDefault="00B62A45" w:rsidP="00B62A45">
      <w:pPr>
        <w:pStyle w:val="texto"/>
        <w:spacing w:after="92" w:line="229" w:lineRule="exact"/>
        <w:ind w:left="1800" w:firstLine="0"/>
      </w:pPr>
      <w:r w:rsidRPr="00DC64AB">
        <w:t>En caso de no cumplir con los requisitos señalados en la ficha de trámite a que se refiere el párrafo anterior, la autoridad lo requerirá para que en un plazo de diez días hábiles, contados a partir de que surta efectos la notificación del requerimiento, subsanen las omisiones detectadas. De no presentar la solicitud de renovación, presentarla de manera extemporánea o no cumplir con el requerimiento para su presentación en tiempo y forma, la solicitud de renovación de autorización se tendrá por no presentada y, por ende, la autorización de que se trate no será renovada.</w:t>
      </w:r>
    </w:p>
    <w:p w14:paraId="09B6728C" w14:textId="77777777" w:rsidR="00B62A45" w:rsidRPr="00DC64AB" w:rsidRDefault="00B62A45" w:rsidP="00B62A45">
      <w:pPr>
        <w:pStyle w:val="texto"/>
        <w:spacing w:after="92" w:line="229" w:lineRule="exact"/>
        <w:ind w:left="1800" w:firstLine="0"/>
      </w:pPr>
      <w:r w:rsidRPr="00DC64AB">
        <w:t>Para los proveedores de certificación de CFDI que no renueven su autorización o incumplan con el requerimiento en términos del párrafo anterior, vencerá su autorización al término del periodo por el cual fue otorgada.</w:t>
      </w:r>
    </w:p>
    <w:p w14:paraId="3755187C" w14:textId="77777777" w:rsidR="00B62A45" w:rsidRPr="00DC64AB" w:rsidRDefault="00B62A45" w:rsidP="00B62A45">
      <w:pPr>
        <w:pStyle w:val="texto"/>
        <w:spacing w:after="92" w:line="229" w:lineRule="exact"/>
        <w:ind w:left="1800" w:firstLine="0"/>
      </w:pPr>
      <w:r w:rsidRPr="00DC64AB">
        <w:t>La autoridad emitirá la resolución de renovación de la autorización a los proveedores de certificación de CFDI que cumplan con los requisitos de la ficha de trámite 113/CFF “Solicitud de renovación de autorización para operar como proveedor de certificación de CFDI”, contenida en el Anexo 1-A.</w:t>
      </w:r>
    </w:p>
    <w:p w14:paraId="56992CA8" w14:textId="77777777" w:rsidR="00B62A45" w:rsidRPr="00DC64AB" w:rsidRDefault="00B62A45" w:rsidP="00B62A45">
      <w:pPr>
        <w:pStyle w:val="texto"/>
        <w:spacing w:after="92" w:line="229" w:lineRule="exact"/>
        <w:ind w:left="1800" w:firstLine="0"/>
      </w:pPr>
      <w:r w:rsidRPr="00DC64AB">
        <w:t>Los proveedores que no hayan renovado su autorización deberán cumplir con las obligaciones siguientes:</w:t>
      </w:r>
    </w:p>
    <w:p w14:paraId="4D52FA2E" w14:textId="77777777" w:rsidR="00B62A45" w:rsidRPr="00DC64AB" w:rsidRDefault="00B62A45" w:rsidP="00B62A45">
      <w:pPr>
        <w:pStyle w:val="texto"/>
        <w:spacing w:after="92" w:line="229" w:lineRule="exact"/>
        <w:ind w:left="2340" w:hanging="540"/>
      </w:pPr>
      <w:r w:rsidRPr="00DC64AB">
        <w:rPr>
          <w:b/>
        </w:rPr>
        <w:t>I.</w:t>
      </w:r>
      <w:r w:rsidRPr="00DC64AB">
        <w:tab/>
        <w:t>En el último bimestre del ejercicio en el que debieron haber presentado el aviso de renovación de la autorización, deberán cumplir con lo siguiente:</w:t>
      </w:r>
    </w:p>
    <w:p w14:paraId="035485B0" w14:textId="77777777" w:rsidR="00B62A45" w:rsidRPr="00DC64AB" w:rsidRDefault="00B62A45" w:rsidP="00B62A45">
      <w:pPr>
        <w:pStyle w:val="texto"/>
        <w:spacing w:after="92" w:line="229" w:lineRule="exact"/>
        <w:ind w:left="2790" w:hanging="450"/>
      </w:pPr>
      <w:r w:rsidRPr="00DC64AB">
        <w:rPr>
          <w:b/>
        </w:rPr>
        <w:t>a)</w:t>
      </w:r>
      <w:r w:rsidRPr="00DC64AB">
        <w:rPr>
          <w:b/>
        </w:rPr>
        <w:tab/>
      </w:r>
      <w:r w:rsidRPr="00DC64AB">
        <w:t>Publicar en un lugar visible en su página de Internet, durante todo el bimestre a que se refiere esta fracción, un “AVISO URGENTE” con la siguiente leyenda:</w:t>
      </w:r>
    </w:p>
    <w:p w14:paraId="5C9975A5" w14:textId="77777777" w:rsidR="00B62A45" w:rsidRPr="00DC64AB" w:rsidRDefault="00B62A45" w:rsidP="00B62A45">
      <w:pPr>
        <w:pStyle w:val="texto"/>
        <w:spacing w:after="92" w:line="229" w:lineRule="exact"/>
        <w:ind w:left="2790" w:hanging="450"/>
      </w:pPr>
      <w:r w:rsidRPr="00DC64AB">
        <w:tab/>
        <w:t>“Estimado usuario, se le informa que a partir del 1 de enero del 20__, dejaremos de contar con la autorización para operar como proveedor de certificación de CFDI, por lo que se le hace una atenta invitación para contratar a cualquiera de los proveedores de certificación de CFDI publicados como autorizados en el Portal del SAT”.</w:t>
      </w:r>
    </w:p>
    <w:p w14:paraId="06432A71" w14:textId="77777777" w:rsidR="00B62A45" w:rsidRPr="00DC64AB" w:rsidRDefault="00B62A45" w:rsidP="00B62A45">
      <w:pPr>
        <w:pStyle w:val="texto"/>
        <w:spacing w:after="92" w:line="229" w:lineRule="exact"/>
        <w:ind w:left="2790" w:hanging="450"/>
        <w:rPr>
          <w:i/>
        </w:rPr>
      </w:pPr>
      <w:r w:rsidRPr="00DC64AB">
        <w:tab/>
        <w:t>Este mensaje deberá publicarse textualmente, únicamente actualizando la fecha.</w:t>
      </w:r>
    </w:p>
    <w:p w14:paraId="59BFDFF4" w14:textId="77777777" w:rsidR="00B62A45" w:rsidRPr="00DC64AB" w:rsidRDefault="00B62A45" w:rsidP="00B62A45">
      <w:pPr>
        <w:pStyle w:val="texto"/>
        <w:spacing w:after="92" w:line="229" w:lineRule="exact"/>
        <w:ind w:left="2790" w:hanging="450"/>
      </w:pPr>
      <w:r w:rsidRPr="00DC64AB">
        <w:rPr>
          <w:b/>
        </w:rPr>
        <w:t>b)</w:t>
      </w:r>
      <w:r w:rsidRPr="00DC64AB">
        <w:tab/>
        <w:t>Enviar mediante correo electrónico a todos sus clientes, incluyendo a aquellos a los que en algún momento les certificaron CFDI y que actualmente no se encuentren como clientes activos, el mensaje señalado en el inciso anterior, solicitando la confirmación de recepción del mensaje.</w:t>
      </w:r>
    </w:p>
    <w:p w14:paraId="30FF889B" w14:textId="77777777" w:rsidR="00B62A45" w:rsidRPr="00DC64AB" w:rsidRDefault="00B62A45" w:rsidP="00B62A45">
      <w:pPr>
        <w:pStyle w:val="texto"/>
        <w:spacing w:after="92" w:line="229" w:lineRule="exact"/>
        <w:ind w:left="2790" w:hanging="450"/>
      </w:pPr>
      <w:r w:rsidRPr="00DC64AB">
        <w:rPr>
          <w:b/>
        </w:rPr>
        <w:lastRenderedPageBreak/>
        <w:t>c)</w:t>
      </w:r>
      <w:r w:rsidRPr="00DC64AB">
        <w:tab/>
        <w:t>Presentar durante el mes siguiente a aquel en el que hayan dejado de contar con la autorización, los archivos que contengan, por cada uno de sus clientes, copia del aviso remitido mediante correo electrónico y, de contar con ella, la confirmación de recepción por parte de sus clientes, de conformidad con la ficha de trámite 195/CFF “Informe de avisos enviados a clientes o prestatarios sobre la cesación de actividades como proveedor de certificación”, contenida en el Anexo 1-A.</w:t>
      </w:r>
    </w:p>
    <w:p w14:paraId="56286A8A" w14:textId="77777777" w:rsidR="00B62A45" w:rsidRPr="00DC64AB" w:rsidRDefault="00B62A45" w:rsidP="00B62A45">
      <w:pPr>
        <w:pStyle w:val="texto"/>
        <w:spacing w:after="92" w:line="219" w:lineRule="exact"/>
        <w:ind w:left="2790" w:hanging="450"/>
      </w:pPr>
      <w:r w:rsidRPr="00DC64AB">
        <w:rPr>
          <w:b/>
        </w:rPr>
        <w:t>d)</w:t>
      </w:r>
      <w:r w:rsidRPr="00DC64AB">
        <w:tab/>
        <w:t>Conservar los CFDI que certifique durante el último trimestre del año en que su autorización pudo ser renovada, en términos de la regla 2.7.2.8., fracción XII.</w:t>
      </w:r>
    </w:p>
    <w:p w14:paraId="678C0DDE" w14:textId="77777777" w:rsidR="00B62A45" w:rsidRPr="00DC64AB" w:rsidRDefault="00B62A45" w:rsidP="00B62A45">
      <w:pPr>
        <w:pStyle w:val="texto"/>
        <w:spacing w:after="92" w:line="219" w:lineRule="exact"/>
        <w:ind w:left="2790" w:hanging="450"/>
        <w:rPr>
          <w:strike/>
        </w:rPr>
      </w:pPr>
      <w:r w:rsidRPr="00DC64AB">
        <w:rPr>
          <w:b/>
        </w:rPr>
        <w:t>e)</w:t>
      </w:r>
      <w:r w:rsidRPr="00DC64AB">
        <w:tab/>
        <w:t>Abstenerse de contratar u ofrecer por cualquier medio la certificación de CFDI a nuevos clientes.</w:t>
      </w:r>
    </w:p>
    <w:p w14:paraId="02FCE068" w14:textId="77777777" w:rsidR="00B62A45" w:rsidRPr="00DC64AB" w:rsidRDefault="00B62A45" w:rsidP="00B62A45">
      <w:pPr>
        <w:pStyle w:val="texto"/>
        <w:spacing w:after="92" w:line="219" w:lineRule="exact"/>
        <w:ind w:left="2340" w:hanging="2052"/>
        <w:rPr>
          <w:strike/>
        </w:rPr>
      </w:pPr>
      <w:r w:rsidRPr="00DC64AB">
        <w:tab/>
        <w:t>La publicación del aviso a que se refiere el inciso a), así como el envío del correo señalado en el inciso b), deberán realizarse dentro de los tres primeros días naturales del bimestre al que se refiere esta fracción.</w:t>
      </w:r>
    </w:p>
    <w:p w14:paraId="3A39B8B1" w14:textId="77777777" w:rsidR="00B62A45" w:rsidRPr="00DC64AB" w:rsidRDefault="00B62A45" w:rsidP="00B62A45">
      <w:pPr>
        <w:pStyle w:val="texto"/>
        <w:spacing w:after="92" w:line="219" w:lineRule="exact"/>
        <w:ind w:left="2340" w:hanging="540"/>
      </w:pPr>
      <w:r w:rsidRPr="00DC64AB">
        <w:rPr>
          <w:b/>
        </w:rPr>
        <w:t>II.</w:t>
      </w:r>
      <w:r w:rsidRPr="00DC64AB">
        <w:tab/>
        <w:t>A partir del día siguiente a aquel en que dejen de contar con la autorización, ya no podrán certificar CFDI e iniciarán un periodo de sesenta días en el que deberán:</w:t>
      </w:r>
    </w:p>
    <w:p w14:paraId="536F4002" w14:textId="77777777" w:rsidR="00B62A45" w:rsidRPr="00DC64AB" w:rsidRDefault="00B62A45" w:rsidP="00B62A45">
      <w:pPr>
        <w:pStyle w:val="texto"/>
        <w:spacing w:after="92" w:line="219" w:lineRule="exact"/>
        <w:ind w:left="2790" w:hanging="450"/>
      </w:pPr>
      <w:r w:rsidRPr="00DC64AB">
        <w:rPr>
          <w:b/>
        </w:rPr>
        <w:t>a)</w:t>
      </w:r>
      <w:r w:rsidRPr="00DC64AB">
        <w:tab/>
        <w:t>Cumplir con los controles tecnológicos y de seguridad de la información, derivado del término de la vigencia de la autorización para operar como proveedor de certificación de CFDI y con las demás obligaciones que se indiquen en el oficio que para tales efectos notifique la autoridad fiscal.</w:t>
      </w:r>
    </w:p>
    <w:p w14:paraId="6DF7782C" w14:textId="77777777" w:rsidR="00B62A45" w:rsidRPr="00DC64AB" w:rsidRDefault="00B62A45" w:rsidP="00B62A45">
      <w:pPr>
        <w:pStyle w:val="texto"/>
        <w:spacing w:after="92" w:line="219" w:lineRule="exact"/>
        <w:ind w:left="2790" w:hanging="450"/>
      </w:pPr>
      <w:r w:rsidRPr="00DC64AB">
        <w:rPr>
          <w:b/>
        </w:rPr>
        <w:t>b)</w:t>
      </w:r>
      <w:r w:rsidRPr="00DC64AB">
        <w:tab/>
        <w:t>Concluir con las obligaciones que hayan derivado de su autorización y se encuentren pendientes.</w:t>
      </w:r>
    </w:p>
    <w:p w14:paraId="49CA1BF5" w14:textId="77777777" w:rsidR="00B62A45" w:rsidRPr="00DC64AB" w:rsidRDefault="00B62A45" w:rsidP="00B62A45">
      <w:pPr>
        <w:pStyle w:val="texto"/>
        <w:spacing w:after="92" w:line="219" w:lineRule="exact"/>
        <w:ind w:left="1800" w:hanging="1512"/>
      </w:pPr>
      <w:r w:rsidRPr="00DC64AB">
        <w:tab/>
        <w:t>Los datos de los proveedores que no hayan obtenido la renovación de su autorización serán publicados en el Portal del SAT, de conformidad con la regla 2.7.2.2., fracción II.</w:t>
      </w:r>
    </w:p>
    <w:p w14:paraId="699F561A" w14:textId="77777777" w:rsidR="00B62A45" w:rsidRPr="00DC64AB" w:rsidRDefault="00B62A45" w:rsidP="00B62A45">
      <w:pPr>
        <w:pStyle w:val="texto"/>
        <w:spacing w:after="92" w:line="219" w:lineRule="exact"/>
        <w:ind w:left="1800" w:firstLine="0"/>
        <w:rPr>
          <w:color w:val="000000"/>
        </w:rPr>
      </w:pPr>
      <w:r w:rsidRPr="00DC64AB">
        <w:rPr>
          <w:i/>
        </w:rPr>
        <w:t>CFF 29, 29 Bis, RMF 2023 2.7.2.2., 2.7.2.3., 2.7.2.8.</w:t>
      </w:r>
    </w:p>
    <w:p w14:paraId="20B703F5" w14:textId="77777777" w:rsidR="00B62A45" w:rsidRPr="00DC64AB" w:rsidRDefault="00B62A45" w:rsidP="00B62A45">
      <w:pPr>
        <w:pStyle w:val="texto"/>
        <w:spacing w:after="92" w:line="219" w:lineRule="exact"/>
        <w:ind w:left="1800" w:firstLine="0"/>
        <w:rPr>
          <w:b/>
        </w:rPr>
      </w:pPr>
      <w:r w:rsidRPr="00DC64AB">
        <w:rPr>
          <w:b/>
        </w:rPr>
        <w:t>De la garantía para obtener autorización para operar como proveedor de certificación de CFDI</w:t>
      </w:r>
    </w:p>
    <w:p w14:paraId="281F7FAF" w14:textId="77777777" w:rsidR="00B62A45" w:rsidRPr="00DC64AB" w:rsidRDefault="00B62A45" w:rsidP="00B62A45">
      <w:pPr>
        <w:pStyle w:val="texto"/>
        <w:spacing w:after="92" w:line="219" w:lineRule="exact"/>
        <w:ind w:left="1800" w:hanging="1080"/>
      </w:pPr>
      <w:r w:rsidRPr="00DC64AB">
        <w:rPr>
          <w:b/>
        </w:rPr>
        <w:t>2.7.2.6.</w:t>
      </w:r>
      <w:r w:rsidRPr="00DC64AB">
        <w:tab/>
      </w:r>
      <w:r w:rsidRPr="00FC7E79">
        <w:rPr>
          <w:b/>
        </w:rPr>
        <w:t>…</w:t>
      </w:r>
    </w:p>
    <w:p w14:paraId="5B722075" w14:textId="77777777" w:rsidR="00B62A45" w:rsidRPr="00DC64AB" w:rsidRDefault="00B62A45" w:rsidP="00B62A45">
      <w:pPr>
        <w:pStyle w:val="texto"/>
        <w:spacing w:after="92" w:line="219" w:lineRule="exact"/>
        <w:ind w:left="1800" w:firstLine="0"/>
      </w:pPr>
      <w:bookmarkStart w:id="5" w:name="N_Hlk87349654"/>
      <w:r w:rsidRPr="00DC64AB">
        <w:t>La garantía deberá amparar la totalidad del periodo por el cual se haya obtenido la autorización más seis meses posteriores al término de la vigencia de la misma. Tratándose de la renovación de la autorización, la garantía deberá amparar veinticuatro meses, contados a partir de que pierda su vigencia la última garantía exhibida.</w:t>
      </w:r>
    </w:p>
    <w:p w14:paraId="44541812" w14:textId="77777777" w:rsidR="00B62A45" w:rsidRPr="002E2523" w:rsidRDefault="00B62A45" w:rsidP="00B62A45">
      <w:pPr>
        <w:pStyle w:val="texto"/>
        <w:spacing w:after="92" w:line="219" w:lineRule="exact"/>
        <w:ind w:left="1800" w:firstLine="0"/>
        <w:rPr>
          <w:b/>
        </w:rPr>
      </w:pPr>
      <w:r w:rsidRPr="00FC7E79">
        <w:rPr>
          <w:b/>
        </w:rPr>
        <w:t>…</w:t>
      </w:r>
    </w:p>
    <w:bookmarkEnd w:id="5"/>
    <w:p w14:paraId="692C5622" w14:textId="77777777" w:rsidR="00B62A45" w:rsidRPr="002E2523" w:rsidRDefault="00B62A45" w:rsidP="00B62A45">
      <w:pPr>
        <w:pStyle w:val="texto"/>
        <w:spacing w:after="92" w:line="219" w:lineRule="exact"/>
        <w:ind w:left="1800" w:firstLine="0"/>
        <w:rPr>
          <w:b/>
        </w:rPr>
      </w:pPr>
      <w:r w:rsidRPr="00FC7E79">
        <w:rPr>
          <w:b/>
        </w:rPr>
        <w:t>…</w:t>
      </w:r>
    </w:p>
    <w:p w14:paraId="64F15042" w14:textId="77777777" w:rsidR="00B62A45" w:rsidRPr="002E2523" w:rsidRDefault="00B62A45" w:rsidP="00B62A45">
      <w:pPr>
        <w:pStyle w:val="texto"/>
        <w:spacing w:after="92" w:line="219" w:lineRule="exact"/>
        <w:ind w:left="1800" w:firstLine="0"/>
        <w:rPr>
          <w:b/>
        </w:rPr>
      </w:pPr>
      <w:r w:rsidRPr="00FC7E79">
        <w:rPr>
          <w:b/>
        </w:rPr>
        <w:t>…</w:t>
      </w:r>
    </w:p>
    <w:p w14:paraId="18A0E220" w14:textId="77777777" w:rsidR="00B62A45" w:rsidRPr="00DC64AB" w:rsidRDefault="00B62A45" w:rsidP="00B62A45">
      <w:pPr>
        <w:pStyle w:val="texto"/>
        <w:spacing w:after="92" w:line="219" w:lineRule="exact"/>
        <w:ind w:left="1800" w:firstLine="0"/>
      </w:pPr>
      <w:r w:rsidRPr="00DC64AB">
        <w:t>Los proveedores de certificación de CFDI que cuenten con autorización vigente, podrán solicitar la devolución de una garantía, siempre y cuando no se trate de aquella que ampare las obligaciones de la autorización que se encuentra vigente y no esté relacionada con una garantía vigente.</w:t>
      </w:r>
    </w:p>
    <w:p w14:paraId="6F0F998C" w14:textId="77777777" w:rsidR="00B62A45" w:rsidRPr="00DC64AB" w:rsidRDefault="00B62A45" w:rsidP="00B62A45">
      <w:pPr>
        <w:pStyle w:val="texto"/>
        <w:spacing w:after="92" w:line="219" w:lineRule="exact"/>
        <w:ind w:left="1800" w:firstLine="0"/>
        <w:rPr>
          <w:color w:val="000000"/>
        </w:rPr>
      </w:pPr>
      <w:r w:rsidRPr="00DC64AB">
        <w:rPr>
          <w:i/>
        </w:rPr>
        <w:t>CFF 29 Bis, RMF 2023 2.7.2.8., 2.7.2.12.</w:t>
      </w:r>
    </w:p>
    <w:p w14:paraId="44828B57" w14:textId="77777777" w:rsidR="00B62A45" w:rsidRPr="00DC64AB" w:rsidRDefault="00B62A45" w:rsidP="00B62A45">
      <w:pPr>
        <w:pStyle w:val="texto"/>
        <w:spacing w:after="92" w:line="219" w:lineRule="exact"/>
        <w:ind w:left="1800" w:firstLine="0"/>
        <w:rPr>
          <w:b/>
        </w:rPr>
      </w:pPr>
      <w:r w:rsidRPr="00DC64AB">
        <w:rPr>
          <w:b/>
        </w:rPr>
        <w:t>Obligaciones de los proveedores de certificación de CFDI</w:t>
      </w:r>
    </w:p>
    <w:p w14:paraId="5F286FA1" w14:textId="77777777" w:rsidR="00B62A45" w:rsidRPr="00DC64AB" w:rsidRDefault="00B62A45" w:rsidP="00B62A45">
      <w:pPr>
        <w:pStyle w:val="texto"/>
        <w:spacing w:after="92" w:line="219" w:lineRule="exact"/>
        <w:ind w:left="1800" w:hanging="1080"/>
      </w:pPr>
      <w:r w:rsidRPr="00DC64AB">
        <w:rPr>
          <w:b/>
        </w:rPr>
        <w:t>2.7.2.8.</w:t>
      </w:r>
      <w:r w:rsidRPr="00DC64AB">
        <w:rPr>
          <w:b/>
        </w:rPr>
        <w:tab/>
      </w:r>
      <w:r w:rsidRPr="00FC7E79">
        <w:rPr>
          <w:b/>
        </w:rPr>
        <w:t>…</w:t>
      </w:r>
    </w:p>
    <w:p w14:paraId="2D4F6A53" w14:textId="77777777" w:rsidR="00B62A45" w:rsidRPr="00DC64AB" w:rsidRDefault="00B62A45" w:rsidP="00B62A45">
      <w:pPr>
        <w:pStyle w:val="texto"/>
        <w:spacing w:after="92" w:line="219" w:lineRule="exact"/>
        <w:ind w:left="1800" w:firstLine="0"/>
      </w:pPr>
      <w:r w:rsidRPr="00DC64AB">
        <w:rPr>
          <w:b/>
        </w:rPr>
        <w:t>XXIV.</w:t>
      </w:r>
      <w:r>
        <w:t xml:space="preserve"> </w:t>
      </w:r>
      <w:r w:rsidRPr="00DC64AB">
        <w:t>Resguardar por un término de tres meses las listas LCO y LRFC.</w:t>
      </w:r>
    </w:p>
    <w:p w14:paraId="5AAECF23" w14:textId="77777777" w:rsidR="00B62A45" w:rsidRPr="00DC64AB" w:rsidRDefault="00B62A45" w:rsidP="00B62A45">
      <w:pPr>
        <w:pStyle w:val="texto"/>
        <w:spacing w:after="92" w:line="219" w:lineRule="exact"/>
        <w:ind w:left="1800" w:firstLine="0"/>
        <w:rPr>
          <w:color w:val="000000"/>
          <w:lang w:val="en-US"/>
        </w:rPr>
      </w:pPr>
      <w:r w:rsidRPr="00037C7C">
        <w:rPr>
          <w:i/>
          <w:lang w:val="en-US"/>
        </w:rPr>
        <w:t>CFF 29, 29 Bis, 29-A, 69-B, RMF 2023 2.2.7., 2.7.1.32., 2.7.2.1.</w:t>
      </w:r>
      <w:r w:rsidRPr="00DC64AB">
        <w:rPr>
          <w:i/>
          <w:lang w:val="en-US"/>
        </w:rPr>
        <w:t>, 2.7.2.5., 2.7.2.6., 2.7.2.12.</w:t>
      </w:r>
    </w:p>
    <w:p w14:paraId="7F4D5B83" w14:textId="77777777" w:rsidR="00B62A45" w:rsidRDefault="00B62A45" w:rsidP="00B62A45">
      <w:pPr>
        <w:pStyle w:val="texto"/>
        <w:spacing w:after="92" w:line="219" w:lineRule="exact"/>
        <w:ind w:left="1800" w:firstLine="0"/>
        <w:rPr>
          <w:b/>
        </w:rPr>
      </w:pPr>
      <w:r w:rsidRPr="00DC64AB">
        <w:rPr>
          <w:b/>
        </w:rPr>
        <w:t>De la autorización para operar como proveedor de certificación y generación de CFDI para el sector primario</w:t>
      </w:r>
    </w:p>
    <w:p w14:paraId="55BC9CB6" w14:textId="77777777" w:rsidR="00B62A45" w:rsidRPr="002E2523" w:rsidRDefault="00B62A45" w:rsidP="00B62A45">
      <w:pPr>
        <w:pStyle w:val="texto"/>
        <w:spacing w:after="92" w:line="219" w:lineRule="exact"/>
        <w:ind w:left="1800" w:hanging="1080"/>
        <w:rPr>
          <w:b/>
        </w:rPr>
      </w:pPr>
      <w:bookmarkStart w:id="6" w:name="_Hlk130900786"/>
      <w:r w:rsidRPr="00DC64AB">
        <w:rPr>
          <w:b/>
        </w:rPr>
        <w:t>2.7.4.2.</w:t>
      </w:r>
      <w:bookmarkEnd w:id="6"/>
      <w:r w:rsidRPr="00DC64AB">
        <w:rPr>
          <w:b/>
        </w:rPr>
        <w:tab/>
      </w:r>
      <w:r w:rsidRPr="00FC7E79">
        <w:rPr>
          <w:b/>
        </w:rPr>
        <w:t>…</w:t>
      </w:r>
    </w:p>
    <w:p w14:paraId="3FD4D027" w14:textId="77777777" w:rsidR="00B62A45" w:rsidRPr="002E2523" w:rsidRDefault="00B62A45" w:rsidP="00B62A45">
      <w:pPr>
        <w:pStyle w:val="texto"/>
        <w:spacing w:after="92" w:line="219" w:lineRule="exact"/>
        <w:ind w:left="1800" w:firstLine="0"/>
        <w:rPr>
          <w:b/>
        </w:rPr>
      </w:pPr>
      <w:r w:rsidRPr="00FC7E79">
        <w:rPr>
          <w:b/>
        </w:rPr>
        <w:lastRenderedPageBreak/>
        <w:t>…</w:t>
      </w:r>
    </w:p>
    <w:p w14:paraId="6242406F" w14:textId="77777777" w:rsidR="00B62A45" w:rsidRPr="00DC64AB" w:rsidRDefault="00B62A45" w:rsidP="00B62A45">
      <w:pPr>
        <w:pStyle w:val="texto"/>
        <w:spacing w:after="92" w:line="219" w:lineRule="exact"/>
        <w:ind w:left="1800" w:firstLine="0"/>
      </w:pPr>
      <w:r w:rsidRPr="00DC64AB">
        <w:rPr>
          <w:b/>
        </w:rPr>
        <w:t xml:space="preserve">a) </w:t>
      </w:r>
      <w:r w:rsidRPr="00DC64AB">
        <w:t>a</w:t>
      </w:r>
      <w:r w:rsidRPr="00DC64AB">
        <w:rPr>
          <w:b/>
        </w:rPr>
        <w:t xml:space="preserve"> k)</w:t>
      </w:r>
      <w:r>
        <w:rPr>
          <w:b/>
        </w:rPr>
        <w:t xml:space="preserve"> </w:t>
      </w:r>
      <w:r w:rsidRPr="00FC7E79">
        <w:rPr>
          <w:b/>
        </w:rPr>
        <w:t>…</w:t>
      </w:r>
    </w:p>
    <w:p w14:paraId="22AEBB1E" w14:textId="77777777" w:rsidR="00B62A45" w:rsidRDefault="00B62A45" w:rsidP="00B62A45">
      <w:pPr>
        <w:pStyle w:val="texto"/>
        <w:spacing w:after="92" w:line="219" w:lineRule="exact"/>
        <w:ind w:left="2340" w:hanging="540"/>
        <w:rPr>
          <w:lang w:eastAsia="es-MX"/>
        </w:rPr>
      </w:pPr>
      <w:r w:rsidRPr="00DC64AB">
        <w:rPr>
          <w:b/>
        </w:rPr>
        <w:t>l)</w:t>
      </w:r>
      <w:r w:rsidRPr="00DC64AB">
        <w:rPr>
          <w:b/>
        </w:rPr>
        <w:tab/>
      </w:r>
      <w:r w:rsidRPr="00DC64AB">
        <w:t>Que la persona moral solicitante, sus socios, representantes o apoderados legales, asociados o cualquier integrante del Comité Técnico, Consejo Directivo o de Administración, cualquiera que sea su denominación, no formen o hayan formado parte en los últimos cinco ejercicios fiscales de manera directa o indirecta de alguna persona moral a la que se le haya revocado o no renovado su autorización en términos de las reglas 2.7.4.7. y 2.7.4.11., según corresponda, o se le haya dejado sin efectos por haber iniciado un proceso de liquidación, concurso mercantil o su órgano de dirección haya tomado el acuerdo de extinción de la sociedad. Lo anterior, no resulta aplicable cuando la no renovación derive de la no presentación del aviso o de su presentación extemporánea.</w:t>
      </w:r>
    </w:p>
    <w:p w14:paraId="244D2ABE" w14:textId="77777777" w:rsidR="00B62A45" w:rsidRPr="00DC64AB" w:rsidRDefault="00B62A45" w:rsidP="00B62A45">
      <w:pPr>
        <w:pStyle w:val="texto"/>
        <w:spacing w:after="92" w:line="218" w:lineRule="exact"/>
        <w:ind w:left="2340" w:hanging="540"/>
      </w:pPr>
      <w:r w:rsidRPr="00DC64AB">
        <w:rPr>
          <w:b/>
        </w:rPr>
        <w:t>m)</w:t>
      </w:r>
      <w:r w:rsidRPr="00DC64AB">
        <w:tab/>
      </w:r>
      <w:r w:rsidRPr="00DC64AB">
        <w:rPr>
          <w:b/>
        </w:rPr>
        <w:t>Se deroga.</w:t>
      </w:r>
    </w:p>
    <w:p w14:paraId="3F6D8162" w14:textId="77777777" w:rsidR="00B62A45" w:rsidRPr="00DC64AB" w:rsidRDefault="00B62A45" w:rsidP="00B62A45">
      <w:pPr>
        <w:pStyle w:val="texto"/>
        <w:spacing w:after="92" w:line="218" w:lineRule="exact"/>
        <w:ind w:left="2340" w:hanging="540"/>
      </w:pPr>
      <w:r w:rsidRPr="00DC64AB">
        <w:rPr>
          <w:b/>
        </w:rPr>
        <w:t>n)</w:t>
      </w:r>
      <w:r w:rsidRPr="00DC64AB">
        <w:t xml:space="preserve"> a </w:t>
      </w:r>
      <w:r w:rsidRPr="00DC64AB">
        <w:rPr>
          <w:b/>
        </w:rPr>
        <w:t>q)</w:t>
      </w:r>
      <w:r w:rsidRPr="00DC64AB">
        <w:rPr>
          <w:b/>
        </w:rPr>
        <w:tab/>
      </w:r>
      <w:r>
        <w:rPr>
          <w:b/>
        </w:rPr>
        <w:t xml:space="preserve"> </w:t>
      </w:r>
      <w:r w:rsidRPr="00FC7E79">
        <w:rPr>
          <w:b/>
        </w:rPr>
        <w:t>…</w:t>
      </w:r>
    </w:p>
    <w:p w14:paraId="67095594" w14:textId="77777777" w:rsidR="00B62A45" w:rsidRPr="00DC64AB" w:rsidRDefault="00B62A45" w:rsidP="00B62A45">
      <w:pPr>
        <w:pStyle w:val="texto"/>
        <w:spacing w:after="92" w:line="218" w:lineRule="exact"/>
        <w:ind w:left="2340" w:hanging="540"/>
      </w:pPr>
      <w:r w:rsidRPr="00DC64AB">
        <w:rPr>
          <w:b/>
        </w:rPr>
        <w:t>r)</w:t>
      </w:r>
      <w:r w:rsidRPr="00DC64AB">
        <w:tab/>
        <w:t>Presentar acta constitutiva de la persona moral y estatutos vigentes, así como las actas de asamblea en las que conste la modificación de socios o accionistas, representantes o apoderados legales, asociados o cualquier integrante del Comité Técnico, Consejo Directivo o de Administración, o cualquiera que sea su denominación, que se encuentran dentro de la persona moral, en los casos en que proceda, debidamente protocolizados ante notario o corredor público que acrediten su inscripción en el Registro Nacional Agropecuario.</w:t>
      </w:r>
    </w:p>
    <w:p w14:paraId="6C250BD2" w14:textId="77777777" w:rsidR="00B62A45" w:rsidRPr="00DC64AB" w:rsidRDefault="00B62A45" w:rsidP="00B62A45">
      <w:pPr>
        <w:pStyle w:val="texto"/>
        <w:spacing w:after="92" w:line="218" w:lineRule="exact"/>
        <w:ind w:left="2340" w:hanging="540"/>
      </w:pPr>
      <w:r w:rsidRPr="00DC64AB">
        <w:rPr>
          <w:b/>
        </w:rPr>
        <w:t>s)</w:t>
      </w:r>
      <w:r w:rsidRPr="00DC64AB">
        <w:tab/>
      </w:r>
      <w:r w:rsidRPr="00FC7E79">
        <w:rPr>
          <w:b/>
        </w:rPr>
        <w:t>…</w:t>
      </w:r>
    </w:p>
    <w:p w14:paraId="64435732" w14:textId="77777777" w:rsidR="00B62A45" w:rsidRPr="00DC64AB" w:rsidRDefault="00B62A45" w:rsidP="00B62A45">
      <w:pPr>
        <w:pStyle w:val="texto"/>
        <w:spacing w:after="92" w:line="218" w:lineRule="exact"/>
        <w:ind w:left="2340" w:hanging="540"/>
        <w:rPr>
          <w:b/>
        </w:rPr>
      </w:pPr>
      <w:r w:rsidRPr="00DC64AB">
        <w:rPr>
          <w:b/>
        </w:rPr>
        <w:t>t)</w:t>
      </w:r>
      <w:r w:rsidRPr="00DC64AB">
        <w:tab/>
      </w:r>
      <w:r w:rsidRPr="00DC64AB">
        <w:rPr>
          <w:b/>
        </w:rPr>
        <w:t>Se deroga.</w:t>
      </w:r>
    </w:p>
    <w:p w14:paraId="06750630" w14:textId="77777777" w:rsidR="00B62A45" w:rsidRPr="002E2523" w:rsidRDefault="00B62A45" w:rsidP="00B62A45">
      <w:pPr>
        <w:pStyle w:val="texto"/>
        <w:spacing w:after="92" w:line="218" w:lineRule="exact"/>
        <w:ind w:left="2340" w:hanging="540"/>
        <w:rPr>
          <w:b/>
        </w:rPr>
      </w:pPr>
      <w:r w:rsidRPr="00FC7E79">
        <w:rPr>
          <w:b/>
        </w:rPr>
        <w:t>…</w:t>
      </w:r>
    </w:p>
    <w:p w14:paraId="527B1DED" w14:textId="77777777" w:rsidR="00B62A45" w:rsidRPr="002E2523" w:rsidRDefault="00B62A45" w:rsidP="00B62A45">
      <w:pPr>
        <w:pStyle w:val="texto"/>
        <w:spacing w:after="92" w:line="218" w:lineRule="exact"/>
        <w:ind w:left="2340" w:hanging="540"/>
        <w:rPr>
          <w:b/>
        </w:rPr>
      </w:pPr>
      <w:r w:rsidRPr="00FC7E79">
        <w:rPr>
          <w:b/>
        </w:rPr>
        <w:t>…</w:t>
      </w:r>
    </w:p>
    <w:p w14:paraId="5837F9AB" w14:textId="77777777" w:rsidR="00B62A45" w:rsidRPr="002E2523" w:rsidRDefault="00B62A45" w:rsidP="00B62A45">
      <w:pPr>
        <w:pStyle w:val="texto"/>
        <w:spacing w:after="92" w:line="218" w:lineRule="exact"/>
        <w:ind w:left="2340" w:hanging="540"/>
        <w:rPr>
          <w:b/>
        </w:rPr>
      </w:pPr>
      <w:r w:rsidRPr="00FC7E79">
        <w:rPr>
          <w:b/>
        </w:rPr>
        <w:t>…</w:t>
      </w:r>
    </w:p>
    <w:p w14:paraId="7671F686" w14:textId="77777777" w:rsidR="00B62A45" w:rsidRPr="002E2523" w:rsidRDefault="00B62A45" w:rsidP="00B62A45">
      <w:pPr>
        <w:pStyle w:val="texto"/>
        <w:spacing w:after="92" w:line="218" w:lineRule="exact"/>
        <w:ind w:left="2340" w:hanging="540"/>
        <w:rPr>
          <w:b/>
        </w:rPr>
      </w:pPr>
      <w:r w:rsidRPr="00FC7E79">
        <w:rPr>
          <w:b/>
        </w:rPr>
        <w:t>…</w:t>
      </w:r>
    </w:p>
    <w:p w14:paraId="0D0B77FB" w14:textId="77777777" w:rsidR="00B62A45" w:rsidRPr="002E2523" w:rsidRDefault="00B62A45" w:rsidP="00B62A45">
      <w:pPr>
        <w:pStyle w:val="texto"/>
        <w:spacing w:after="92" w:line="218" w:lineRule="exact"/>
        <w:ind w:left="2340" w:hanging="540"/>
        <w:rPr>
          <w:b/>
        </w:rPr>
      </w:pPr>
      <w:r w:rsidRPr="00FC7E79">
        <w:rPr>
          <w:b/>
        </w:rPr>
        <w:t>…</w:t>
      </w:r>
    </w:p>
    <w:p w14:paraId="0C06910F" w14:textId="77777777" w:rsidR="00B62A45" w:rsidRPr="00DC64AB" w:rsidRDefault="00B62A45" w:rsidP="00B62A45">
      <w:pPr>
        <w:pStyle w:val="texto"/>
        <w:spacing w:after="92" w:line="218" w:lineRule="exact"/>
        <w:ind w:left="2340" w:hanging="540"/>
        <w:rPr>
          <w:color w:val="000000"/>
        </w:rPr>
      </w:pPr>
      <w:r w:rsidRPr="00DC64AB">
        <w:rPr>
          <w:i/>
        </w:rPr>
        <w:t>CFF 29, 29 Bis, 69-B, LISR 79, RMF 2023 2.1.37., 2.7.4.1., 2.7.4.10.</w:t>
      </w:r>
    </w:p>
    <w:p w14:paraId="72F79AC1" w14:textId="77777777" w:rsidR="00B62A45" w:rsidRPr="00DC64AB" w:rsidRDefault="00B62A45" w:rsidP="00B62A45">
      <w:pPr>
        <w:pStyle w:val="texto"/>
        <w:spacing w:after="92" w:line="218" w:lineRule="exact"/>
        <w:ind w:left="1800" w:firstLine="0"/>
        <w:rPr>
          <w:b/>
        </w:rPr>
      </w:pPr>
      <w:r w:rsidRPr="00DC64AB">
        <w:rPr>
          <w:b/>
        </w:rPr>
        <w:t>Vigencia de la autorización para operar como proveedor de certificación y generación de CFDI para el sector primario</w:t>
      </w:r>
    </w:p>
    <w:p w14:paraId="1FF8C1B2" w14:textId="77777777" w:rsidR="00B62A45" w:rsidRPr="00DC64AB" w:rsidRDefault="00B62A45" w:rsidP="00B62A45">
      <w:pPr>
        <w:pStyle w:val="texto"/>
        <w:spacing w:after="92" w:line="218" w:lineRule="exact"/>
        <w:ind w:left="1800" w:hanging="1080"/>
      </w:pPr>
      <w:r w:rsidRPr="00DC64AB">
        <w:rPr>
          <w:b/>
        </w:rPr>
        <w:t>2.7.4.7.</w:t>
      </w:r>
      <w:r w:rsidRPr="00DC64AB">
        <w:rPr>
          <w:b/>
        </w:rPr>
        <w:tab/>
      </w:r>
      <w:r w:rsidRPr="00DC64AB">
        <w:t>Para los efectos de los artículos 29, segundo párrafo, fracción IV y 29 Bis del CFF, la autorización para operar como PCGCFDISP, tendrá vigencia durante los dos ejercicios fiscales siguientes a aquel en el que se notifique el oficio de autorización.</w:t>
      </w:r>
    </w:p>
    <w:p w14:paraId="252B8C94" w14:textId="77777777" w:rsidR="00B62A45" w:rsidRPr="002E2523" w:rsidRDefault="00B62A45" w:rsidP="00B62A45">
      <w:pPr>
        <w:pStyle w:val="texto"/>
        <w:spacing w:after="92" w:line="218" w:lineRule="exact"/>
        <w:ind w:left="1800" w:firstLine="0"/>
        <w:rPr>
          <w:b/>
        </w:rPr>
      </w:pPr>
      <w:r w:rsidRPr="00FC7E79">
        <w:rPr>
          <w:b/>
        </w:rPr>
        <w:t>…</w:t>
      </w:r>
    </w:p>
    <w:p w14:paraId="12BCC51D" w14:textId="77777777" w:rsidR="00B62A45" w:rsidRPr="002E2523" w:rsidRDefault="00B62A45" w:rsidP="00B62A45">
      <w:pPr>
        <w:pStyle w:val="texto"/>
        <w:spacing w:after="92" w:line="218" w:lineRule="exact"/>
        <w:ind w:left="1800" w:firstLine="0"/>
        <w:rPr>
          <w:b/>
        </w:rPr>
      </w:pPr>
      <w:r w:rsidRPr="00FC7E79">
        <w:rPr>
          <w:b/>
        </w:rPr>
        <w:t>…</w:t>
      </w:r>
    </w:p>
    <w:p w14:paraId="6EE2979D" w14:textId="77777777" w:rsidR="00B62A45" w:rsidRPr="002E2523" w:rsidRDefault="00B62A45" w:rsidP="00B62A45">
      <w:pPr>
        <w:pStyle w:val="texto"/>
        <w:spacing w:after="92" w:line="218" w:lineRule="exact"/>
        <w:ind w:left="1800" w:firstLine="0"/>
        <w:rPr>
          <w:b/>
        </w:rPr>
      </w:pPr>
      <w:r w:rsidRPr="00FC7E79">
        <w:rPr>
          <w:b/>
        </w:rPr>
        <w:t>…</w:t>
      </w:r>
    </w:p>
    <w:p w14:paraId="05DF5714" w14:textId="77777777" w:rsidR="00B62A45" w:rsidRPr="00DC64AB" w:rsidRDefault="00B62A45" w:rsidP="00B62A45">
      <w:pPr>
        <w:pStyle w:val="texto"/>
        <w:spacing w:after="92" w:line="218" w:lineRule="exact"/>
        <w:ind w:left="1800" w:firstLine="0"/>
        <w:rPr>
          <w:color w:val="000000"/>
        </w:rPr>
      </w:pPr>
      <w:r w:rsidRPr="00DC64AB">
        <w:rPr>
          <w:i/>
        </w:rPr>
        <w:t>CFF 26, 29 Bis, RMF 2023 2.7.4.2., 2.7.4.8., 2.7.4.11.</w:t>
      </w:r>
    </w:p>
    <w:p w14:paraId="641C4340" w14:textId="77777777" w:rsidR="00B62A45" w:rsidRPr="00DC64AB" w:rsidRDefault="00B62A45" w:rsidP="00B62A45">
      <w:pPr>
        <w:pStyle w:val="texto"/>
        <w:spacing w:after="92" w:line="218" w:lineRule="exact"/>
        <w:ind w:left="1800" w:firstLine="0"/>
        <w:rPr>
          <w:b/>
        </w:rPr>
      </w:pPr>
      <w:r w:rsidRPr="00DC64AB">
        <w:rPr>
          <w:b/>
        </w:rPr>
        <w:t>Requisitos para que el proveedor de certificación y generación de CFDI para el sector primario renueve la vigencia de la autorización</w:t>
      </w:r>
    </w:p>
    <w:p w14:paraId="2B4CD5CD" w14:textId="77777777" w:rsidR="00B62A45" w:rsidRPr="00DC64AB" w:rsidRDefault="00B62A45" w:rsidP="00B62A45">
      <w:pPr>
        <w:pStyle w:val="texto"/>
        <w:spacing w:after="92" w:line="218" w:lineRule="exact"/>
        <w:ind w:left="1800" w:hanging="1080"/>
      </w:pPr>
      <w:r w:rsidRPr="00DC64AB">
        <w:rPr>
          <w:b/>
        </w:rPr>
        <w:t>2.7.4.8.</w:t>
      </w:r>
      <w:r w:rsidRPr="00DC64AB">
        <w:tab/>
        <w:t>Para los efectos de la regla 2.7.4.7., en agosto del último año en el que tenga vigencia la autorización los PCGCFDISP podrán solicitar su renovación por dos ejercicios fiscales más, siempre que cumplan con los requisitos establecidos en la ficha de trámite 211/CFF “Solicitud de renovación de autorización para operar como proveedor de certificación y generación de CFDI para el sector primario”, contenida en el Anexo 1-A.</w:t>
      </w:r>
    </w:p>
    <w:p w14:paraId="3DB2F45C" w14:textId="77777777" w:rsidR="00B62A45" w:rsidRPr="00DC64AB" w:rsidRDefault="00B62A45" w:rsidP="00B62A45">
      <w:pPr>
        <w:pStyle w:val="texto"/>
        <w:spacing w:after="92" w:line="218" w:lineRule="exact"/>
        <w:ind w:left="1800" w:hanging="1080"/>
      </w:pPr>
      <w:r w:rsidRPr="00DC64AB">
        <w:tab/>
        <w:t xml:space="preserve">En caso de no cumplir con los requisitos señalados en la ficha de trámite a que se refiere el párrafo anterior, la autoridad podrá requerir al proveedor para que, en un plazo de diez días hábiles, contados a partir de que surta efectos la notificación de dicho requerimiento, subsane las omisiones detectadas. De no presentar la solicitud de renovación, presentarla de manera extemporánea o no cumplir con el requerimiento en tiempo y </w:t>
      </w:r>
      <w:r w:rsidRPr="00DC64AB">
        <w:lastRenderedPageBreak/>
        <w:t>forma, la solicitud de renovación de autorización se tendrá por no presentada y, por ende, la autorización de que se trate no será renovada.</w:t>
      </w:r>
    </w:p>
    <w:p w14:paraId="155553ED" w14:textId="77777777" w:rsidR="00B62A45" w:rsidRPr="00DC64AB" w:rsidRDefault="00B62A45" w:rsidP="00B62A45">
      <w:pPr>
        <w:pStyle w:val="texto"/>
        <w:spacing w:after="92" w:line="218" w:lineRule="exact"/>
        <w:ind w:left="1800" w:hanging="1080"/>
      </w:pPr>
      <w:r w:rsidRPr="00DC64AB">
        <w:tab/>
        <w:t>Para los PCGCFDISP que no renueven su autorización o incumplan con el requerimiento en términos del párrafo anterior, vencerá su autorización al término del periodo por el cual fue otorgada.</w:t>
      </w:r>
    </w:p>
    <w:p w14:paraId="05817129" w14:textId="77777777" w:rsidR="00B62A45" w:rsidRPr="00DC64AB" w:rsidRDefault="00B62A45" w:rsidP="00B62A45">
      <w:pPr>
        <w:pStyle w:val="texto"/>
        <w:spacing w:after="92" w:line="218" w:lineRule="exact"/>
        <w:ind w:left="1800" w:firstLine="0"/>
      </w:pPr>
      <w:r w:rsidRPr="00DC64AB">
        <w:t>La autoridad emitirá la resolución de renovación de la autorización a los proveedores de certificación de CFDI que cumplan con los requisitos previstos en la ficha de trámite 211/CFF “Solicitud de renovación de autorización para operar como proveedor de certificación y generación de CFDI para el sector primario”, contenida en el Anexo 1-A.</w:t>
      </w:r>
    </w:p>
    <w:p w14:paraId="51DEDF00" w14:textId="77777777" w:rsidR="00B62A45" w:rsidRPr="00DC64AB" w:rsidRDefault="00B62A45" w:rsidP="00B62A45">
      <w:pPr>
        <w:pStyle w:val="texto"/>
        <w:spacing w:after="92" w:line="230" w:lineRule="exact"/>
        <w:ind w:left="1800" w:hanging="1080"/>
      </w:pPr>
      <w:r w:rsidRPr="00DC64AB">
        <w:tab/>
        <w:t>Los PCGCFDISP que no hayan renovado su autorización deberán cumplir con las obligaciones siguientes:</w:t>
      </w:r>
    </w:p>
    <w:p w14:paraId="6E1DEA2C" w14:textId="77777777" w:rsidR="00B62A45" w:rsidRPr="00DC64AB" w:rsidRDefault="00B62A45" w:rsidP="00B62A45">
      <w:pPr>
        <w:pStyle w:val="texto"/>
        <w:spacing w:after="92" w:line="230" w:lineRule="exact"/>
        <w:ind w:left="2340" w:hanging="540"/>
      </w:pPr>
      <w:r w:rsidRPr="00DC64AB">
        <w:rPr>
          <w:b/>
        </w:rPr>
        <w:t>I.</w:t>
      </w:r>
      <w:r w:rsidRPr="00DC64AB">
        <w:rPr>
          <w:b/>
        </w:rPr>
        <w:tab/>
      </w:r>
      <w:r w:rsidRPr="00DC64AB">
        <w:t>En el último bimestre del ejercicio en el que se debió de haber presentado el aviso de renovación de la autorización, deberán cumplir con lo siguiente:</w:t>
      </w:r>
    </w:p>
    <w:p w14:paraId="0CAD9EC3" w14:textId="77777777" w:rsidR="00B62A45" w:rsidRPr="00DC64AB" w:rsidRDefault="00B62A45" w:rsidP="00B62A45">
      <w:pPr>
        <w:pStyle w:val="texto"/>
        <w:spacing w:after="92" w:line="230" w:lineRule="exact"/>
        <w:ind w:left="2790" w:hanging="450"/>
      </w:pPr>
      <w:r w:rsidRPr="00DC64AB">
        <w:rPr>
          <w:b/>
        </w:rPr>
        <w:t>a)</w:t>
      </w:r>
      <w:r w:rsidRPr="00DC64AB">
        <w:tab/>
        <w:t>Publicar en un lugar visible en su página de Internet, durante todo el bimestre a que se refiere esta fracción, un “AVISO URGENTE” con la siguiente leyenda:</w:t>
      </w:r>
    </w:p>
    <w:p w14:paraId="7BB04D38" w14:textId="77777777" w:rsidR="00B62A45" w:rsidRPr="00DC64AB" w:rsidRDefault="00B62A45" w:rsidP="00B62A45">
      <w:pPr>
        <w:pStyle w:val="texto"/>
        <w:spacing w:after="92" w:line="230" w:lineRule="exact"/>
        <w:ind w:left="2790" w:hanging="450"/>
        <w:rPr>
          <w:i/>
        </w:rPr>
      </w:pPr>
      <w:r w:rsidRPr="00DC64AB">
        <w:rPr>
          <w:i/>
        </w:rPr>
        <w:tab/>
        <w:t>“Estimado usuario, se le informa que a partir del 1 de enero de 20__, dejaremos de contar con la autorización para operar como proveedor de certificación y generación de CFDI para el sector primario, por lo que se le hace una atenta invitación para contratar a alguno de los proveedores de certificación y generación de CFDI para el sector primario, publicados como autorizados en el Portal del SAT o para decidir hacer uso de alguna de las otras opciones existentes para facturar electrónicamente”.</w:t>
      </w:r>
    </w:p>
    <w:p w14:paraId="358F47E5" w14:textId="77777777" w:rsidR="00B62A45" w:rsidRPr="00DC64AB" w:rsidRDefault="00B62A45" w:rsidP="00B62A45">
      <w:pPr>
        <w:pStyle w:val="texto"/>
        <w:spacing w:after="92" w:line="230" w:lineRule="exact"/>
        <w:ind w:left="2790" w:hanging="450"/>
      </w:pPr>
      <w:r w:rsidRPr="00DC64AB">
        <w:rPr>
          <w:b/>
        </w:rPr>
        <w:t>b)</w:t>
      </w:r>
      <w:r w:rsidRPr="00DC64AB">
        <w:tab/>
        <w:t>Enviar mediante correo electrónico a todos sus prestatarios, incluyendo a aquellos a los que en algún momento les certificaron CFDI y que actualmente no se encuentren como prestatarios activos, el mensaje señalado en el inciso anterior, solicitando la confirmación de recepción del mismo.</w:t>
      </w:r>
    </w:p>
    <w:p w14:paraId="54C5DB0E" w14:textId="77777777" w:rsidR="00B62A45" w:rsidRPr="00DC64AB" w:rsidRDefault="00B62A45" w:rsidP="00B62A45">
      <w:pPr>
        <w:pStyle w:val="texto"/>
        <w:spacing w:after="92" w:line="230" w:lineRule="exact"/>
        <w:ind w:left="2790" w:hanging="450"/>
      </w:pPr>
      <w:r w:rsidRPr="00DC64AB">
        <w:rPr>
          <w:b/>
        </w:rPr>
        <w:t>c)</w:t>
      </w:r>
      <w:r w:rsidRPr="00DC64AB">
        <w:tab/>
        <w:t>Presentar durante el mes siguiente a aquel en el que hayan dejado de contar con la autorización, los archivos que contenga, por cada uno de sus prestatarios de servicio, copia del aviso remitido mediante correo electrónico y, de contar con ella, la confirmación de recepción por parte de los mismos, de conformidad con la ficha de trámite 195/CFF “Informe de avisos enviados a clientes o prestatarios sobre la cesación de actividades como proveedor de certificación”, contenida en el Anexo 1-A.</w:t>
      </w:r>
    </w:p>
    <w:p w14:paraId="45719123" w14:textId="77777777" w:rsidR="00B62A45" w:rsidRPr="00DC64AB" w:rsidRDefault="00B62A45" w:rsidP="00B62A45">
      <w:pPr>
        <w:pStyle w:val="texto"/>
        <w:spacing w:after="92" w:line="230" w:lineRule="exact"/>
        <w:ind w:left="2790" w:hanging="450"/>
      </w:pPr>
      <w:r w:rsidRPr="00DC64AB">
        <w:rPr>
          <w:b/>
        </w:rPr>
        <w:t>d)</w:t>
      </w:r>
      <w:r w:rsidRPr="00DC64AB">
        <w:tab/>
        <w:t>Mantener en operación el servicio a que hace referencia la regla 2.7.4.5., fracción XII y la regla 2.7.4.6., noveno párrafo.</w:t>
      </w:r>
    </w:p>
    <w:p w14:paraId="30D9B885" w14:textId="77777777" w:rsidR="00B62A45" w:rsidRPr="00DC64AB" w:rsidRDefault="00B62A45" w:rsidP="00B62A45">
      <w:pPr>
        <w:pStyle w:val="texto"/>
        <w:spacing w:after="92" w:line="230" w:lineRule="exact"/>
        <w:ind w:left="2790" w:hanging="450"/>
      </w:pPr>
      <w:r w:rsidRPr="00DC64AB">
        <w:rPr>
          <w:b/>
        </w:rPr>
        <w:t>e)</w:t>
      </w:r>
      <w:r w:rsidRPr="00DC64AB">
        <w:tab/>
        <w:t>Abstenerse de ofrecer por cualquier medio la generación y certificación de CFDI.</w:t>
      </w:r>
    </w:p>
    <w:p w14:paraId="2B8880C3" w14:textId="77777777" w:rsidR="00B62A45" w:rsidRPr="00DC64AB" w:rsidRDefault="00B62A45" w:rsidP="00B62A45">
      <w:pPr>
        <w:pStyle w:val="texto"/>
        <w:spacing w:after="92" w:line="230" w:lineRule="exact"/>
        <w:ind w:left="2347" w:hanging="547"/>
      </w:pPr>
      <w:r w:rsidRPr="00DC64AB">
        <w:tab/>
        <w:t>La publicación del aviso a que se refiere el inciso a), así como el envío del correo señalado en el inciso b), deberán realizarse dentro de los tres primeros días naturales del bimestre al que se refiere esta fracción.</w:t>
      </w:r>
    </w:p>
    <w:p w14:paraId="2EC08664" w14:textId="77777777" w:rsidR="00B62A45" w:rsidRPr="00DC64AB" w:rsidRDefault="00B62A45" w:rsidP="00B62A45">
      <w:pPr>
        <w:pStyle w:val="texto"/>
        <w:spacing w:after="92" w:line="230" w:lineRule="exact"/>
        <w:ind w:left="2347" w:hanging="547"/>
      </w:pPr>
      <w:r w:rsidRPr="00DC64AB">
        <w:rPr>
          <w:b/>
        </w:rPr>
        <w:t>II.</w:t>
      </w:r>
      <w:r w:rsidRPr="00DC64AB">
        <w:rPr>
          <w:b/>
        </w:rPr>
        <w:tab/>
      </w:r>
      <w:r w:rsidRPr="00DC64AB">
        <w:t>A partir del día siguiente a aquel en que dejen de contar con la autorización, ya no podrán certificar CFDI e iniciarán un periodo de sesenta días en el que deberán:</w:t>
      </w:r>
    </w:p>
    <w:p w14:paraId="2AF08418" w14:textId="77777777" w:rsidR="00B62A45" w:rsidRPr="00DC64AB" w:rsidRDefault="00B62A45" w:rsidP="00B62A45">
      <w:pPr>
        <w:pStyle w:val="texto"/>
        <w:spacing w:after="92" w:line="230" w:lineRule="exact"/>
        <w:ind w:left="2790" w:hanging="450"/>
      </w:pPr>
      <w:r w:rsidRPr="00DC64AB">
        <w:rPr>
          <w:b/>
        </w:rPr>
        <w:t>a)</w:t>
      </w:r>
      <w:r w:rsidRPr="00DC64AB">
        <w:tab/>
        <w:t>Cumplir con los controles tecnológicos y de seguridad de la información, derivados de la suspensión definitiva de la autorización para operar como PCGCFDISP y con las demás obligaciones que se indiquen en el oficio que para tales efectos notifique la autoridad fiscal.</w:t>
      </w:r>
    </w:p>
    <w:p w14:paraId="6808576C" w14:textId="77777777" w:rsidR="00B62A45" w:rsidRPr="00DC64AB" w:rsidRDefault="00B62A45" w:rsidP="00B62A45">
      <w:pPr>
        <w:pStyle w:val="texto"/>
        <w:spacing w:after="92" w:line="230" w:lineRule="exact"/>
        <w:ind w:left="2790" w:hanging="450"/>
      </w:pPr>
      <w:r w:rsidRPr="00DC64AB">
        <w:rPr>
          <w:b/>
        </w:rPr>
        <w:t>b)</w:t>
      </w:r>
      <w:r w:rsidRPr="00DC64AB">
        <w:tab/>
        <w:t>Concluir con las obligaciones que hayan derivado de su autorización y se encuentren pendientes.</w:t>
      </w:r>
    </w:p>
    <w:p w14:paraId="230EA7BF" w14:textId="77777777" w:rsidR="00B62A45" w:rsidRPr="00DC64AB" w:rsidRDefault="00B62A45" w:rsidP="00B62A45">
      <w:pPr>
        <w:pStyle w:val="texto"/>
        <w:spacing w:after="92" w:line="230" w:lineRule="exact"/>
        <w:ind w:left="1800" w:hanging="1080"/>
      </w:pPr>
      <w:r w:rsidRPr="00DC64AB">
        <w:tab/>
        <w:t>Los datos de los proveedores que no hayan obtenido la renovación de su autorización serán publicados en el Portal del SAT, de conformidad con la regla 2.7.4.3.</w:t>
      </w:r>
    </w:p>
    <w:p w14:paraId="0446183E" w14:textId="77777777" w:rsidR="00B62A45" w:rsidRPr="00DC64AB" w:rsidRDefault="00B62A45" w:rsidP="00B62A45">
      <w:pPr>
        <w:pStyle w:val="texto"/>
        <w:spacing w:after="92" w:line="230" w:lineRule="exact"/>
        <w:ind w:left="1800" w:firstLine="0"/>
        <w:rPr>
          <w:color w:val="000000"/>
        </w:rPr>
      </w:pPr>
      <w:r w:rsidRPr="00DC64AB">
        <w:rPr>
          <w:i/>
        </w:rPr>
        <w:lastRenderedPageBreak/>
        <w:t>CFF 29, 29-Bis, RMF 2023 2.7.4.3., 2.7.4.5., 2.7.4.6., 2.7.4.7.</w:t>
      </w:r>
    </w:p>
    <w:p w14:paraId="101CAB70" w14:textId="77777777" w:rsidR="00B62A45" w:rsidRPr="00DC64AB" w:rsidRDefault="00B62A45" w:rsidP="00B62A45">
      <w:pPr>
        <w:pStyle w:val="texto"/>
        <w:spacing w:after="92" w:line="230" w:lineRule="exact"/>
        <w:ind w:left="1800" w:firstLine="0"/>
        <w:rPr>
          <w:b/>
        </w:rPr>
      </w:pPr>
      <w:r w:rsidRPr="00DC64AB">
        <w:rPr>
          <w:b/>
        </w:rPr>
        <w:t>CFDI con el que los propietarios, poseedores o tenedores acreditan el traslado de bienes o mercancías</w:t>
      </w:r>
    </w:p>
    <w:p w14:paraId="36E9A1E8" w14:textId="77777777" w:rsidR="00B62A45" w:rsidRPr="002E2523" w:rsidRDefault="00B62A45" w:rsidP="00B62A45">
      <w:pPr>
        <w:pStyle w:val="texto"/>
        <w:spacing w:after="92" w:line="230" w:lineRule="exact"/>
        <w:ind w:left="1800" w:hanging="1080"/>
        <w:rPr>
          <w:b/>
        </w:rPr>
      </w:pPr>
      <w:r w:rsidRPr="00DC64AB">
        <w:rPr>
          <w:b/>
        </w:rPr>
        <w:t>2.7.7.1.2.</w:t>
      </w:r>
      <w:r w:rsidRPr="00DC64AB">
        <w:rPr>
          <w:b/>
        </w:rPr>
        <w:tab/>
      </w:r>
      <w:r w:rsidRPr="00FC7E79">
        <w:rPr>
          <w:b/>
        </w:rPr>
        <w:t>…</w:t>
      </w:r>
    </w:p>
    <w:p w14:paraId="3BF5204A" w14:textId="77777777" w:rsidR="00B62A45" w:rsidRPr="002E2523" w:rsidRDefault="00B62A45" w:rsidP="00B62A45">
      <w:pPr>
        <w:pStyle w:val="texto"/>
        <w:spacing w:after="92" w:line="230" w:lineRule="exact"/>
        <w:ind w:left="1800" w:firstLine="0"/>
        <w:rPr>
          <w:b/>
        </w:rPr>
      </w:pPr>
      <w:r w:rsidRPr="00FC7E79">
        <w:rPr>
          <w:b/>
        </w:rPr>
        <w:t>…</w:t>
      </w:r>
    </w:p>
    <w:p w14:paraId="45E49D03" w14:textId="77777777" w:rsidR="00B62A45" w:rsidRPr="006D3760" w:rsidRDefault="00B62A45" w:rsidP="00B62A45">
      <w:pPr>
        <w:pStyle w:val="texto"/>
        <w:spacing w:after="92" w:line="230" w:lineRule="exact"/>
        <w:ind w:left="1800" w:firstLine="0"/>
        <w:rPr>
          <w:b/>
        </w:rPr>
      </w:pPr>
      <w:r w:rsidRPr="00FC7E79">
        <w:rPr>
          <w:b/>
        </w:rPr>
        <w:t>…</w:t>
      </w:r>
    </w:p>
    <w:p w14:paraId="6E6845AB" w14:textId="77777777" w:rsidR="00B62A45" w:rsidRPr="00DC64AB" w:rsidRDefault="00B62A45" w:rsidP="00B62A45">
      <w:pPr>
        <w:pStyle w:val="texto"/>
        <w:spacing w:after="92" w:line="230" w:lineRule="exact"/>
        <w:ind w:left="1800" w:firstLine="0"/>
        <w:rPr>
          <w:color w:val="000000"/>
        </w:rPr>
      </w:pPr>
      <w:r w:rsidRPr="00DC64AB">
        <w:rPr>
          <w:i/>
        </w:rPr>
        <w:t xml:space="preserve">CFF 29, 29-A, RMF 2023 </w:t>
      </w:r>
      <w:r w:rsidRPr="00DC64AB">
        <w:rPr>
          <w:i/>
          <w:lang w:val="es-ES_tradnl"/>
        </w:rPr>
        <w:t>2.7.7.1.1.</w:t>
      </w:r>
    </w:p>
    <w:p w14:paraId="31459933" w14:textId="77777777" w:rsidR="00B62A45" w:rsidRPr="00DC64AB" w:rsidRDefault="00B62A45" w:rsidP="00B62A45">
      <w:pPr>
        <w:pStyle w:val="texto"/>
        <w:spacing w:after="80" w:line="208" w:lineRule="exact"/>
        <w:ind w:left="1800" w:firstLine="0"/>
        <w:rPr>
          <w:b/>
        </w:rPr>
      </w:pPr>
      <w:r w:rsidRPr="00DC64AB">
        <w:rPr>
          <w:b/>
        </w:rPr>
        <w:t>Emisión de CFDI con complemento Carta Porte en la prestación de servicios de transporte dedicado</w:t>
      </w:r>
    </w:p>
    <w:p w14:paraId="5612F88B" w14:textId="77777777" w:rsidR="00B62A45" w:rsidRPr="002E2523" w:rsidRDefault="00B62A45" w:rsidP="00B62A45">
      <w:pPr>
        <w:pStyle w:val="texto"/>
        <w:spacing w:after="80" w:line="208" w:lineRule="exact"/>
        <w:ind w:left="1800" w:hanging="1080"/>
        <w:rPr>
          <w:b/>
        </w:rPr>
      </w:pPr>
      <w:r w:rsidRPr="00DC64AB">
        <w:rPr>
          <w:b/>
        </w:rPr>
        <w:t>2.7.7.1.3.</w:t>
      </w:r>
      <w:r w:rsidRPr="00DC64AB">
        <w:rPr>
          <w:b/>
        </w:rPr>
        <w:tab/>
      </w:r>
      <w:r w:rsidRPr="00FC7E79">
        <w:rPr>
          <w:b/>
        </w:rPr>
        <w:t>…</w:t>
      </w:r>
    </w:p>
    <w:p w14:paraId="30D5BD1F" w14:textId="77777777" w:rsidR="00B62A45" w:rsidRPr="00DC64AB" w:rsidRDefault="00B62A45" w:rsidP="00B62A45">
      <w:pPr>
        <w:pStyle w:val="texto"/>
        <w:spacing w:after="80" w:line="208" w:lineRule="exact"/>
        <w:ind w:left="1800" w:firstLine="0"/>
      </w:pPr>
      <w:r w:rsidRPr="00DC64AB">
        <w:t>Posteriormente, el cliente o contratante deberá emitir un CFDI de tipo traslado al que se le incorpore el complemento Carta Porte, por cada traslado que realice de sus propias mercancías y cuando implique un cambio de medio o modo de transporte, en el cual se deberá relacionar el folio fiscal del CFDI de tipo ingreso emitido por la prestación del servicio a que se refiere el párrafo anterior.</w:t>
      </w:r>
    </w:p>
    <w:p w14:paraId="12C512D3" w14:textId="77777777" w:rsidR="00B62A45" w:rsidRPr="00DC64AB" w:rsidRDefault="00B62A45" w:rsidP="00B62A45">
      <w:pPr>
        <w:pStyle w:val="texto"/>
        <w:spacing w:after="80" w:line="208" w:lineRule="exact"/>
        <w:ind w:left="1800" w:firstLine="0"/>
        <w:rPr>
          <w:color w:val="000000"/>
        </w:rPr>
      </w:pPr>
      <w:r w:rsidRPr="00DC64AB">
        <w:rPr>
          <w:i/>
        </w:rPr>
        <w:t xml:space="preserve">CFF 29, 29-A, RMF 2023 2.7.1.8., </w:t>
      </w:r>
      <w:r w:rsidRPr="00DC64AB">
        <w:rPr>
          <w:i/>
          <w:lang w:val="es-ES_tradnl"/>
        </w:rPr>
        <w:t>2.7.7.1.1., 2.7.7.2.1., 2.7.7.2.8.</w:t>
      </w:r>
    </w:p>
    <w:p w14:paraId="2D6FE3D9" w14:textId="77777777" w:rsidR="00B62A45" w:rsidRPr="00DC64AB" w:rsidRDefault="00B62A45" w:rsidP="00B62A45">
      <w:pPr>
        <w:pStyle w:val="texto"/>
        <w:spacing w:after="80" w:line="208" w:lineRule="exact"/>
        <w:ind w:left="1800" w:firstLine="0"/>
        <w:rPr>
          <w:b/>
        </w:rPr>
      </w:pPr>
      <w:r w:rsidRPr="00DC64AB">
        <w:rPr>
          <w:b/>
        </w:rPr>
        <w:t>Tramos de jurisdicción federal para el traslado de bienes y/o mercancías a través de autotransporte</w:t>
      </w:r>
    </w:p>
    <w:p w14:paraId="3884C257" w14:textId="77777777" w:rsidR="00B62A45" w:rsidRPr="00DC64AB" w:rsidRDefault="00B62A45" w:rsidP="00B62A45">
      <w:pPr>
        <w:pStyle w:val="texto"/>
        <w:spacing w:after="80" w:line="208" w:lineRule="exact"/>
        <w:ind w:left="1800" w:hanging="1080"/>
      </w:pPr>
      <w:r w:rsidRPr="00DC64AB">
        <w:rPr>
          <w:b/>
        </w:rPr>
        <w:t>2.7.7.2.8.</w:t>
      </w:r>
      <w:r w:rsidRPr="00DC64AB">
        <w:rPr>
          <w:b/>
        </w:rPr>
        <w:tab/>
      </w:r>
      <w:r w:rsidRPr="00DC64AB">
        <w:t>Para los efectos de las reglas 2.7.7.1.3., 2.7.7.1.4., 2.7.7.2.1., 2.7.7.2.2., 2.7.7.2.3. y 2.7.7.2.5., se entenderá que los contribuyentes que realizan el transporte de bienes y/o mercancías a través de autotransporte mediante vehículos de carga con características que no excedan los pesos y dimensiones de un camión tipo C2 de conformidad con la NOM-012-SCT-2-2017, o la que la sustituya, no transitan por tramos de jurisdicción federal a que se refiere la Ley de Caminos, Puentes y Autotransporte Federal y su Reglamento, siempre que en su trayecto la longitud del tramo federal que se pretenda utilizar no exceda de un radio de distancia de 30 kilómetros, los cuales se computarán entre el origen inicial y el destino final, incluyendo los puntos intermedios del traslado.</w:t>
      </w:r>
    </w:p>
    <w:p w14:paraId="58205A85" w14:textId="77777777" w:rsidR="00B62A45" w:rsidRPr="002E2523" w:rsidRDefault="00B62A45" w:rsidP="00B62A45">
      <w:pPr>
        <w:pStyle w:val="texto"/>
        <w:spacing w:after="80" w:line="208" w:lineRule="exact"/>
        <w:ind w:left="1800" w:firstLine="0"/>
        <w:rPr>
          <w:b/>
        </w:rPr>
      </w:pPr>
      <w:r w:rsidRPr="00FC7E79">
        <w:rPr>
          <w:b/>
        </w:rPr>
        <w:t>…</w:t>
      </w:r>
    </w:p>
    <w:p w14:paraId="6C3D9521" w14:textId="77777777" w:rsidR="00B62A45" w:rsidRPr="002E2523" w:rsidRDefault="00B62A45" w:rsidP="00B62A45">
      <w:pPr>
        <w:pStyle w:val="texto"/>
        <w:spacing w:after="80" w:line="208" w:lineRule="exact"/>
        <w:ind w:left="1800" w:firstLine="0"/>
        <w:rPr>
          <w:b/>
        </w:rPr>
      </w:pPr>
      <w:r w:rsidRPr="00FC7E79">
        <w:rPr>
          <w:b/>
        </w:rPr>
        <w:t>…</w:t>
      </w:r>
    </w:p>
    <w:p w14:paraId="118EF3A6" w14:textId="77777777" w:rsidR="00B62A45" w:rsidRPr="00DC64AB" w:rsidRDefault="00B62A45" w:rsidP="00B62A45">
      <w:pPr>
        <w:pStyle w:val="texto"/>
        <w:spacing w:after="80" w:line="208" w:lineRule="exact"/>
        <w:ind w:left="1800" w:firstLine="0"/>
        <w:rPr>
          <w:color w:val="000000"/>
        </w:rPr>
      </w:pPr>
      <w:r w:rsidRPr="00DC64AB">
        <w:rPr>
          <w:i/>
        </w:rPr>
        <w:t>CFF 29, Ley de Caminos, Puentes y Autotransporte Federal 2, RMF 2023 2.7.7.1.3., 2.7.7.1.4., 2.7.7.1.5., 2.7.7.2.1., 2.7.7.2.2., 2.7.7.2.3., 2.7.7.2.4., 2.7.7.2.5., RGCE 2.4.3.</w:t>
      </w:r>
    </w:p>
    <w:p w14:paraId="3425E712" w14:textId="77777777" w:rsidR="00B62A45" w:rsidRPr="00DC64AB" w:rsidRDefault="00B62A45" w:rsidP="00B62A45">
      <w:pPr>
        <w:pStyle w:val="texto"/>
        <w:spacing w:after="80" w:line="208" w:lineRule="exact"/>
        <w:ind w:left="1800" w:firstLine="0"/>
        <w:rPr>
          <w:b/>
        </w:rPr>
      </w:pPr>
      <w:r w:rsidRPr="00DC64AB">
        <w:rPr>
          <w:b/>
        </w:rPr>
        <w:t>Transporte marítimo en modalidad ferri</w:t>
      </w:r>
    </w:p>
    <w:p w14:paraId="2D1E671F" w14:textId="77777777" w:rsidR="00B62A45" w:rsidRDefault="00B62A45" w:rsidP="00B62A45">
      <w:pPr>
        <w:pStyle w:val="texto"/>
        <w:spacing w:after="80" w:line="208" w:lineRule="exact"/>
        <w:ind w:left="1800" w:hanging="1080"/>
        <w:rPr>
          <w:rStyle w:val="Refdenotaalpie"/>
          <w:b/>
        </w:rPr>
      </w:pPr>
      <w:r w:rsidRPr="00DC64AB">
        <w:rPr>
          <w:b/>
        </w:rPr>
        <w:t>2.7.7.3.4.</w:t>
      </w:r>
      <w:r w:rsidRPr="00DC64AB">
        <w:rPr>
          <w:b/>
        </w:rPr>
        <w:tab/>
      </w:r>
      <w:r w:rsidRPr="00DC64AB">
        <w:t xml:space="preserve">Para los efectos del artículo 29, penúltimo párrafo del CFF y la regla </w:t>
      </w:r>
      <w:r w:rsidRPr="00DC64AB">
        <w:rPr>
          <w:lang w:val="es-ES_tradnl"/>
        </w:rPr>
        <w:t>2.7.7.1.1.</w:t>
      </w:r>
      <w:r w:rsidRPr="00DC64AB">
        <w:t>, los contribuyentes que presten el servicio de transporte por vía marítima de bienes o mercancías, en su modalidad ferri, podrán emitir un solo CFDI con complemento Carta Porte para acreditar su traslado durante todo el trayecto de ida y vuelta al mismo lugar, siempre y cuando, el ferri regrese vacío o retorne los mismos bienes o mercancías señalados en dicho comprobante.</w:t>
      </w:r>
    </w:p>
    <w:p w14:paraId="0266D1FA" w14:textId="77777777" w:rsidR="00B62A45" w:rsidRPr="002E2523" w:rsidRDefault="00B62A45" w:rsidP="00B62A45">
      <w:pPr>
        <w:pStyle w:val="texto"/>
        <w:spacing w:after="80" w:line="208" w:lineRule="exact"/>
        <w:ind w:left="1800" w:firstLine="0"/>
        <w:rPr>
          <w:b/>
        </w:rPr>
      </w:pPr>
      <w:r w:rsidRPr="00FC7E79">
        <w:rPr>
          <w:b/>
        </w:rPr>
        <w:t>…</w:t>
      </w:r>
    </w:p>
    <w:p w14:paraId="3D9222C3" w14:textId="77777777" w:rsidR="00B62A45" w:rsidRPr="00DC64AB" w:rsidRDefault="00B62A45" w:rsidP="00B62A45">
      <w:pPr>
        <w:pStyle w:val="texto"/>
        <w:spacing w:after="80" w:line="208" w:lineRule="exact"/>
        <w:ind w:left="1800" w:firstLine="0"/>
        <w:rPr>
          <w:color w:val="000000"/>
        </w:rPr>
      </w:pPr>
      <w:r w:rsidRPr="00DC64AB">
        <w:rPr>
          <w:i/>
        </w:rPr>
        <w:t xml:space="preserve">CFF 29, 29-A, RMF 2023 </w:t>
      </w:r>
      <w:r w:rsidRPr="00DC64AB">
        <w:rPr>
          <w:i/>
          <w:lang w:val="es-ES_tradnl"/>
        </w:rPr>
        <w:t>2.7.7.1.1.</w:t>
      </w:r>
      <w:r w:rsidRPr="00DC64AB">
        <w:rPr>
          <w:i/>
        </w:rPr>
        <w:t xml:space="preserve">, </w:t>
      </w:r>
      <w:r w:rsidRPr="00DC64AB">
        <w:rPr>
          <w:i/>
          <w:lang w:val="es-ES_tradnl"/>
        </w:rPr>
        <w:t>2.7.7.1.2.</w:t>
      </w:r>
    </w:p>
    <w:p w14:paraId="2A4C5C80" w14:textId="77777777" w:rsidR="00B62A45" w:rsidRPr="00DC64AB" w:rsidRDefault="00B62A45" w:rsidP="00B62A45">
      <w:pPr>
        <w:pStyle w:val="texto"/>
        <w:spacing w:after="80" w:line="208" w:lineRule="exact"/>
        <w:ind w:left="1800" w:firstLine="0"/>
        <w:rPr>
          <w:b/>
        </w:rPr>
      </w:pPr>
      <w:r w:rsidRPr="00DC64AB">
        <w:rPr>
          <w:b/>
        </w:rPr>
        <w:t>Cumplimiento de la disposición de entregar contabilidad en medios electrónicos de manera mensual</w:t>
      </w:r>
    </w:p>
    <w:p w14:paraId="4E8553D2" w14:textId="77777777" w:rsidR="00B62A45" w:rsidRPr="002E2523" w:rsidRDefault="00B62A45" w:rsidP="00B62A45">
      <w:pPr>
        <w:pStyle w:val="texto"/>
        <w:spacing w:after="80" w:line="208" w:lineRule="exact"/>
        <w:ind w:left="1800" w:hanging="1080"/>
        <w:rPr>
          <w:b/>
        </w:rPr>
      </w:pPr>
      <w:r w:rsidRPr="00DC64AB">
        <w:rPr>
          <w:b/>
        </w:rPr>
        <w:t>2.8.1.6.</w:t>
      </w:r>
      <w:r w:rsidRPr="00DC64AB">
        <w:tab/>
      </w:r>
      <w:r w:rsidRPr="00FC7E79">
        <w:rPr>
          <w:b/>
        </w:rPr>
        <w:t>…</w:t>
      </w:r>
    </w:p>
    <w:p w14:paraId="6BED7767" w14:textId="77777777" w:rsidR="00B62A45" w:rsidRPr="002E2523" w:rsidRDefault="00B62A45" w:rsidP="00B62A45">
      <w:pPr>
        <w:pStyle w:val="texto"/>
        <w:spacing w:after="80" w:line="208" w:lineRule="exact"/>
        <w:ind w:left="2340" w:hanging="540"/>
        <w:rPr>
          <w:b/>
        </w:rPr>
      </w:pPr>
      <w:r w:rsidRPr="00DC64AB">
        <w:rPr>
          <w:b/>
        </w:rPr>
        <w:t>I.</w:t>
      </w:r>
      <w:r w:rsidRPr="00DC64AB">
        <w:tab/>
      </w:r>
      <w:r w:rsidRPr="00FC7E79">
        <w:rPr>
          <w:b/>
        </w:rPr>
        <w:t>…</w:t>
      </w:r>
    </w:p>
    <w:p w14:paraId="100A9BA3" w14:textId="77777777" w:rsidR="00B62A45" w:rsidRPr="002E2523" w:rsidRDefault="00B62A45" w:rsidP="00B62A45">
      <w:pPr>
        <w:pStyle w:val="texto"/>
        <w:spacing w:after="80" w:line="208" w:lineRule="exact"/>
        <w:ind w:left="2340" w:hanging="540"/>
        <w:rPr>
          <w:b/>
        </w:rPr>
      </w:pPr>
      <w:r w:rsidRPr="00DC64AB">
        <w:rPr>
          <w:b/>
        </w:rPr>
        <w:t>II.</w:t>
      </w:r>
      <w:r w:rsidRPr="00DC64AB">
        <w:tab/>
      </w:r>
      <w:r w:rsidRPr="00FC7E79">
        <w:rPr>
          <w:b/>
        </w:rPr>
        <w:t>…</w:t>
      </w:r>
    </w:p>
    <w:p w14:paraId="02018161" w14:textId="77777777" w:rsidR="00B62A45" w:rsidRDefault="00B62A45" w:rsidP="00B62A45">
      <w:pPr>
        <w:pStyle w:val="texto"/>
        <w:numPr>
          <w:ilvl w:val="0"/>
          <w:numId w:val="1"/>
        </w:numPr>
        <w:spacing w:after="80" w:line="208" w:lineRule="exact"/>
        <w:rPr>
          <w:b/>
        </w:rPr>
      </w:pPr>
      <w:r w:rsidRPr="00DC64AB">
        <w:t>a</w:t>
      </w:r>
      <w:r w:rsidRPr="00DC64AB">
        <w:rPr>
          <w:b/>
        </w:rPr>
        <w:t xml:space="preserve"> c)</w:t>
      </w:r>
      <w:r>
        <w:t xml:space="preserve"> </w:t>
      </w:r>
      <w:r w:rsidRPr="00FC7E79">
        <w:rPr>
          <w:b/>
        </w:rPr>
        <w:t>…</w:t>
      </w:r>
    </w:p>
    <w:p w14:paraId="0ECD0C74" w14:textId="77777777" w:rsidR="00B62A45" w:rsidRPr="00DC64AB" w:rsidRDefault="00B62A45" w:rsidP="00B62A45">
      <w:pPr>
        <w:pStyle w:val="texto"/>
        <w:spacing w:after="80" w:line="208" w:lineRule="exact"/>
        <w:ind w:left="2790" w:hanging="450"/>
      </w:pPr>
      <w:r w:rsidRPr="00DC64AB">
        <w:rPr>
          <w:b/>
        </w:rPr>
        <w:t>d)</w:t>
      </w:r>
      <w:r w:rsidRPr="00DC64AB">
        <w:tab/>
        <w:t xml:space="preserve">Tratándose de personas morales, dedicadas a las actividades agrícolas, silvícolas, ganaderas o de pesca que cumplan con sus obligaciones fiscales en los términos del Título II, Capítulo VIII de la Ley del ISR, que hayan optado por realizar pagos provisionales del ISR en forma semestral por virtud de lo que establece la RFA, podrán enviar su información contable de forma semestral, a más tardar dentro de los primeros tres y cinco días, </w:t>
      </w:r>
      <w:r w:rsidRPr="00DC64AB">
        <w:lastRenderedPageBreak/>
        <w:t>respectivamente, del segundo mes posterior al último mes reportado en el semestre, mediante seis archivos que correspondan a cada uno de los meses que reporten.</w:t>
      </w:r>
    </w:p>
    <w:p w14:paraId="6B638A0B" w14:textId="77777777" w:rsidR="00B62A45" w:rsidRPr="00BD0EA9" w:rsidRDefault="00B62A45" w:rsidP="00B62A45">
      <w:pPr>
        <w:pStyle w:val="texto"/>
        <w:spacing w:after="80" w:line="208" w:lineRule="exact"/>
        <w:ind w:left="2790" w:hanging="450"/>
        <w:rPr>
          <w:b/>
        </w:rPr>
      </w:pPr>
      <w:r w:rsidRPr="00DC64AB">
        <w:rPr>
          <w:b/>
        </w:rPr>
        <w:t>e)</w:t>
      </w:r>
      <w:r w:rsidRPr="00DC64AB">
        <w:tab/>
      </w:r>
      <w:r w:rsidRPr="00FC7E79">
        <w:rPr>
          <w:b/>
        </w:rPr>
        <w:t>…</w:t>
      </w:r>
    </w:p>
    <w:p w14:paraId="64B3B8E9" w14:textId="77777777" w:rsidR="00B62A45" w:rsidRPr="00BD0EA9" w:rsidRDefault="00B62A45" w:rsidP="00B62A45">
      <w:pPr>
        <w:pStyle w:val="texto"/>
        <w:spacing w:after="80" w:line="208" w:lineRule="exact"/>
        <w:ind w:left="2340" w:hanging="540"/>
        <w:rPr>
          <w:b/>
        </w:rPr>
      </w:pPr>
      <w:r w:rsidRPr="00DC64AB">
        <w:rPr>
          <w:b/>
        </w:rPr>
        <w:t>III.</w:t>
      </w:r>
      <w:r w:rsidRPr="00DC64AB">
        <w:rPr>
          <w:b/>
        </w:rPr>
        <w:tab/>
      </w:r>
      <w:r w:rsidRPr="00FC7E79">
        <w:rPr>
          <w:b/>
        </w:rPr>
        <w:t>…</w:t>
      </w:r>
    </w:p>
    <w:p w14:paraId="5DC9B8A8" w14:textId="77777777" w:rsidR="00B62A45" w:rsidRPr="00BD0EA9" w:rsidRDefault="00B62A45" w:rsidP="00B62A45">
      <w:pPr>
        <w:pStyle w:val="texto"/>
        <w:spacing w:after="80" w:line="208" w:lineRule="exact"/>
        <w:ind w:left="1800" w:firstLine="0"/>
        <w:rPr>
          <w:b/>
        </w:rPr>
      </w:pPr>
      <w:r w:rsidRPr="00FC7E79">
        <w:rPr>
          <w:b/>
        </w:rPr>
        <w:t>…</w:t>
      </w:r>
    </w:p>
    <w:p w14:paraId="1EBDE218" w14:textId="77777777" w:rsidR="00B62A45" w:rsidRPr="00BD0EA9" w:rsidRDefault="00B62A45" w:rsidP="00B62A45">
      <w:pPr>
        <w:pStyle w:val="texto"/>
        <w:spacing w:after="80" w:line="208" w:lineRule="exact"/>
        <w:ind w:left="1800" w:firstLine="0"/>
        <w:rPr>
          <w:b/>
        </w:rPr>
      </w:pPr>
      <w:r w:rsidRPr="00FC7E79">
        <w:rPr>
          <w:b/>
        </w:rPr>
        <w:t>…</w:t>
      </w:r>
    </w:p>
    <w:p w14:paraId="75977D1F" w14:textId="77777777" w:rsidR="00B62A45" w:rsidRPr="00BD0EA9" w:rsidRDefault="00B62A45" w:rsidP="00B62A45">
      <w:pPr>
        <w:pStyle w:val="texto"/>
        <w:spacing w:after="80" w:line="208" w:lineRule="exact"/>
        <w:ind w:left="1800" w:firstLine="0"/>
        <w:rPr>
          <w:b/>
        </w:rPr>
      </w:pPr>
      <w:r w:rsidRPr="00FC7E79">
        <w:rPr>
          <w:b/>
        </w:rPr>
        <w:t>…</w:t>
      </w:r>
    </w:p>
    <w:p w14:paraId="4FA7F643" w14:textId="77777777" w:rsidR="00B62A45" w:rsidRPr="00DC64AB" w:rsidRDefault="00B62A45" w:rsidP="00B62A45">
      <w:pPr>
        <w:pStyle w:val="texto"/>
        <w:spacing w:after="92"/>
        <w:ind w:left="1800" w:firstLine="0"/>
        <w:rPr>
          <w:color w:val="000000"/>
        </w:rPr>
      </w:pPr>
      <w:r w:rsidRPr="00DC64AB">
        <w:rPr>
          <w:i/>
        </w:rPr>
        <w:t>CFF 16-C, 28, Ley del Mercado de Valores 104, RFA, RMF 2023 2.6.1.2., 2.6.1.3., 2.8.1.4., 2.8.1.5.</w:t>
      </w:r>
    </w:p>
    <w:p w14:paraId="799F46AC" w14:textId="77777777" w:rsidR="00B62A45" w:rsidRPr="00DC64AB" w:rsidRDefault="00B62A45" w:rsidP="00B62A45">
      <w:pPr>
        <w:pStyle w:val="texto"/>
        <w:spacing w:after="92" w:line="214" w:lineRule="exact"/>
        <w:ind w:left="1800" w:firstLine="0"/>
        <w:rPr>
          <w:b/>
        </w:rPr>
      </w:pPr>
      <w:r w:rsidRPr="00DC64AB">
        <w:rPr>
          <w:b/>
        </w:rPr>
        <w:t>Títulos valor como garantía del interés fiscal</w:t>
      </w:r>
    </w:p>
    <w:p w14:paraId="6E67289F" w14:textId="77777777" w:rsidR="00B62A45" w:rsidRPr="00BD0EA9" w:rsidRDefault="00B62A45" w:rsidP="00B62A45">
      <w:pPr>
        <w:pStyle w:val="texto"/>
        <w:spacing w:after="92" w:line="214" w:lineRule="exact"/>
        <w:ind w:left="1800" w:hanging="1080"/>
        <w:rPr>
          <w:b/>
        </w:rPr>
      </w:pPr>
      <w:r w:rsidRPr="00DC64AB">
        <w:rPr>
          <w:b/>
        </w:rPr>
        <w:t>2.12.11.</w:t>
      </w:r>
      <w:r w:rsidRPr="00DC64AB">
        <w:tab/>
      </w:r>
      <w:r w:rsidRPr="00FC7E79">
        <w:rPr>
          <w:b/>
        </w:rPr>
        <w:t>…</w:t>
      </w:r>
    </w:p>
    <w:p w14:paraId="068E4A96" w14:textId="77777777" w:rsidR="00B62A45" w:rsidRDefault="00B62A45" w:rsidP="00B62A45">
      <w:pPr>
        <w:pStyle w:val="texto"/>
        <w:spacing w:after="92" w:line="214" w:lineRule="exact"/>
        <w:ind w:left="1800" w:firstLine="0"/>
      </w:pPr>
      <w:r w:rsidRPr="00DC64AB">
        <w:rPr>
          <w:b/>
        </w:rPr>
        <w:t>(Segundo párrafo) Se deroga.</w:t>
      </w:r>
    </w:p>
    <w:p w14:paraId="1BD0027C" w14:textId="77777777" w:rsidR="00B62A45" w:rsidRPr="00DC64AB" w:rsidRDefault="00B62A45" w:rsidP="00B62A45">
      <w:pPr>
        <w:pStyle w:val="texto"/>
        <w:spacing w:after="92" w:line="214" w:lineRule="exact"/>
        <w:ind w:left="1800" w:firstLine="0"/>
      </w:pPr>
      <w:r w:rsidRPr="00DC64AB">
        <w:t>El contribuyente deberá acreditar la imposibilidad de garantizar mediante cualquier otra de las modalidades establecidas en el artículo 141 del CFF, y cumplir con los requisitos previstos en la ficha de trámite 134/CFF “Solicitud para el ofrecimiento, ampliación, sustitución de garantía del interés fiscal y solicitud de avalúo (en caso de ofrecimiento de bienes) o avalúo practicado por personas autorizadas”, contenida en el Anexo 1-A.</w:t>
      </w:r>
    </w:p>
    <w:p w14:paraId="15FC060C" w14:textId="77777777" w:rsidR="00B62A45" w:rsidRPr="00DC64AB" w:rsidRDefault="00B62A45" w:rsidP="00B62A45">
      <w:pPr>
        <w:pStyle w:val="texto"/>
        <w:spacing w:after="92" w:line="214" w:lineRule="exact"/>
        <w:ind w:left="1800" w:firstLine="0"/>
      </w:pPr>
      <w:r w:rsidRPr="00DC64AB">
        <w:t>Si al realizar el proceso de la calificación de la garantía, la autoridad detecta que la información o documentación es inexacta, incompleta, incorrecta o falsa no aceptará la garantía ofrecida; si dicha detección se realiza con posterioridad a su aceptación, la misma quedará sin efectos.</w:t>
      </w:r>
    </w:p>
    <w:p w14:paraId="0080BA47" w14:textId="77777777" w:rsidR="00B62A45" w:rsidRPr="00DC64AB" w:rsidRDefault="00B62A45" w:rsidP="00B62A45">
      <w:pPr>
        <w:pStyle w:val="texto"/>
        <w:spacing w:after="92" w:line="214" w:lineRule="exact"/>
        <w:ind w:left="1800" w:firstLine="0"/>
      </w:pPr>
      <w:r w:rsidRPr="00DC64AB">
        <w:rPr>
          <w:i/>
        </w:rPr>
        <w:t>CFF 141, LGSM 125</w:t>
      </w:r>
    </w:p>
    <w:p w14:paraId="6576E6F2" w14:textId="77777777" w:rsidR="00B62A45" w:rsidRPr="00DC64AB" w:rsidRDefault="00B62A45" w:rsidP="00B62A45">
      <w:pPr>
        <w:pStyle w:val="texto"/>
        <w:spacing w:after="92" w:line="214" w:lineRule="exact"/>
        <w:ind w:left="1800" w:firstLine="0"/>
        <w:rPr>
          <w:b/>
        </w:rPr>
      </w:pPr>
      <w:bookmarkStart w:id="7" w:name="N_Hlk112749047"/>
      <w:r w:rsidRPr="00DC64AB">
        <w:rPr>
          <w:b/>
        </w:rPr>
        <w:t>Supuestos por los que no procede la reducción de multas conforme al artículo 74 del CFF</w:t>
      </w:r>
      <w:bookmarkEnd w:id="7"/>
    </w:p>
    <w:p w14:paraId="1D86B1C0" w14:textId="77777777" w:rsidR="00B62A45" w:rsidRPr="00DC64AB" w:rsidRDefault="00B62A45" w:rsidP="00B62A45">
      <w:pPr>
        <w:pStyle w:val="texto"/>
        <w:spacing w:after="92" w:line="214" w:lineRule="exact"/>
        <w:ind w:left="1800" w:hanging="1080"/>
      </w:pPr>
      <w:r w:rsidRPr="00DC64AB">
        <w:rPr>
          <w:b/>
        </w:rPr>
        <w:t>2.14.6.</w:t>
      </w:r>
      <w:r w:rsidRPr="00DC64AB">
        <w:rPr>
          <w:b/>
        </w:rPr>
        <w:tab/>
      </w:r>
      <w:r w:rsidRPr="00FC7E79">
        <w:rPr>
          <w:b/>
        </w:rPr>
        <w:t>…</w:t>
      </w:r>
    </w:p>
    <w:p w14:paraId="535DDDE7" w14:textId="77777777" w:rsidR="00B62A45" w:rsidRPr="00BD0EA9" w:rsidRDefault="00B62A45" w:rsidP="00B62A45">
      <w:pPr>
        <w:pStyle w:val="texto"/>
        <w:spacing w:after="92" w:line="214" w:lineRule="exact"/>
        <w:ind w:left="1800" w:firstLine="0"/>
        <w:rPr>
          <w:b/>
        </w:rPr>
      </w:pPr>
      <w:r w:rsidRPr="00DC64AB">
        <w:rPr>
          <w:b/>
        </w:rPr>
        <w:t xml:space="preserve">I. </w:t>
      </w:r>
      <w:r w:rsidRPr="00DC64AB">
        <w:t xml:space="preserve">a </w:t>
      </w:r>
      <w:r w:rsidRPr="00DC64AB">
        <w:rPr>
          <w:b/>
        </w:rPr>
        <w:t>VII.</w:t>
      </w:r>
      <w:r>
        <w:t xml:space="preserve"> </w:t>
      </w:r>
      <w:r w:rsidRPr="00FC7E79">
        <w:rPr>
          <w:b/>
        </w:rPr>
        <w:t>…</w:t>
      </w:r>
    </w:p>
    <w:p w14:paraId="5316C7E0" w14:textId="77777777" w:rsidR="00B62A45" w:rsidRPr="00DC64AB" w:rsidRDefault="00B62A45" w:rsidP="00B62A45">
      <w:pPr>
        <w:pStyle w:val="texto"/>
        <w:spacing w:after="92" w:line="214" w:lineRule="exact"/>
        <w:ind w:left="2340" w:hanging="540"/>
        <w:rPr>
          <w:i/>
        </w:rPr>
      </w:pPr>
      <w:r w:rsidRPr="00DC64AB">
        <w:rPr>
          <w:b/>
        </w:rPr>
        <w:t>VIII.</w:t>
      </w:r>
      <w:r w:rsidRPr="00DC64AB">
        <w:tab/>
        <w:t>Respecto de multas que la autoridad fiscal haya autorizado su reducción conforme al artículo 74 del CFF y ésta no haya surtido efectos, porque el contribuyente no realizó el pago de las contribuciones y sus accesorios a su cargo y, en su caso, de la parte no reducida de la multa, en el plazo otorgado.</w:t>
      </w:r>
    </w:p>
    <w:p w14:paraId="2BFEB7DD" w14:textId="77777777" w:rsidR="00B62A45" w:rsidRPr="00DC64AB" w:rsidRDefault="00B62A45" w:rsidP="00B62A45">
      <w:pPr>
        <w:pStyle w:val="texto"/>
        <w:spacing w:after="92" w:line="214" w:lineRule="exact"/>
        <w:ind w:left="1800" w:firstLine="0"/>
      </w:pPr>
      <w:r w:rsidRPr="00DC64AB">
        <w:rPr>
          <w:b/>
        </w:rPr>
        <w:t xml:space="preserve">IX. </w:t>
      </w:r>
      <w:r w:rsidRPr="00DC64AB">
        <w:t>a</w:t>
      </w:r>
      <w:r w:rsidRPr="00DC64AB">
        <w:rPr>
          <w:b/>
        </w:rPr>
        <w:t xml:space="preserve"> X.</w:t>
      </w:r>
      <w:r w:rsidRPr="00DC64AB">
        <w:t xml:space="preserve"> </w:t>
      </w:r>
      <w:r w:rsidRPr="00BD0EA9">
        <w:rPr>
          <w:b/>
        </w:rPr>
        <w:t>...</w:t>
      </w:r>
    </w:p>
    <w:p w14:paraId="65E06ACE" w14:textId="77777777" w:rsidR="00B62A45" w:rsidRPr="00DC64AB" w:rsidRDefault="00B62A45" w:rsidP="00B62A45">
      <w:pPr>
        <w:pStyle w:val="texto"/>
        <w:spacing w:after="92" w:line="214" w:lineRule="exact"/>
        <w:ind w:left="2340" w:hanging="540"/>
      </w:pPr>
      <w:r w:rsidRPr="00DC64AB">
        <w:rPr>
          <w:b/>
        </w:rPr>
        <w:t>XI.</w:t>
      </w:r>
      <w:r w:rsidRPr="00DC64AB">
        <w:tab/>
        <w:t>Tratándose de obligaciones fiscales federales distintas a la obligación de pago, si no ha cumplido con la obligación que dio origen a la imposición de la multa.</w:t>
      </w:r>
    </w:p>
    <w:p w14:paraId="6D6E52A6" w14:textId="77777777" w:rsidR="00B62A45" w:rsidRPr="00DC64AB" w:rsidRDefault="00B62A45" w:rsidP="00B62A45">
      <w:pPr>
        <w:pStyle w:val="texto"/>
        <w:spacing w:after="92" w:line="214" w:lineRule="exact"/>
        <w:ind w:left="1800" w:firstLine="0"/>
      </w:pPr>
      <w:r w:rsidRPr="00DC64AB">
        <w:rPr>
          <w:i/>
        </w:rPr>
        <w:t>CFF 50, 53-B, 69-B, 74, 75, 95</w:t>
      </w:r>
    </w:p>
    <w:p w14:paraId="3C65A723" w14:textId="77777777" w:rsidR="00B62A45" w:rsidRPr="00DC64AB" w:rsidRDefault="00B62A45" w:rsidP="00B62A45">
      <w:pPr>
        <w:pStyle w:val="texto"/>
        <w:spacing w:after="92" w:line="214" w:lineRule="exact"/>
        <w:ind w:left="1800" w:firstLine="0"/>
        <w:rPr>
          <w:b/>
        </w:rPr>
      </w:pPr>
      <w:r w:rsidRPr="00DC64AB">
        <w:rPr>
          <w:b/>
        </w:rPr>
        <w:t>Reducción de multas conforme al artículo 74 del CFF, por incumplimiento de obligaciones fiscales federales distintas a las obligaciones de pago, con motivo de la vigilancia en materia de presentación de declaraciones</w:t>
      </w:r>
    </w:p>
    <w:p w14:paraId="22C9B4DF" w14:textId="77777777" w:rsidR="00B62A45" w:rsidRPr="00BD0EA9" w:rsidRDefault="00B62A45" w:rsidP="00B62A45">
      <w:pPr>
        <w:pStyle w:val="texto"/>
        <w:spacing w:after="92" w:line="214" w:lineRule="exact"/>
        <w:ind w:left="1800" w:hanging="1080"/>
        <w:rPr>
          <w:b/>
        </w:rPr>
      </w:pPr>
      <w:r w:rsidRPr="00DC64AB">
        <w:rPr>
          <w:b/>
        </w:rPr>
        <w:t>2.14.14.</w:t>
      </w:r>
      <w:r w:rsidRPr="00DC64AB">
        <w:rPr>
          <w:b/>
        </w:rPr>
        <w:tab/>
      </w:r>
      <w:r w:rsidRPr="00FC7E79">
        <w:rPr>
          <w:b/>
        </w:rPr>
        <w:t>…</w:t>
      </w:r>
    </w:p>
    <w:p w14:paraId="2F2C899B" w14:textId="77777777" w:rsidR="00B62A45" w:rsidRPr="00BD0EA9" w:rsidRDefault="00B62A45" w:rsidP="00B62A45">
      <w:pPr>
        <w:pStyle w:val="texto"/>
        <w:spacing w:after="92" w:line="214" w:lineRule="exact"/>
        <w:ind w:left="1800" w:firstLine="0"/>
        <w:rPr>
          <w:b/>
        </w:rPr>
      </w:pPr>
      <w:r w:rsidRPr="00FC7E79">
        <w:rPr>
          <w:b/>
        </w:rPr>
        <w:t>…</w:t>
      </w:r>
    </w:p>
    <w:p w14:paraId="5AA7DACB" w14:textId="77777777" w:rsidR="00B62A45" w:rsidRPr="00BD0EA9" w:rsidRDefault="00B62A45" w:rsidP="00B62A45">
      <w:pPr>
        <w:pStyle w:val="texto"/>
        <w:spacing w:after="92" w:line="214" w:lineRule="exact"/>
        <w:ind w:left="1800" w:firstLine="0"/>
        <w:rPr>
          <w:b/>
        </w:rPr>
      </w:pPr>
      <w:r w:rsidRPr="00FC7E79">
        <w:rPr>
          <w:b/>
        </w:rPr>
        <w:t>…</w:t>
      </w:r>
    </w:p>
    <w:p w14:paraId="748195A1" w14:textId="77777777" w:rsidR="00B62A45" w:rsidRPr="00BD0EA9" w:rsidRDefault="00B62A45" w:rsidP="00B62A45">
      <w:pPr>
        <w:pStyle w:val="texto"/>
        <w:spacing w:after="92" w:line="214" w:lineRule="exact"/>
        <w:ind w:left="1800" w:firstLine="0"/>
        <w:rPr>
          <w:b/>
        </w:rPr>
      </w:pPr>
      <w:r w:rsidRPr="00FC7E79">
        <w:rPr>
          <w:b/>
        </w:rPr>
        <w:t>…</w:t>
      </w:r>
    </w:p>
    <w:p w14:paraId="2A56334E" w14:textId="77777777" w:rsidR="00B62A45" w:rsidRPr="00BD0EA9" w:rsidRDefault="00B62A45" w:rsidP="00B62A45">
      <w:pPr>
        <w:pStyle w:val="texto"/>
        <w:spacing w:after="92" w:line="214" w:lineRule="exact"/>
        <w:ind w:left="1800" w:firstLine="0"/>
        <w:rPr>
          <w:b/>
        </w:rPr>
      </w:pPr>
      <w:r w:rsidRPr="00FC7E79">
        <w:rPr>
          <w:b/>
        </w:rPr>
        <w:t>…</w:t>
      </w:r>
    </w:p>
    <w:p w14:paraId="47FB0DE1" w14:textId="77777777" w:rsidR="00B62A45" w:rsidRPr="00DC64AB" w:rsidRDefault="00B62A45" w:rsidP="00B62A45">
      <w:pPr>
        <w:pStyle w:val="texto"/>
        <w:spacing w:after="92" w:line="214" w:lineRule="exact"/>
        <w:ind w:left="1800" w:firstLine="0"/>
      </w:pPr>
      <w:r w:rsidRPr="00DC64AB">
        <w:t>Para los efectos de esta regla no será aplicable lo dispuesto en las reglas 2.14.6. y 2.14.7., fracción II.</w:t>
      </w:r>
    </w:p>
    <w:p w14:paraId="055042B7" w14:textId="77777777" w:rsidR="00B62A45" w:rsidRPr="00DC64AB" w:rsidRDefault="00B62A45" w:rsidP="00B62A45">
      <w:pPr>
        <w:pStyle w:val="texto"/>
        <w:spacing w:after="92" w:line="214" w:lineRule="exact"/>
        <w:ind w:left="1800" w:firstLine="0"/>
      </w:pPr>
      <w:r w:rsidRPr="00DC64AB">
        <w:rPr>
          <w:i/>
        </w:rPr>
        <w:t>CFF 41, 74, 82, RMF 2023 2.14.6., 2.14.7.</w:t>
      </w:r>
    </w:p>
    <w:p w14:paraId="731C0F04" w14:textId="77777777" w:rsidR="00B62A45" w:rsidRPr="00DC64AB" w:rsidRDefault="00B62A45" w:rsidP="00B62A45">
      <w:pPr>
        <w:pStyle w:val="texto"/>
        <w:spacing w:after="92" w:line="214" w:lineRule="exact"/>
        <w:ind w:left="1800" w:firstLine="0"/>
        <w:rPr>
          <w:b/>
        </w:rPr>
      </w:pPr>
      <w:r w:rsidRPr="00DC64AB">
        <w:rPr>
          <w:b/>
        </w:rPr>
        <w:t>Verificación del cumplimiento de requisitos y obligaciones del emisor autorizado de monederos electrónicos utilizados en la adquisición de combustibles para vehículos marítimos, aéreos y terrestres</w:t>
      </w:r>
    </w:p>
    <w:p w14:paraId="1678F08F" w14:textId="77777777" w:rsidR="00B62A45" w:rsidRPr="00BD0EA9" w:rsidRDefault="00B62A45" w:rsidP="00B62A45">
      <w:pPr>
        <w:pStyle w:val="texto"/>
        <w:spacing w:after="92" w:line="214" w:lineRule="exact"/>
        <w:ind w:left="1800" w:hanging="1080"/>
        <w:rPr>
          <w:b/>
        </w:rPr>
      </w:pPr>
      <w:r w:rsidRPr="00DC64AB">
        <w:rPr>
          <w:b/>
        </w:rPr>
        <w:lastRenderedPageBreak/>
        <w:t>3.3.1.11.</w:t>
      </w:r>
      <w:r w:rsidRPr="00DC64AB">
        <w:rPr>
          <w:b/>
        </w:rPr>
        <w:tab/>
      </w:r>
      <w:r w:rsidRPr="00BD0EA9">
        <w:rPr>
          <w:b/>
        </w:rPr>
        <w:t>...</w:t>
      </w:r>
    </w:p>
    <w:p w14:paraId="38B16B33" w14:textId="77777777" w:rsidR="00B62A45" w:rsidRPr="00BD0EA9" w:rsidRDefault="00B62A45" w:rsidP="00B62A45">
      <w:pPr>
        <w:pStyle w:val="texto"/>
        <w:spacing w:after="92" w:line="214" w:lineRule="exact"/>
        <w:ind w:left="1800" w:firstLine="0"/>
        <w:rPr>
          <w:b/>
        </w:rPr>
      </w:pPr>
      <w:r w:rsidRPr="00FC7E79">
        <w:rPr>
          <w:b/>
        </w:rPr>
        <w:t>…</w:t>
      </w:r>
    </w:p>
    <w:p w14:paraId="096A67C9" w14:textId="77777777" w:rsidR="00B62A45" w:rsidRPr="00DC64AB" w:rsidRDefault="00B62A45" w:rsidP="00B62A45">
      <w:pPr>
        <w:pStyle w:val="texto"/>
        <w:spacing w:after="92" w:line="214" w:lineRule="exact"/>
        <w:ind w:left="1800" w:firstLine="0"/>
      </w:pPr>
      <w:r w:rsidRPr="00DC64AB">
        <w:t>Si el emisor autorizado presenta la información y documentación para solventar los incumplimientos detectados fuera del plazo a que se refiere la fracción III de esta regla, la misma se tendrá por no presentada y se emitirá el oficio de opinión técnica final de la verificación.</w:t>
      </w:r>
    </w:p>
    <w:p w14:paraId="521C3ED8" w14:textId="77777777" w:rsidR="00B62A45" w:rsidRPr="00BD0EA9" w:rsidRDefault="00B62A45" w:rsidP="00B62A45">
      <w:pPr>
        <w:pStyle w:val="texto"/>
        <w:spacing w:after="92" w:line="214" w:lineRule="exact"/>
        <w:ind w:left="1800" w:firstLine="0"/>
        <w:rPr>
          <w:b/>
        </w:rPr>
      </w:pPr>
      <w:r w:rsidRPr="00FC7E79">
        <w:rPr>
          <w:b/>
        </w:rPr>
        <w:t>…</w:t>
      </w:r>
    </w:p>
    <w:p w14:paraId="20A3C07C" w14:textId="77777777" w:rsidR="00B62A45" w:rsidRPr="00BD0EA9" w:rsidRDefault="00B62A45" w:rsidP="00B62A45">
      <w:pPr>
        <w:pStyle w:val="texto"/>
        <w:spacing w:after="92" w:line="214" w:lineRule="exact"/>
        <w:ind w:left="1800" w:firstLine="0"/>
        <w:rPr>
          <w:b/>
        </w:rPr>
      </w:pPr>
      <w:r w:rsidRPr="00FC7E79">
        <w:rPr>
          <w:b/>
        </w:rPr>
        <w:t>…</w:t>
      </w:r>
    </w:p>
    <w:p w14:paraId="451C0A9F" w14:textId="77777777" w:rsidR="00B62A45" w:rsidRPr="00BD0EA9" w:rsidRDefault="00B62A45" w:rsidP="00B62A45">
      <w:pPr>
        <w:pStyle w:val="texto"/>
        <w:spacing w:after="92" w:line="214" w:lineRule="exact"/>
        <w:ind w:left="1800" w:firstLine="0"/>
        <w:rPr>
          <w:b/>
        </w:rPr>
      </w:pPr>
      <w:r w:rsidRPr="00FC7E79">
        <w:rPr>
          <w:b/>
        </w:rPr>
        <w:t>…</w:t>
      </w:r>
    </w:p>
    <w:p w14:paraId="5FD04ABB" w14:textId="77777777" w:rsidR="00B62A45" w:rsidRPr="00BD0EA9" w:rsidRDefault="00B62A45" w:rsidP="00B62A45">
      <w:pPr>
        <w:pStyle w:val="texto"/>
        <w:spacing w:after="92" w:line="214" w:lineRule="exact"/>
        <w:ind w:left="1800" w:firstLine="0"/>
        <w:rPr>
          <w:b/>
        </w:rPr>
      </w:pPr>
      <w:r w:rsidRPr="00FC7E79">
        <w:rPr>
          <w:b/>
        </w:rPr>
        <w:t>…</w:t>
      </w:r>
    </w:p>
    <w:p w14:paraId="54CFC106" w14:textId="77777777" w:rsidR="00B62A45" w:rsidRPr="00DC64AB" w:rsidRDefault="00B62A45" w:rsidP="00B62A45">
      <w:pPr>
        <w:pStyle w:val="texto"/>
        <w:spacing w:after="92"/>
        <w:ind w:left="1800" w:firstLine="0"/>
        <w:rPr>
          <w:color w:val="000000"/>
        </w:rPr>
      </w:pPr>
      <w:r w:rsidRPr="00DC64AB">
        <w:rPr>
          <w:i/>
        </w:rPr>
        <w:t>LISR 27, RMF 2023 3.3.1.9.</w:t>
      </w:r>
    </w:p>
    <w:p w14:paraId="412CDBE5" w14:textId="77777777" w:rsidR="00B62A45" w:rsidRPr="00DC64AB" w:rsidRDefault="00B62A45" w:rsidP="00B62A45">
      <w:pPr>
        <w:pStyle w:val="texto"/>
        <w:spacing w:after="92" w:line="227" w:lineRule="exact"/>
        <w:ind w:left="1800" w:firstLine="0"/>
        <w:rPr>
          <w:b/>
        </w:rPr>
      </w:pPr>
      <w:r w:rsidRPr="00DC64AB">
        <w:rPr>
          <w:b/>
        </w:rPr>
        <w:t>Verificación del cumplimiento de requisitos y obligaciones del emisor autorizado de monederos electrónicos de vales de despensa</w:t>
      </w:r>
    </w:p>
    <w:p w14:paraId="70FCBC6D" w14:textId="77777777" w:rsidR="00B62A45" w:rsidRPr="00BD0EA9" w:rsidRDefault="00B62A45" w:rsidP="00B62A45">
      <w:pPr>
        <w:pStyle w:val="texto"/>
        <w:spacing w:after="92" w:line="227" w:lineRule="exact"/>
        <w:ind w:left="1800" w:hanging="1080"/>
        <w:rPr>
          <w:b/>
        </w:rPr>
      </w:pPr>
      <w:r w:rsidRPr="00DC64AB">
        <w:rPr>
          <w:b/>
        </w:rPr>
        <w:t>3.3.1.20.</w:t>
      </w:r>
      <w:r w:rsidRPr="00DC64AB">
        <w:rPr>
          <w:b/>
        </w:rPr>
        <w:tab/>
      </w:r>
      <w:r w:rsidRPr="00FC7E79">
        <w:rPr>
          <w:b/>
        </w:rPr>
        <w:t>…</w:t>
      </w:r>
    </w:p>
    <w:p w14:paraId="2AD59271" w14:textId="77777777" w:rsidR="00B62A45" w:rsidRPr="00BD0EA9" w:rsidRDefault="00B62A45" w:rsidP="00B62A45">
      <w:pPr>
        <w:pStyle w:val="texto"/>
        <w:spacing w:after="92" w:line="227" w:lineRule="exact"/>
        <w:ind w:left="1800" w:firstLine="0"/>
        <w:rPr>
          <w:b/>
        </w:rPr>
      </w:pPr>
      <w:r w:rsidRPr="00FC7E79">
        <w:rPr>
          <w:b/>
        </w:rPr>
        <w:t>…</w:t>
      </w:r>
    </w:p>
    <w:p w14:paraId="5E5FC1CE" w14:textId="77777777" w:rsidR="00B62A45" w:rsidRPr="00DC64AB" w:rsidRDefault="00B62A45" w:rsidP="00B62A45">
      <w:pPr>
        <w:pStyle w:val="texto"/>
        <w:spacing w:after="92" w:line="227" w:lineRule="exact"/>
        <w:ind w:left="1800" w:firstLine="0"/>
      </w:pPr>
      <w:r w:rsidRPr="00DC64AB">
        <w:t>Si el emisor autorizado presenta la información y documentación para solventar los incumplimientos detectados fuera del plazo a que se refiere la fracción III de esta regla, la misma se tendrá por no presentada y se emitirá el oficio de opinión técnica final de la verificación.</w:t>
      </w:r>
    </w:p>
    <w:p w14:paraId="1A9AE3FD" w14:textId="77777777" w:rsidR="00B62A45" w:rsidRPr="00BD0EA9" w:rsidRDefault="00B62A45" w:rsidP="00B62A45">
      <w:pPr>
        <w:pStyle w:val="texto"/>
        <w:spacing w:after="92" w:line="227" w:lineRule="exact"/>
        <w:ind w:left="1800" w:firstLine="0"/>
        <w:rPr>
          <w:b/>
        </w:rPr>
      </w:pPr>
      <w:r w:rsidRPr="00FC7E79">
        <w:rPr>
          <w:b/>
        </w:rPr>
        <w:t>…</w:t>
      </w:r>
    </w:p>
    <w:p w14:paraId="432926D2" w14:textId="77777777" w:rsidR="00B62A45" w:rsidRPr="00BD0EA9" w:rsidRDefault="00B62A45" w:rsidP="00B62A45">
      <w:pPr>
        <w:pStyle w:val="texto"/>
        <w:spacing w:after="92" w:line="227" w:lineRule="exact"/>
        <w:ind w:left="1800" w:firstLine="0"/>
        <w:rPr>
          <w:b/>
        </w:rPr>
      </w:pPr>
      <w:r w:rsidRPr="00FC7E79">
        <w:rPr>
          <w:b/>
        </w:rPr>
        <w:t>…</w:t>
      </w:r>
    </w:p>
    <w:p w14:paraId="1CC30BD3" w14:textId="77777777" w:rsidR="00B62A45" w:rsidRPr="00BD0EA9" w:rsidRDefault="00B62A45" w:rsidP="00B62A45">
      <w:pPr>
        <w:pStyle w:val="texto"/>
        <w:spacing w:after="92" w:line="227" w:lineRule="exact"/>
        <w:ind w:left="1800" w:firstLine="0"/>
        <w:rPr>
          <w:b/>
        </w:rPr>
      </w:pPr>
      <w:r w:rsidRPr="00FC7E79">
        <w:rPr>
          <w:b/>
        </w:rPr>
        <w:t>…</w:t>
      </w:r>
    </w:p>
    <w:p w14:paraId="01A966B6" w14:textId="77777777" w:rsidR="00B62A45" w:rsidRPr="00BD0EA9" w:rsidRDefault="00B62A45" w:rsidP="00B62A45">
      <w:pPr>
        <w:pStyle w:val="texto"/>
        <w:spacing w:after="92" w:line="227" w:lineRule="exact"/>
        <w:ind w:left="1800" w:firstLine="0"/>
        <w:rPr>
          <w:b/>
        </w:rPr>
      </w:pPr>
      <w:r w:rsidRPr="00FC7E79">
        <w:rPr>
          <w:b/>
        </w:rPr>
        <w:t>…</w:t>
      </w:r>
    </w:p>
    <w:p w14:paraId="5AD60B6A" w14:textId="77777777" w:rsidR="00B62A45" w:rsidRPr="00DC64AB" w:rsidRDefault="00B62A45" w:rsidP="00B62A45">
      <w:pPr>
        <w:pStyle w:val="texto"/>
        <w:spacing w:after="92" w:line="227" w:lineRule="exact"/>
        <w:ind w:left="1800" w:firstLine="0"/>
        <w:rPr>
          <w:color w:val="000000"/>
        </w:rPr>
      </w:pPr>
      <w:r w:rsidRPr="00DC64AB">
        <w:rPr>
          <w:i/>
        </w:rPr>
        <w:t>LISR 27, RMF 2023 3.3.1.18.</w:t>
      </w:r>
    </w:p>
    <w:p w14:paraId="6080BD4B" w14:textId="77777777" w:rsidR="00B62A45" w:rsidRPr="00DC64AB" w:rsidRDefault="00B62A45" w:rsidP="00B62A45">
      <w:pPr>
        <w:pStyle w:val="texto"/>
        <w:spacing w:after="92" w:line="227" w:lineRule="exact"/>
        <w:ind w:left="1800" w:firstLine="0"/>
        <w:rPr>
          <w:b/>
        </w:rPr>
      </w:pPr>
      <w:r w:rsidRPr="00DC64AB">
        <w:rPr>
          <w:b/>
        </w:rPr>
        <w:t>Procedimiento que pueden observar los emisores autorizados de monederos electrónicos utilizados en la adquisición de combustibles para vehículos marítimos, aéreos y terrestres a efecto de solventar los incumplimientos determinados en el oficio de opinión técnica final de la verificación, emitido por la ACSMC de la AGCTI</w:t>
      </w:r>
    </w:p>
    <w:p w14:paraId="45EADF1B" w14:textId="77777777" w:rsidR="00B62A45" w:rsidRPr="00BD0EA9" w:rsidRDefault="00B62A45" w:rsidP="00B62A45">
      <w:pPr>
        <w:pStyle w:val="texto"/>
        <w:spacing w:after="92" w:line="227" w:lineRule="exact"/>
        <w:ind w:left="1800" w:hanging="1080"/>
        <w:rPr>
          <w:b/>
        </w:rPr>
      </w:pPr>
      <w:r w:rsidRPr="00DC64AB">
        <w:rPr>
          <w:b/>
        </w:rPr>
        <w:t>3.3.1.43.</w:t>
      </w:r>
      <w:r w:rsidRPr="00DC64AB">
        <w:tab/>
      </w:r>
      <w:r w:rsidRPr="00FC7E79">
        <w:rPr>
          <w:b/>
        </w:rPr>
        <w:t>…</w:t>
      </w:r>
    </w:p>
    <w:p w14:paraId="5E7DE81F" w14:textId="77777777" w:rsidR="00B62A45" w:rsidRPr="00DC64AB" w:rsidRDefault="00B62A45" w:rsidP="00B62A45">
      <w:pPr>
        <w:pStyle w:val="texto"/>
        <w:spacing w:after="92" w:line="227" w:lineRule="exact"/>
        <w:ind w:left="1800" w:firstLine="0"/>
      </w:pPr>
      <w:r w:rsidRPr="00DC64AB">
        <w:t>Dentro de los veinte días hábiles siguientes a aquel en que surta efectos la notificación del oficio de opinión técnica final de la verificación, emitido por la ACSMC de la AGCTI, podrán enviar a la AGJ, de conformidad con la ficha de trámite 148/ISR “Informe para solventar los incumplimientos tecnológicos determinados al emisor autorizado de monederos electrónicos utilizados en la adquisición de combustibles para vehículos marítimos, aéreos y terrestres”, contenida en el Anexo 1-A, la documentación e información con la que acrediten haber subsanado los incumplimientos determinados en el oficio de opinión técnica final de la verificación.</w:t>
      </w:r>
    </w:p>
    <w:p w14:paraId="1F3EDAE2" w14:textId="77777777" w:rsidR="00B62A45" w:rsidRPr="00BD0EA9" w:rsidRDefault="00B62A45" w:rsidP="00B62A45">
      <w:pPr>
        <w:pStyle w:val="texto"/>
        <w:spacing w:after="92" w:line="227" w:lineRule="exact"/>
        <w:ind w:left="1800" w:firstLine="0"/>
        <w:rPr>
          <w:b/>
        </w:rPr>
      </w:pPr>
      <w:r w:rsidRPr="00FC7E79">
        <w:rPr>
          <w:b/>
        </w:rPr>
        <w:t>…</w:t>
      </w:r>
    </w:p>
    <w:p w14:paraId="495FDFFA" w14:textId="77777777" w:rsidR="00B62A45" w:rsidRPr="00BD0EA9" w:rsidRDefault="00B62A45" w:rsidP="00B62A45">
      <w:pPr>
        <w:pStyle w:val="texto"/>
        <w:spacing w:after="92" w:line="227" w:lineRule="exact"/>
        <w:ind w:left="1800" w:firstLine="0"/>
        <w:rPr>
          <w:b/>
        </w:rPr>
      </w:pPr>
      <w:r w:rsidRPr="00FC7E79">
        <w:rPr>
          <w:b/>
        </w:rPr>
        <w:t>…</w:t>
      </w:r>
    </w:p>
    <w:p w14:paraId="7E20456B" w14:textId="77777777" w:rsidR="00B62A45" w:rsidRPr="00BD0EA9" w:rsidRDefault="00B62A45" w:rsidP="00B62A45">
      <w:pPr>
        <w:pStyle w:val="texto"/>
        <w:spacing w:after="92" w:line="227" w:lineRule="exact"/>
        <w:ind w:left="1800" w:firstLine="0"/>
        <w:rPr>
          <w:b/>
        </w:rPr>
      </w:pPr>
      <w:r w:rsidRPr="00FC7E79">
        <w:rPr>
          <w:b/>
        </w:rPr>
        <w:t>…</w:t>
      </w:r>
    </w:p>
    <w:p w14:paraId="371424A4" w14:textId="77777777" w:rsidR="00B62A45" w:rsidRPr="00BD0EA9" w:rsidRDefault="00B62A45" w:rsidP="00B62A45">
      <w:pPr>
        <w:pStyle w:val="texto"/>
        <w:spacing w:after="92" w:line="227" w:lineRule="exact"/>
        <w:ind w:left="1800" w:firstLine="0"/>
        <w:rPr>
          <w:b/>
        </w:rPr>
      </w:pPr>
      <w:r w:rsidRPr="00FC7E79">
        <w:rPr>
          <w:b/>
        </w:rPr>
        <w:t>…</w:t>
      </w:r>
    </w:p>
    <w:p w14:paraId="1ACE6A58" w14:textId="77777777" w:rsidR="00B62A45" w:rsidRPr="00DC64AB" w:rsidRDefault="00B62A45" w:rsidP="00B62A45">
      <w:pPr>
        <w:pStyle w:val="texto"/>
        <w:spacing w:after="92" w:line="227" w:lineRule="exact"/>
        <w:ind w:left="1800" w:firstLine="0"/>
        <w:rPr>
          <w:color w:val="000000"/>
        </w:rPr>
      </w:pPr>
      <w:r w:rsidRPr="00DC64AB">
        <w:rPr>
          <w:i/>
        </w:rPr>
        <w:t>RMF 2023 3.3.1.11., 3.3.1.37.</w:t>
      </w:r>
    </w:p>
    <w:p w14:paraId="7BD25F5F" w14:textId="77777777" w:rsidR="00B62A45" w:rsidRPr="00DC64AB" w:rsidRDefault="00B62A45" w:rsidP="00B62A45">
      <w:pPr>
        <w:pStyle w:val="texto"/>
        <w:spacing w:after="92" w:line="227" w:lineRule="exact"/>
        <w:ind w:left="1800" w:firstLine="0"/>
        <w:rPr>
          <w:b/>
        </w:rPr>
      </w:pPr>
      <w:r w:rsidRPr="00DC64AB">
        <w:rPr>
          <w:b/>
        </w:rPr>
        <w:t>Procedimiento que pueden observar los emisores autorizados de monederos electrónicos de vales de despensa a efecto de solventar los incumplimientos determinados en el oficio de opinión técnica final de la verificación emitido por la ACSMC de la AGCTI</w:t>
      </w:r>
    </w:p>
    <w:p w14:paraId="50A1C290" w14:textId="77777777" w:rsidR="00B62A45" w:rsidRPr="00BD0EA9" w:rsidRDefault="00B62A45" w:rsidP="00B62A45">
      <w:pPr>
        <w:pStyle w:val="texto"/>
        <w:spacing w:after="92" w:line="227" w:lineRule="exact"/>
        <w:ind w:left="1800" w:hanging="1080"/>
        <w:rPr>
          <w:b/>
        </w:rPr>
      </w:pPr>
      <w:r w:rsidRPr="00DC64AB">
        <w:rPr>
          <w:b/>
        </w:rPr>
        <w:lastRenderedPageBreak/>
        <w:t>3.3.1.44.</w:t>
      </w:r>
      <w:r w:rsidRPr="00DC64AB">
        <w:tab/>
      </w:r>
      <w:r w:rsidRPr="00FC7E79">
        <w:rPr>
          <w:b/>
        </w:rPr>
        <w:t>…</w:t>
      </w:r>
    </w:p>
    <w:p w14:paraId="68B1DC50" w14:textId="77777777" w:rsidR="00B62A45" w:rsidRPr="00DC64AB" w:rsidRDefault="00B62A45" w:rsidP="00B62A45">
      <w:pPr>
        <w:pStyle w:val="texto"/>
        <w:spacing w:after="92" w:line="227" w:lineRule="exact"/>
        <w:ind w:left="1800" w:firstLine="0"/>
      </w:pPr>
      <w:r w:rsidRPr="00DC64AB">
        <w:t>Dentro de los veinte días hábiles siguientes a aquel en que surta efectos la notificación del oficio de opinión técnica final de la verificación emitido por la ACSMC de la AGCTI, podrán enviar a la AGJ, de conformidad con la ficha de trámite 149/ISR “Informe para solventar los incumplimientos tecnológicos determinados al emisor autorizado de monederos electrónicos de vales de despensa”, contenida en el Anexo 1-A, la documentación e información con la que acrediten haber subsanado los incumplimientos determinados en el oficio de opinión técnica final de la verificación.</w:t>
      </w:r>
    </w:p>
    <w:p w14:paraId="0A5DC647" w14:textId="77777777" w:rsidR="00B62A45" w:rsidRPr="00BD0EA9" w:rsidRDefault="00B62A45" w:rsidP="00B62A45">
      <w:pPr>
        <w:pStyle w:val="texto"/>
        <w:spacing w:after="92" w:line="227" w:lineRule="exact"/>
        <w:ind w:left="1800" w:firstLine="0"/>
        <w:rPr>
          <w:b/>
        </w:rPr>
      </w:pPr>
      <w:r w:rsidRPr="00FC7E79">
        <w:rPr>
          <w:b/>
        </w:rPr>
        <w:t>…</w:t>
      </w:r>
    </w:p>
    <w:p w14:paraId="4A8C43C5" w14:textId="77777777" w:rsidR="00B62A45" w:rsidRPr="00BD0EA9" w:rsidRDefault="00B62A45" w:rsidP="00B62A45">
      <w:pPr>
        <w:pStyle w:val="texto"/>
        <w:spacing w:after="92" w:line="227" w:lineRule="exact"/>
        <w:ind w:left="1800" w:firstLine="0"/>
        <w:rPr>
          <w:b/>
        </w:rPr>
      </w:pPr>
      <w:r w:rsidRPr="00FC7E79">
        <w:rPr>
          <w:b/>
        </w:rPr>
        <w:t>…</w:t>
      </w:r>
    </w:p>
    <w:p w14:paraId="0210BC54" w14:textId="77777777" w:rsidR="00B62A45" w:rsidRPr="00BD0EA9" w:rsidRDefault="00B62A45" w:rsidP="00B62A45">
      <w:pPr>
        <w:pStyle w:val="texto"/>
        <w:spacing w:after="92" w:line="227" w:lineRule="exact"/>
        <w:ind w:left="1800" w:firstLine="0"/>
        <w:rPr>
          <w:b/>
        </w:rPr>
      </w:pPr>
      <w:r w:rsidRPr="00FC7E79">
        <w:rPr>
          <w:b/>
        </w:rPr>
        <w:t>…</w:t>
      </w:r>
    </w:p>
    <w:p w14:paraId="57159B3C" w14:textId="77777777" w:rsidR="00B62A45" w:rsidRPr="00BD0EA9" w:rsidRDefault="00B62A45" w:rsidP="00B62A45">
      <w:pPr>
        <w:pStyle w:val="texto"/>
        <w:spacing w:after="92" w:line="227" w:lineRule="exact"/>
        <w:ind w:left="1800" w:firstLine="0"/>
        <w:rPr>
          <w:b/>
        </w:rPr>
      </w:pPr>
      <w:r w:rsidRPr="00FC7E79">
        <w:rPr>
          <w:b/>
        </w:rPr>
        <w:t>…</w:t>
      </w:r>
    </w:p>
    <w:p w14:paraId="72F139E4" w14:textId="77777777" w:rsidR="00B62A45" w:rsidRPr="00DC64AB" w:rsidRDefault="00B62A45" w:rsidP="00B62A45">
      <w:pPr>
        <w:pStyle w:val="texto"/>
        <w:spacing w:after="92" w:line="227" w:lineRule="exact"/>
        <w:ind w:left="1800" w:firstLine="0"/>
        <w:rPr>
          <w:color w:val="000000"/>
        </w:rPr>
      </w:pPr>
      <w:r w:rsidRPr="00DC64AB">
        <w:rPr>
          <w:i/>
        </w:rPr>
        <w:t>RMF 2023 3.3.1.20., 3.3.1.38.</w:t>
      </w:r>
    </w:p>
    <w:p w14:paraId="2B46E2A8" w14:textId="77777777" w:rsidR="00B62A45" w:rsidRDefault="00B62A45" w:rsidP="00B62A45">
      <w:pPr>
        <w:pStyle w:val="texto"/>
        <w:spacing w:after="92" w:line="224" w:lineRule="exact"/>
        <w:ind w:left="1800" w:firstLine="0"/>
        <w:rPr>
          <w:b/>
        </w:rPr>
      </w:pPr>
      <w:r w:rsidRPr="00DC64AB">
        <w:rPr>
          <w:b/>
        </w:rPr>
        <w:t>Determinación del ISR de las personas morales del régimen de actividades agrícolas, ganaderas, silvícolas o pesqueras</w:t>
      </w:r>
    </w:p>
    <w:p w14:paraId="59720033" w14:textId="77777777" w:rsidR="00B62A45" w:rsidRPr="00BD0EA9" w:rsidRDefault="00B62A45" w:rsidP="00B62A45">
      <w:pPr>
        <w:pStyle w:val="texto"/>
        <w:spacing w:after="92" w:line="224" w:lineRule="exact"/>
        <w:ind w:left="1800" w:hanging="1080"/>
        <w:rPr>
          <w:b/>
        </w:rPr>
      </w:pPr>
      <w:r w:rsidRPr="00DC64AB">
        <w:rPr>
          <w:b/>
        </w:rPr>
        <w:t>3.8.1.</w:t>
      </w:r>
      <w:r w:rsidRPr="00DC64AB">
        <w:tab/>
      </w:r>
      <w:r w:rsidRPr="00FC7E79">
        <w:rPr>
          <w:b/>
        </w:rPr>
        <w:t>…</w:t>
      </w:r>
    </w:p>
    <w:p w14:paraId="057E9513" w14:textId="77777777" w:rsidR="00B62A45" w:rsidRPr="00BD0EA9" w:rsidRDefault="00B62A45" w:rsidP="00B62A45">
      <w:pPr>
        <w:pStyle w:val="texto"/>
        <w:spacing w:after="92" w:line="224" w:lineRule="exact"/>
        <w:ind w:left="1800" w:firstLine="0"/>
        <w:rPr>
          <w:b/>
        </w:rPr>
      </w:pPr>
      <w:r w:rsidRPr="00FC7E79">
        <w:rPr>
          <w:b/>
        </w:rPr>
        <w:t>…</w:t>
      </w:r>
    </w:p>
    <w:p w14:paraId="6429A6A2" w14:textId="77777777" w:rsidR="00B62A45" w:rsidRPr="00DC64AB" w:rsidRDefault="00B62A45" w:rsidP="00B62A45">
      <w:pPr>
        <w:pStyle w:val="texto"/>
        <w:spacing w:after="92" w:line="224" w:lineRule="exact"/>
        <w:ind w:left="1800" w:firstLine="0"/>
      </w:pPr>
      <w:r w:rsidRPr="00DC64AB">
        <w:t>Para los efectos del artículo 74, fracción I de la Ley del ISR, así como de la regla 1.3. de la RFA, para realizar el cálculo de los pagos provisionales del ISR, las referencias a la UMA a que se refiere la presente regla corresponderán a la periodicidad con la que se hagan los pagos provisionales, ya sean mensuales o semestrales, según corresponda.</w:t>
      </w:r>
    </w:p>
    <w:p w14:paraId="2CEA7F8D" w14:textId="77777777" w:rsidR="00B62A45" w:rsidRPr="00DC64AB" w:rsidRDefault="00B62A45" w:rsidP="00B62A45">
      <w:pPr>
        <w:pStyle w:val="texto"/>
        <w:spacing w:after="92" w:line="224" w:lineRule="exact"/>
        <w:ind w:left="1800" w:firstLine="0"/>
      </w:pPr>
      <w:r w:rsidRPr="00DC64AB">
        <w:t>Los contribuyentes que hayan optado por determinar los pagos provisionales del ISR en los términos de la regla 1.3., último párrafo de la RFA, para efectos de la presente regla considerarán como utilidad fiscal de ingresos propios de actividades agrícolas, ganaderas, silvícolas o pesqueras (UFIPA) el resultado que se obtenga de aplicar al ingreso acumulable del periodo de que se trate, el coeficiente de utilidad que corresponda en los términos del artículo 14 de la Ley del ISR. La utilidad fiscal de ingresos no propios de actividades agrícolas, ganaderas, silvícolas o pesqueras (UFINPA) se determinará de acuerdo a las disposiciones fiscales aplicables para cada tipo de ingreso.</w:t>
      </w:r>
    </w:p>
    <w:p w14:paraId="3B2C10E0" w14:textId="77777777" w:rsidR="00B62A45" w:rsidRPr="00DC64AB" w:rsidRDefault="00B62A45" w:rsidP="00B62A45">
      <w:pPr>
        <w:pStyle w:val="texto"/>
        <w:spacing w:after="92" w:line="224" w:lineRule="exact"/>
        <w:ind w:left="1800" w:firstLine="0"/>
        <w:rPr>
          <w:color w:val="000000"/>
        </w:rPr>
      </w:pPr>
      <w:r w:rsidRPr="00DC64AB">
        <w:rPr>
          <w:i/>
        </w:rPr>
        <w:t>LISR 14, 74, RFA 1.3., Decreto DOF 27/01/2016</w:t>
      </w:r>
    </w:p>
    <w:p w14:paraId="2490343F" w14:textId="77777777" w:rsidR="00B62A45" w:rsidRDefault="00B62A45" w:rsidP="00B62A45">
      <w:pPr>
        <w:pStyle w:val="texto"/>
        <w:spacing w:after="92" w:line="224" w:lineRule="exact"/>
        <w:ind w:left="1800" w:firstLine="0"/>
        <w:rPr>
          <w:b/>
        </w:rPr>
      </w:pPr>
      <w:r w:rsidRPr="00DC64AB">
        <w:rPr>
          <w:b/>
        </w:rPr>
        <w:t>Determinación del ISR de las sociedades o asociaciones de productores constituidas exclusivamente por personas físicas del régimen de actividades agrícolas, ganaderas, silvícolas o pesqueras</w:t>
      </w:r>
    </w:p>
    <w:p w14:paraId="4B312AAE" w14:textId="77777777" w:rsidR="00B62A45" w:rsidRPr="00BD0EA9" w:rsidRDefault="00B62A45" w:rsidP="00B62A45">
      <w:pPr>
        <w:pStyle w:val="texto"/>
        <w:spacing w:after="92" w:line="224" w:lineRule="exact"/>
        <w:ind w:left="1800" w:hanging="1080"/>
        <w:rPr>
          <w:b/>
        </w:rPr>
      </w:pPr>
      <w:r w:rsidRPr="00DC64AB">
        <w:rPr>
          <w:b/>
        </w:rPr>
        <w:t>3.8.2.</w:t>
      </w:r>
      <w:r w:rsidRPr="00DC64AB">
        <w:tab/>
      </w:r>
      <w:r w:rsidRPr="00FC7E79">
        <w:rPr>
          <w:b/>
        </w:rPr>
        <w:t>…</w:t>
      </w:r>
    </w:p>
    <w:p w14:paraId="383F2E3A" w14:textId="77777777" w:rsidR="00B62A45" w:rsidRPr="00BD0EA9" w:rsidRDefault="00B62A45" w:rsidP="00B62A45">
      <w:pPr>
        <w:pStyle w:val="texto"/>
        <w:spacing w:after="92" w:line="224" w:lineRule="exact"/>
        <w:ind w:left="1800" w:hanging="1080"/>
        <w:rPr>
          <w:b/>
        </w:rPr>
      </w:pPr>
      <w:r w:rsidRPr="00BD0EA9">
        <w:rPr>
          <w:b/>
        </w:rPr>
        <w:tab/>
      </w:r>
      <w:r w:rsidRPr="00FC7E79">
        <w:rPr>
          <w:b/>
        </w:rPr>
        <w:t>…</w:t>
      </w:r>
    </w:p>
    <w:p w14:paraId="6ADD38D1" w14:textId="77777777" w:rsidR="00B62A45" w:rsidRDefault="00B62A45" w:rsidP="00B62A45">
      <w:pPr>
        <w:pStyle w:val="texto"/>
        <w:spacing w:after="92" w:line="224" w:lineRule="exact"/>
        <w:ind w:left="1800" w:hanging="1080"/>
        <w:rPr>
          <w:position w:val="9"/>
        </w:rPr>
      </w:pPr>
      <w:r w:rsidRPr="00DC64AB">
        <w:tab/>
        <w:t>Para los efectos del artículo 74, fracción I de la Ley del ISR, así como de la regla 1.3. de la RFA, para realizar el cálculo de los pagos provisionales del ISR, las referencias a la UMA a que se refiere la presente regla corresponderán a la periodicidad con la que se hagan los pagos provisionales, ya sean mensuales o semestrales, según corresponda.</w:t>
      </w:r>
    </w:p>
    <w:p w14:paraId="43D98A49" w14:textId="77777777" w:rsidR="00B62A45" w:rsidRPr="00DC64AB" w:rsidRDefault="00B62A45" w:rsidP="00B62A45">
      <w:pPr>
        <w:pStyle w:val="texto"/>
        <w:spacing w:after="92" w:line="224" w:lineRule="exact"/>
        <w:ind w:left="1800" w:hanging="1080"/>
      </w:pPr>
      <w:r w:rsidRPr="00DC64AB">
        <w:tab/>
        <w:t>Los contribuyentes que hayan optado por determinar los pagos provisionales del ISR en los términos de la regla 1.3., último párrafo de la RFA, para efectos de la presente regla considerarán como utilidad fiscal de ingresos propios de actividades agrícolas, ganaderas, silvícolas o pesqueras (UFIPA) el resultado que se obtenga de aplicar al ingreso acumulable del periodo de que se trate, el coeficiente de utilidad que corresponda en los términos del artículo 14 de la Ley del ISR. La utilidad fiscal de ingresos no propios de actividades agrícolas, ganaderas, silvícolas o pesqueras (UFINPA) se determinará de acuerdo a las disposiciones fiscales aplicables para cada tipo de ingreso.</w:t>
      </w:r>
    </w:p>
    <w:p w14:paraId="0B9ADCC7" w14:textId="77777777" w:rsidR="00B62A45" w:rsidRPr="00DC64AB" w:rsidRDefault="00B62A45" w:rsidP="00B62A45">
      <w:pPr>
        <w:pStyle w:val="texto"/>
        <w:spacing w:after="92" w:line="224" w:lineRule="exact"/>
        <w:ind w:left="1800" w:firstLine="0"/>
        <w:rPr>
          <w:i/>
        </w:rPr>
      </w:pPr>
      <w:r w:rsidRPr="00DC64AB">
        <w:rPr>
          <w:i/>
        </w:rPr>
        <w:t>LISR 14, 74, RFA 1.3., Decreto DOF 27/01/2016</w:t>
      </w:r>
    </w:p>
    <w:p w14:paraId="4F1471FE" w14:textId="77777777" w:rsidR="00B62A45" w:rsidRPr="00DC64AB" w:rsidRDefault="00B62A45" w:rsidP="00B62A45">
      <w:pPr>
        <w:pStyle w:val="texto"/>
        <w:spacing w:after="92" w:line="224" w:lineRule="exact"/>
        <w:ind w:left="1800" w:firstLine="0"/>
        <w:rPr>
          <w:b/>
        </w:rPr>
      </w:pPr>
      <w:r w:rsidRPr="00DC64AB">
        <w:rPr>
          <w:b/>
        </w:rPr>
        <w:t>Requisitos para tributar nuevamente conforme al Título VII, Capítulo XII de la Ley del ISR</w:t>
      </w:r>
    </w:p>
    <w:p w14:paraId="5E6603D9" w14:textId="77777777" w:rsidR="00B62A45" w:rsidRPr="00DC64AB" w:rsidRDefault="00B62A45" w:rsidP="00B62A45">
      <w:pPr>
        <w:pStyle w:val="texto"/>
        <w:spacing w:after="92" w:line="224" w:lineRule="exact"/>
        <w:ind w:left="1800" w:hanging="1080"/>
        <w:rPr>
          <w:color w:val="000000"/>
        </w:rPr>
      </w:pPr>
      <w:r w:rsidRPr="00DC64AB">
        <w:rPr>
          <w:b/>
        </w:rPr>
        <w:lastRenderedPageBreak/>
        <w:t>3.13.14.</w:t>
      </w:r>
      <w:r w:rsidRPr="00DC64AB">
        <w:tab/>
      </w:r>
      <w:r w:rsidRPr="00DC64AB">
        <w:rPr>
          <w:b/>
        </w:rPr>
        <w:t>Se deroga.</w:t>
      </w:r>
    </w:p>
    <w:p w14:paraId="0AAE8F3A" w14:textId="77777777" w:rsidR="00B62A45" w:rsidRPr="00DC64AB" w:rsidRDefault="00B62A45" w:rsidP="00B62A45">
      <w:pPr>
        <w:pStyle w:val="texto"/>
        <w:spacing w:after="92" w:line="224" w:lineRule="exact"/>
        <w:ind w:left="1800" w:firstLine="0"/>
        <w:rPr>
          <w:b/>
        </w:rPr>
      </w:pPr>
      <w:r w:rsidRPr="00DC64AB">
        <w:rPr>
          <w:b/>
        </w:rPr>
        <w:t>Aplicación de porcientos máximos para la determinación de la deducción de inversión cuando rebasen de 3 millones de pesos de inversión</w:t>
      </w:r>
    </w:p>
    <w:p w14:paraId="65B94D0E" w14:textId="77777777" w:rsidR="00B62A45" w:rsidRPr="00DC64AB" w:rsidRDefault="00B62A45" w:rsidP="00B62A45">
      <w:pPr>
        <w:pStyle w:val="texto"/>
        <w:spacing w:after="92" w:line="224" w:lineRule="exact"/>
        <w:ind w:left="1800" w:hanging="1080"/>
      </w:pPr>
      <w:r w:rsidRPr="00DC64AB">
        <w:rPr>
          <w:b/>
        </w:rPr>
        <w:t>3.13.15.</w:t>
      </w:r>
      <w:r w:rsidRPr="00DC64AB">
        <w:rPr>
          <w:b/>
        </w:rPr>
        <w:tab/>
      </w:r>
      <w:r w:rsidRPr="00DC64AB">
        <w:t>Para los efectos del artículo 209, primer párrafo de la Ley del ISR, los contribuyentes deberán aplicar los porcientos máximos autorizados en el artículo señalado, a las inversiones que en su conjunto no excedan de $3’000,000.00 (tres millones de pesos 00/100 M.N.) en el ejercicio fiscal de que se trate. Por lo que respecta a las inversiones que se realicen en el mismo ejercicio, y con su adquisición o importación se exceda de la cantidad antes señalada, les serán aplicables los porcientos máximos establecidos en la Sección II, del Capítulo II, del Título II de la citada Ley, al monto total de cada una de las referidas inversiones.</w:t>
      </w:r>
    </w:p>
    <w:p w14:paraId="10CDF9A4" w14:textId="77777777" w:rsidR="00B62A45" w:rsidRDefault="00B62A45" w:rsidP="00B62A45">
      <w:pPr>
        <w:pStyle w:val="texto"/>
        <w:spacing w:after="92" w:line="224" w:lineRule="exact"/>
        <w:ind w:left="1800" w:firstLine="0"/>
        <w:rPr>
          <w:color w:val="000000"/>
        </w:rPr>
      </w:pPr>
      <w:r w:rsidRPr="00DC64AB">
        <w:rPr>
          <w:i/>
        </w:rPr>
        <w:t>LISR 31, 33, 34, 35, 209</w:t>
      </w:r>
    </w:p>
    <w:p w14:paraId="48EEBD1A" w14:textId="77777777" w:rsidR="00B62A45" w:rsidRPr="00DC64AB" w:rsidRDefault="00B62A45" w:rsidP="00B62A45">
      <w:pPr>
        <w:pStyle w:val="texto"/>
        <w:spacing w:after="92" w:line="220" w:lineRule="exact"/>
        <w:ind w:left="1800" w:firstLine="0"/>
        <w:rPr>
          <w:b/>
        </w:rPr>
      </w:pPr>
      <w:r w:rsidRPr="00DC64AB">
        <w:rPr>
          <w:b/>
        </w:rPr>
        <w:t>Factor de acumulación por depósitos o inversiones en el extranjero</w:t>
      </w:r>
    </w:p>
    <w:p w14:paraId="09D974F3" w14:textId="77777777" w:rsidR="00B62A45" w:rsidRPr="00DC64AB" w:rsidRDefault="00B62A45" w:rsidP="00B62A45">
      <w:pPr>
        <w:pStyle w:val="texto"/>
        <w:spacing w:after="92" w:line="220" w:lineRule="exact"/>
        <w:ind w:left="1800" w:hanging="1080"/>
      </w:pPr>
      <w:r w:rsidRPr="00DC64AB">
        <w:rPr>
          <w:b/>
        </w:rPr>
        <w:t>3.16.11.</w:t>
      </w:r>
      <w:r w:rsidRPr="00DC64AB">
        <w:rPr>
          <w:b/>
        </w:rPr>
        <w:tab/>
      </w:r>
      <w:r w:rsidRPr="00DC64AB">
        <w:t>Para los efectos del artículo 239 del Reglamento de la Ley del ISR, el factor de acumulación aplicable al monto del depósito o inversión al inicio del ejercicio fiscal de 2022 es de 0.0000.</w:t>
      </w:r>
    </w:p>
    <w:p w14:paraId="76685455" w14:textId="77777777" w:rsidR="00B62A45" w:rsidRPr="00DC64AB" w:rsidRDefault="00B62A45" w:rsidP="00B62A45">
      <w:pPr>
        <w:pStyle w:val="texto"/>
        <w:spacing w:after="92" w:line="220" w:lineRule="exact"/>
        <w:ind w:left="1800" w:firstLine="0"/>
        <w:rPr>
          <w:b/>
        </w:rPr>
      </w:pPr>
      <w:r w:rsidRPr="00DC64AB">
        <w:rPr>
          <w:i/>
        </w:rPr>
        <w:t>RLISR 239</w:t>
      </w:r>
    </w:p>
    <w:p w14:paraId="1B783AB7" w14:textId="77777777" w:rsidR="00B62A45" w:rsidRPr="00DC64AB" w:rsidRDefault="00B62A45" w:rsidP="00B62A45">
      <w:pPr>
        <w:pStyle w:val="texto"/>
        <w:spacing w:after="92" w:line="220" w:lineRule="exact"/>
        <w:ind w:left="1800" w:firstLine="0"/>
        <w:rPr>
          <w:b/>
        </w:rPr>
      </w:pPr>
      <w:r w:rsidRPr="00DC64AB">
        <w:rPr>
          <w:b/>
        </w:rPr>
        <w:t>Características de seguridad de los marbetes y precintos</w:t>
      </w:r>
    </w:p>
    <w:p w14:paraId="6E713F71" w14:textId="77777777" w:rsidR="00B62A45" w:rsidRPr="00DC64AB" w:rsidRDefault="00B62A45" w:rsidP="00B62A45">
      <w:pPr>
        <w:pStyle w:val="texto"/>
        <w:spacing w:after="92" w:line="220" w:lineRule="exact"/>
        <w:ind w:left="1800" w:hanging="1080"/>
      </w:pPr>
      <w:r w:rsidRPr="00DC64AB">
        <w:rPr>
          <w:b/>
        </w:rPr>
        <w:t>5.2.6.</w:t>
      </w:r>
      <w:r w:rsidRPr="00DC64AB">
        <w:tab/>
      </w:r>
      <w:r w:rsidRPr="00FC7E79">
        <w:rPr>
          <w:b/>
        </w:rPr>
        <w:t>…</w:t>
      </w:r>
    </w:p>
    <w:p w14:paraId="099BBE67" w14:textId="77777777" w:rsidR="00B62A45" w:rsidRPr="00BD0EA9" w:rsidRDefault="00B62A45" w:rsidP="00B62A45">
      <w:pPr>
        <w:pStyle w:val="texto"/>
        <w:spacing w:after="92" w:line="220" w:lineRule="exact"/>
        <w:ind w:left="2340" w:hanging="540"/>
        <w:rPr>
          <w:b/>
        </w:rPr>
      </w:pPr>
      <w:r w:rsidRPr="00DC64AB">
        <w:rPr>
          <w:b/>
        </w:rPr>
        <w:t>I.</w:t>
      </w:r>
      <w:r w:rsidRPr="00DC64AB">
        <w:rPr>
          <w:b/>
        </w:rPr>
        <w:tab/>
      </w:r>
      <w:r w:rsidRPr="00FC7E79">
        <w:rPr>
          <w:b/>
        </w:rPr>
        <w:t>…</w:t>
      </w:r>
    </w:p>
    <w:p w14:paraId="36E41BB5" w14:textId="77777777" w:rsidR="00B62A45" w:rsidRPr="00BD0EA9" w:rsidRDefault="00B62A45" w:rsidP="00B62A45">
      <w:pPr>
        <w:pStyle w:val="texto"/>
        <w:spacing w:after="92" w:line="220" w:lineRule="exact"/>
        <w:ind w:left="2340" w:hanging="540"/>
        <w:rPr>
          <w:b/>
        </w:rPr>
      </w:pPr>
      <w:r w:rsidRPr="00DC64AB">
        <w:rPr>
          <w:b/>
        </w:rPr>
        <w:t>II.</w:t>
      </w:r>
      <w:r w:rsidRPr="00DC64AB">
        <w:tab/>
      </w:r>
      <w:r w:rsidRPr="00FC7E79">
        <w:rPr>
          <w:b/>
        </w:rPr>
        <w:t>…</w:t>
      </w:r>
    </w:p>
    <w:p w14:paraId="6807C19F" w14:textId="77777777" w:rsidR="00B62A45" w:rsidRPr="00BD0EA9" w:rsidRDefault="00B62A45" w:rsidP="00B62A45">
      <w:pPr>
        <w:pStyle w:val="texto"/>
        <w:spacing w:after="92" w:line="220" w:lineRule="exact"/>
        <w:ind w:left="2790" w:hanging="450"/>
        <w:rPr>
          <w:b/>
        </w:rPr>
      </w:pPr>
      <w:r w:rsidRPr="00DC64AB">
        <w:rPr>
          <w:b/>
        </w:rPr>
        <w:t>a)</w:t>
      </w:r>
      <w:r w:rsidRPr="00DC64AB">
        <w:rPr>
          <w:b/>
        </w:rPr>
        <w:tab/>
      </w:r>
      <w:r w:rsidRPr="00FC7E79">
        <w:rPr>
          <w:b/>
        </w:rPr>
        <w:t>…</w:t>
      </w:r>
    </w:p>
    <w:p w14:paraId="0C9BECEC" w14:textId="77777777" w:rsidR="00B62A45" w:rsidRPr="00BD0EA9" w:rsidRDefault="00B62A45" w:rsidP="00B62A45">
      <w:pPr>
        <w:pStyle w:val="texto"/>
        <w:spacing w:after="92" w:line="220" w:lineRule="exact"/>
        <w:ind w:left="2790" w:hanging="450"/>
        <w:rPr>
          <w:b/>
        </w:rPr>
      </w:pPr>
      <w:r w:rsidRPr="00DC64AB">
        <w:rPr>
          <w:b/>
        </w:rPr>
        <w:t>b)</w:t>
      </w:r>
      <w:r w:rsidRPr="00DC64AB">
        <w:tab/>
      </w:r>
      <w:r w:rsidRPr="00BD0EA9">
        <w:rPr>
          <w:b/>
        </w:rPr>
        <w:t>...</w:t>
      </w:r>
    </w:p>
    <w:p w14:paraId="54DCCC63" w14:textId="77777777" w:rsidR="00B62A45" w:rsidRPr="00DC64AB" w:rsidRDefault="00B62A45" w:rsidP="00B62A45">
      <w:pPr>
        <w:pStyle w:val="texto"/>
        <w:spacing w:after="92" w:line="220" w:lineRule="exact"/>
        <w:ind w:left="2790" w:hanging="450"/>
      </w:pPr>
      <w:r w:rsidRPr="00DC64AB">
        <w:rPr>
          <w:b/>
        </w:rPr>
        <w:t>c)</w:t>
      </w:r>
      <w:r w:rsidRPr="00DC64AB">
        <w:tab/>
      </w:r>
      <w:r w:rsidRPr="00FC7E79">
        <w:rPr>
          <w:b/>
        </w:rPr>
        <w:t>…</w:t>
      </w:r>
    </w:p>
    <w:p w14:paraId="3599C3B6" w14:textId="77777777" w:rsidR="00B62A45" w:rsidRPr="00DC64AB" w:rsidRDefault="00B62A45" w:rsidP="00B62A45">
      <w:pPr>
        <w:pStyle w:val="texto"/>
        <w:spacing w:after="92" w:line="220" w:lineRule="exact"/>
        <w:ind w:left="3240" w:hanging="450"/>
      </w:pPr>
      <w:r w:rsidRPr="00DC64AB">
        <w:rPr>
          <w:b/>
        </w:rPr>
        <w:t>1.</w:t>
      </w:r>
      <w:r w:rsidRPr="00DC64AB">
        <w:tab/>
      </w:r>
      <w:r w:rsidRPr="00FC7E79">
        <w:rPr>
          <w:b/>
        </w:rPr>
        <w:t>…</w:t>
      </w:r>
    </w:p>
    <w:p w14:paraId="66F5FD79" w14:textId="77777777" w:rsidR="00B62A45" w:rsidRPr="00DC64AB" w:rsidRDefault="00B62A45" w:rsidP="00B62A45">
      <w:pPr>
        <w:pStyle w:val="texto"/>
        <w:spacing w:after="92" w:line="220" w:lineRule="exact"/>
        <w:ind w:left="3240" w:hanging="450"/>
      </w:pPr>
      <w:r w:rsidRPr="00DC64AB">
        <w:rPr>
          <w:b/>
        </w:rPr>
        <w:t>2.</w:t>
      </w:r>
      <w:r w:rsidRPr="00DC64AB">
        <w:tab/>
      </w:r>
      <w:r w:rsidRPr="00FC7E79">
        <w:rPr>
          <w:b/>
        </w:rPr>
        <w:t>…</w:t>
      </w:r>
    </w:p>
    <w:p w14:paraId="0609FB6E" w14:textId="77777777" w:rsidR="00B62A45" w:rsidRPr="00DC64AB" w:rsidRDefault="00B62A45" w:rsidP="00B62A45">
      <w:pPr>
        <w:pStyle w:val="texto"/>
        <w:spacing w:after="92" w:line="220" w:lineRule="exact"/>
        <w:ind w:left="3690" w:hanging="450"/>
      </w:pPr>
      <w:r w:rsidRPr="00DC64AB">
        <w:rPr>
          <w:b/>
        </w:rPr>
        <w:t>i)</w:t>
      </w:r>
      <w:r w:rsidRPr="00DC64AB">
        <w:tab/>
        <w:t>Versión Nacional: Pantone 627 C, Pantone 626 C, Pantone 465, Pantone 468 C y Pantone Black C logotipo del SAT calado en blanco.</w:t>
      </w:r>
    </w:p>
    <w:p w14:paraId="47FF50BA" w14:textId="77777777" w:rsidR="00B62A45" w:rsidRPr="00BD0EA9" w:rsidRDefault="00B62A45" w:rsidP="00B62A45">
      <w:pPr>
        <w:pStyle w:val="texto"/>
        <w:spacing w:after="92" w:line="220" w:lineRule="exact"/>
        <w:ind w:left="3690" w:hanging="450"/>
        <w:rPr>
          <w:b/>
        </w:rPr>
      </w:pPr>
      <w:r w:rsidRPr="00DC64AB">
        <w:rPr>
          <w:b/>
        </w:rPr>
        <w:t>ii)</w:t>
      </w:r>
      <w:r w:rsidRPr="00DC64AB">
        <w:tab/>
      </w:r>
      <w:r w:rsidRPr="00FC7E79">
        <w:rPr>
          <w:b/>
        </w:rPr>
        <w:t>…</w:t>
      </w:r>
    </w:p>
    <w:p w14:paraId="28C8B807" w14:textId="77777777" w:rsidR="00B62A45" w:rsidRPr="00BD0EA9" w:rsidRDefault="00B62A45" w:rsidP="00B62A45">
      <w:pPr>
        <w:pStyle w:val="texto"/>
        <w:spacing w:after="92" w:line="220" w:lineRule="exact"/>
        <w:ind w:left="2970" w:hanging="630"/>
        <w:rPr>
          <w:b/>
        </w:rPr>
      </w:pPr>
      <w:r w:rsidRPr="00DC64AB">
        <w:rPr>
          <w:b/>
        </w:rPr>
        <w:t xml:space="preserve">d) </w:t>
      </w:r>
      <w:r w:rsidRPr="00DC64AB">
        <w:t>a</w:t>
      </w:r>
      <w:r w:rsidRPr="00DC64AB">
        <w:rPr>
          <w:b/>
        </w:rPr>
        <w:t xml:space="preserve"> h)</w:t>
      </w:r>
      <w:r w:rsidRPr="00DC64AB">
        <w:tab/>
      </w:r>
      <w:r w:rsidRPr="00FC7E79">
        <w:rPr>
          <w:b/>
        </w:rPr>
        <w:t>…</w:t>
      </w:r>
    </w:p>
    <w:p w14:paraId="3748B0D2" w14:textId="77777777" w:rsidR="00B62A45" w:rsidRPr="00DC64AB" w:rsidRDefault="00B62A45" w:rsidP="00B62A45">
      <w:pPr>
        <w:pStyle w:val="texto"/>
        <w:spacing w:after="92" w:line="220" w:lineRule="exact"/>
        <w:ind w:left="2790" w:hanging="450"/>
      </w:pPr>
      <w:r w:rsidRPr="00DC64AB">
        <w:rPr>
          <w:b/>
        </w:rPr>
        <w:t>i)</w:t>
      </w:r>
      <w:r w:rsidRPr="00DC64AB">
        <w:tab/>
        <w:t>Código QR de 1.8 x 1.8 centímetros el cual podrá variar en su tamaño en ± 1 milímetro del lado superior izquierdo, el cual podrá variar, previa autorización de modificación, conforme al tamaño del marbete, de acuerdo con el inciso b) de la fracción II de la presente regla. Dicha autorización para modificar el tamaño del código QR deberá solicitarse en términos de la ficha de trámite 46/IEPS “Solicitud para obtener folios para la impresión de marbetes electrónicos para bebidas alcohólicas”, contenida en el Anexo 1-A.</w:t>
      </w:r>
    </w:p>
    <w:p w14:paraId="7AB43EAE" w14:textId="77777777" w:rsidR="00B62A45" w:rsidRPr="00BD0EA9" w:rsidRDefault="00B62A45" w:rsidP="00B62A45">
      <w:pPr>
        <w:pStyle w:val="texto"/>
        <w:spacing w:after="92" w:line="220" w:lineRule="exact"/>
        <w:ind w:left="2790" w:hanging="450"/>
        <w:rPr>
          <w:b/>
          <w:lang w:val="en-US"/>
        </w:rPr>
      </w:pPr>
      <w:r w:rsidRPr="00DC64AB">
        <w:rPr>
          <w:b/>
          <w:lang w:val="en-US"/>
        </w:rPr>
        <w:t>j)</w:t>
      </w:r>
      <w:r w:rsidRPr="00DC64AB">
        <w:rPr>
          <w:lang w:val="en-US"/>
        </w:rPr>
        <w:t xml:space="preserve"> a </w:t>
      </w:r>
      <w:r w:rsidRPr="00DC64AB">
        <w:rPr>
          <w:b/>
          <w:lang w:val="en-US"/>
        </w:rPr>
        <w:t>n)</w:t>
      </w:r>
      <w:r w:rsidRPr="00DC64AB">
        <w:rPr>
          <w:lang w:val="en-US"/>
        </w:rPr>
        <w:tab/>
      </w:r>
      <w:r w:rsidRPr="00BD0EA9">
        <w:rPr>
          <w:b/>
          <w:lang w:val="en-US"/>
        </w:rPr>
        <w:t>...</w:t>
      </w:r>
    </w:p>
    <w:p w14:paraId="6FD5839B" w14:textId="77777777" w:rsidR="00B62A45" w:rsidRPr="00BD0EA9" w:rsidRDefault="00B62A45" w:rsidP="00B62A45">
      <w:pPr>
        <w:pStyle w:val="texto"/>
        <w:spacing w:after="92" w:line="220" w:lineRule="exact"/>
        <w:ind w:left="2340" w:hanging="540"/>
        <w:rPr>
          <w:b/>
          <w:lang w:val="en-US"/>
        </w:rPr>
      </w:pPr>
      <w:r w:rsidRPr="00DC64AB">
        <w:rPr>
          <w:b/>
          <w:lang w:val="en-US"/>
        </w:rPr>
        <w:t>III.</w:t>
      </w:r>
      <w:r w:rsidRPr="00DC64AB">
        <w:rPr>
          <w:b/>
          <w:lang w:val="en-US"/>
        </w:rPr>
        <w:tab/>
      </w:r>
      <w:r w:rsidRPr="00FC7E79">
        <w:rPr>
          <w:b/>
          <w:lang w:val="en-US"/>
        </w:rPr>
        <w:t>…</w:t>
      </w:r>
    </w:p>
    <w:p w14:paraId="6D26CED0" w14:textId="77777777" w:rsidR="00B62A45" w:rsidRPr="00DC64AB" w:rsidRDefault="00B62A45" w:rsidP="00B62A45">
      <w:pPr>
        <w:pStyle w:val="texto"/>
        <w:spacing w:after="92" w:line="220" w:lineRule="exact"/>
        <w:ind w:left="1800" w:firstLine="0"/>
        <w:rPr>
          <w:lang w:val="en-US"/>
        </w:rPr>
      </w:pPr>
      <w:r w:rsidRPr="00DC64AB">
        <w:rPr>
          <w:i/>
          <w:lang w:val="en-US"/>
        </w:rPr>
        <w:t>LIEPS 19</w:t>
      </w:r>
    </w:p>
    <w:p w14:paraId="04D8E4FF" w14:textId="77777777" w:rsidR="00B62A45" w:rsidRPr="00DC64AB" w:rsidRDefault="00B62A45" w:rsidP="00B62A45">
      <w:pPr>
        <w:pStyle w:val="texto"/>
        <w:spacing w:after="92" w:line="220" w:lineRule="exact"/>
        <w:ind w:left="1800" w:firstLine="0"/>
        <w:rPr>
          <w:b/>
          <w:lang w:val="es-ES_tradnl"/>
        </w:rPr>
      </w:pPr>
      <w:r w:rsidRPr="00DC64AB">
        <w:rPr>
          <w:b/>
          <w:lang w:val="es-ES_tradnl"/>
        </w:rPr>
        <w:t>Declaración de pago de los derechos por la utilidad compartida y de extracción de hidrocarburos</w:t>
      </w:r>
    </w:p>
    <w:p w14:paraId="0FD5BF9D" w14:textId="77777777" w:rsidR="00B62A45" w:rsidRPr="00DC64AB" w:rsidRDefault="00B62A45" w:rsidP="00B62A45">
      <w:pPr>
        <w:pStyle w:val="texto"/>
        <w:spacing w:after="92" w:line="220" w:lineRule="exact"/>
        <w:ind w:left="1800" w:hanging="1080"/>
        <w:rPr>
          <w:color w:val="000000"/>
          <w:lang w:val="es-ES_tradnl"/>
        </w:rPr>
      </w:pPr>
      <w:r w:rsidRPr="00DC64AB">
        <w:rPr>
          <w:b/>
          <w:lang w:val="es-ES_tradnl"/>
        </w:rPr>
        <w:t>13.1.</w:t>
      </w:r>
      <w:r w:rsidRPr="00DC64AB">
        <w:rPr>
          <w:b/>
          <w:lang w:val="es-ES_tradnl"/>
        </w:rPr>
        <w:tab/>
      </w:r>
      <w:r w:rsidRPr="00DC64AB">
        <w:rPr>
          <w:lang w:val="es-ES_tradnl"/>
        </w:rPr>
        <w:t xml:space="preserve">Para los efectos de los artículos 42, primer párrafo, 44, primer párrafo de la LISH, de la regla 2.8.3.1. y el Vigésimo Cuarto Transitorio de la RMF, los asignatarios a que se refieren los citados artículos podrán realizar los pagos de los derechos por la utilidad </w:t>
      </w:r>
      <w:r w:rsidRPr="00DC64AB">
        <w:rPr>
          <w:lang w:val="es-ES_tradnl"/>
        </w:rPr>
        <w:lastRenderedPageBreak/>
        <w:t>compartida y de extracción de hidrocarburos correspondientes a los meses que se indican, conforme a lo siguiente:</w:t>
      </w:r>
    </w:p>
    <w:p w14:paraId="1624ADA0" w14:textId="77777777" w:rsidR="00B62A45" w:rsidRPr="00DC64AB" w:rsidRDefault="00B62A45" w:rsidP="00B62A45">
      <w:pPr>
        <w:pStyle w:val="texto"/>
        <w:spacing w:after="92" w:line="220" w:lineRule="exact"/>
        <w:ind w:left="2340" w:hanging="540"/>
        <w:rPr>
          <w:lang w:val="es-ES_tradnl"/>
        </w:rPr>
      </w:pPr>
      <w:r w:rsidRPr="00DC64AB">
        <w:rPr>
          <w:b/>
          <w:lang w:val="es-ES_tradnl"/>
        </w:rPr>
        <w:t>I.</w:t>
      </w:r>
      <w:r w:rsidRPr="00DC64AB">
        <w:rPr>
          <w:lang w:val="es-ES_tradnl"/>
        </w:rPr>
        <w:tab/>
        <w:t>Los relativos a los montos totales de los derechos por la utilidad compartida y de extracción de hidrocarburos, respecto del mes de diciembre de 2022, a más tardar el 28 de febrero de 2023.</w:t>
      </w:r>
    </w:p>
    <w:p w14:paraId="18258076" w14:textId="77777777" w:rsidR="00B62A45" w:rsidRPr="00DC64AB" w:rsidRDefault="00B62A45" w:rsidP="00B62A45">
      <w:pPr>
        <w:pStyle w:val="texto"/>
        <w:spacing w:after="92" w:line="220" w:lineRule="exact"/>
        <w:ind w:left="2340" w:hanging="540"/>
        <w:rPr>
          <w:lang w:val="es-ES_tradnl"/>
        </w:rPr>
      </w:pPr>
      <w:r w:rsidRPr="00DC64AB">
        <w:rPr>
          <w:b/>
          <w:lang w:val="es-ES_tradnl"/>
        </w:rPr>
        <w:t>II.</w:t>
      </w:r>
      <w:r w:rsidRPr="00DC64AB">
        <w:rPr>
          <w:lang w:val="es-ES_tradnl"/>
        </w:rPr>
        <w:tab/>
        <w:t>Los relativos a los montos totales de los derechos por la utilidad compartida y de extracción de hidrocarburos, respecto del mes de enero de 2023, a más tardar el 31 de marzo de 2023.</w:t>
      </w:r>
    </w:p>
    <w:p w14:paraId="71BDDE38" w14:textId="77777777" w:rsidR="00B62A45" w:rsidRPr="00DC64AB" w:rsidRDefault="00B62A45" w:rsidP="00B62A45">
      <w:pPr>
        <w:pStyle w:val="texto"/>
        <w:spacing w:after="92" w:line="220" w:lineRule="exact"/>
        <w:ind w:left="2340" w:hanging="540"/>
        <w:rPr>
          <w:lang w:val="es-ES_tradnl"/>
        </w:rPr>
      </w:pPr>
      <w:r w:rsidRPr="00DC64AB">
        <w:rPr>
          <w:b/>
          <w:bCs/>
          <w:lang w:val="es-ES_tradnl"/>
        </w:rPr>
        <w:t>III.</w:t>
      </w:r>
      <w:r w:rsidRPr="00DC64AB">
        <w:rPr>
          <w:lang w:val="es-ES_tradnl"/>
        </w:rPr>
        <w:tab/>
        <w:t>Los relativos a los montos totales de los derechos por la utilidad compartida y de extracción de hidrocarburos, respecto del mes de febrero de 2023, a más tardar el 28 de abril de 2023.</w:t>
      </w:r>
    </w:p>
    <w:p w14:paraId="1C0302C2" w14:textId="77777777" w:rsidR="00B62A45" w:rsidRPr="00DC64AB" w:rsidRDefault="00B62A45" w:rsidP="00B62A45">
      <w:pPr>
        <w:pStyle w:val="texto"/>
        <w:spacing w:after="92" w:line="220" w:lineRule="exact"/>
        <w:ind w:left="1800" w:firstLine="0"/>
        <w:rPr>
          <w:lang w:val="es-ES_tradnl"/>
        </w:rPr>
      </w:pPr>
      <w:r w:rsidRPr="00DC64AB">
        <w:rPr>
          <w:lang w:val="es-ES_tradnl"/>
        </w:rPr>
        <w:t>En caso de incumplir con el entero de los derechos en la fecha establecida en las fracciones anteriores, los asignatarios no podrán aplicar el beneficio indicado en la presente regla y la autoridad fiscal requerirá el pago total de los adeudos.</w:t>
      </w:r>
    </w:p>
    <w:p w14:paraId="3A8D7C0F" w14:textId="77777777" w:rsidR="00B62A45" w:rsidRDefault="00B62A45" w:rsidP="00B62A45">
      <w:pPr>
        <w:pStyle w:val="texto"/>
        <w:spacing w:after="92" w:line="220" w:lineRule="exact"/>
        <w:ind w:left="1800" w:firstLine="0"/>
        <w:rPr>
          <w:b/>
          <w:bCs/>
        </w:rPr>
      </w:pPr>
      <w:r w:rsidRPr="00DC64AB">
        <w:rPr>
          <w:i/>
          <w:lang w:val="es-ES_tradnl"/>
        </w:rPr>
        <w:t>LISH 42, 44, RMF 2023 2.8.3.1., Vigésimo Cuarto Transitorio</w:t>
      </w:r>
    </w:p>
    <w:p w14:paraId="60DD0C09" w14:textId="77777777" w:rsidR="00B62A45" w:rsidRPr="00DC64AB" w:rsidRDefault="00B62A45" w:rsidP="00B62A45">
      <w:pPr>
        <w:pStyle w:val="texto"/>
        <w:spacing w:after="92" w:line="232" w:lineRule="exact"/>
        <w:ind w:left="1800" w:hanging="1080"/>
        <w:rPr>
          <w:bCs/>
        </w:rPr>
      </w:pPr>
      <w:bookmarkStart w:id="8" w:name="_Hlk132026137"/>
      <w:r w:rsidRPr="00DC64AB">
        <w:rPr>
          <w:b/>
          <w:bCs/>
        </w:rPr>
        <w:t>SEGUNDO.</w:t>
      </w:r>
      <w:r w:rsidRPr="00DC64AB">
        <w:rPr>
          <w:b/>
          <w:bCs/>
        </w:rPr>
        <w:tab/>
      </w:r>
      <w:r w:rsidRPr="00DC64AB">
        <w:rPr>
          <w:bCs/>
        </w:rPr>
        <w:t>Se da a conocer el Anexo 9, así como la Primera Modificación a los Anexos 1, 1-A, 14 y 23 de la RMF para 2023. Asimismo, se da a conocer la Tercera Modificación al Anexo 3 y la Cuarta Modificación al Anexo 15 de la RMF para 2022.</w:t>
      </w:r>
    </w:p>
    <w:p w14:paraId="1B23A524" w14:textId="77777777" w:rsidR="00B62A45" w:rsidRPr="00DC64AB" w:rsidRDefault="00B62A45" w:rsidP="00B62A45">
      <w:pPr>
        <w:pStyle w:val="texto"/>
        <w:spacing w:after="92" w:line="232" w:lineRule="exact"/>
        <w:ind w:left="1800" w:firstLine="0"/>
        <w:rPr>
          <w:bCs/>
        </w:rPr>
      </w:pPr>
      <w:r w:rsidRPr="00DC64AB">
        <w:rPr>
          <w:bCs/>
        </w:rPr>
        <w:t>Para los efectos de los Anexos 3 y 15 de la RMF para 2022, se entenderá lo siguiente:</w:t>
      </w:r>
    </w:p>
    <w:p w14:paraId="418310D2" w14:textId="77777777" w:rsidR="00B62A45" w:rsidRPr="00DC64AB" w:rsidRDefault="00B62A45" w:rsidP="00B62A45">
      <w:pPr>
        <w:pStyle w:val="texto"/>
        <w:spacing w:after="92" w:line="232" w:lineRule="exact"/>
        <w:ind w:left="2340" w:hanging="540"/>
        <w:rPr>
          <w:bCs/>
        </w:rPr>
      </w:pPr>
      <w:r w:rsidRPr="00DC64AB">
        <w:rPr>
          <w:b/>
          <w:bCs/>
        </w:rPr>
        <w:t>I.</w:t>
      </w:r>
      <w:r w:rsidRPr="00DC64AB">
        <w:rPr>
          <w:bCs/>
        </w:rPr>
        <w:tab/>
        <w:t>Primera Modificación al Anexo 3, la publicada en el DOF el 6 de mayo de 2022.</w:t>
      </w:r>
    </w:p>
    <w:p w14:paraId="5C2931B6" w14:textId="77777777" w:rsidR="00B62A45" w:rsidRPr="00DC64AB" w:rsidRDefault="00B62A45" w:rsidP="00B62A45">
      <w:pPr>
        <w:pStyle w:val="texto"/>
        <w:spacing w:after="92" w:line="232" w:lineRule="exact"/>
        <w:ind w:left="2340" w:hanging="540"/>
        <w:rPr>
          <w:bCs/>
        </w:rPr>
      </w:pPr>
      <w:r w:rsidRPr="00DC64AB">
        <w:rPr>
          <w:b/>
          <w:bCs/>
        </w:rPr>
        <w:t>II.</w:t>
      </w:r>
      <w:r w:rsidRPr="00DC64AB">
        <w:rPr>
          <w:bCs/>
        </w:rPr>
        <w:tab/>
        <w:t>Segunda Modificación al Anexo 3, la publicada en el DOF el 10 de enero de 2023.</w:t>
      </w:r>
    </w:p>
    <w:p w14:paraId="336502C3" w14:textId="77777777" w:rsidR="00B62A45" w:rsidRPr="00DC64AB" w:rsidRDefault="00B62A45" w:rsidP="00B62A45">
      <w:pPr>
        <w:pStyle w:val="texto"/>
        <w:spacing w:after="92" w:line="232" w:lineRule="exact"/>
        <w:ind w:left="2340" w:hanging="540"/>
        <w:rPr>
          <w:bCs/>
        </w:rPr>
      </w:pPr>
      <w:r w:rsidRPr="00DC64AB">
        <w:rPr>
          <w:b/>
          <w:bCs/>
        </w:rPr>
        <w:t>III.</w:t>
      </w:r>
      <w:r w:rsidRPr="00DC64AB">
        <w:rPr>
          <w:bCs/>
        </w:rPr>
        <w:tab/>
        <w:t>Primera Modificación al Anexo 15, la publicada en el DOF el 9 de junio de 2022.</w:t>
      </w:r>
    </w:p>
    <w:p w14:paraId="4527BF0B" w14:textId="77777777" w:rsidR="00B62A45" w:rsidRPr="00DC64AB" w:rsidRDefault="00B62A45" w:rsidP="00B62A45">
      <w:pPr>
        <w:pStyle w:val="texto"/>
        <w:spacing w:after="92" w:line="232" w:lineRule="exact"/>
        <w:ind w:left="2340" w:hanging="540"/>
        <w:rPr>
          <w:bCs/>
        </w:rPr>
      </w:pPr>
      <w:r w:rsidRPr="00DC64AB">
        <w:rPr>
          <w:b/>
          <w:bCs/>
        </w:rPr>
        <w:t>IV.</w:t>
      </w:r>
      <w:r w:rsidRPr="00DC64AB">
        <w:rPr>
          <w:bCs/>
        </w:rPr>
        <w:tab/>
        <w:t>Segunda Modificación al Anexo 15, la publicada en el DOF el 13 de octubre de 2022.</w:t>
      </w:r>
    </w:p>
    <w:p w14:paraId="20D8D86C" w14:textId="77777777" w:rsidR="00B62A45" w:rsidRPr="00DC64AB" w:rsidRDefault="00B62A45" w:rsidP="00B62A45">
      <w:pPr>
        <w:pStyle w:val="texto"/>
        <w:spacing w:after="92" w:line="232" w:lineRule="exact"/>
        <w:ind w:left="2340" w:hanging="540"/>
        <w:rPr>
          <w:bCs/>
        </w:rPr>
      </w:pPr>
      <w:r w:rsidRPr="00DC64AB">
        <w:rPr>
          <w:b/>
          <w:bCs/>
        </w:rPr>
        <w:t>V.</w:t>
      </w:r>
      <w:r w:rsidRPr="00DC64AB">
        <w:rPr>
          <w:bCs/>
        </w:rPr>
        <w:tab/>
        <w:t>Tercera Modificación al Anexo 15, la publicada en el DOF el 27 de diciembre de 2022.</w:t>
      </w:r>
      <w:bookmarkEnd w:id="8"/>
    </w:p>
    <w:p w14:paraId="39F36F64" w14:textId="77777777" w:rsidR="00B62A45" w:rsidRPr="00DC64AB" w:rsidRDefault="00B62A45" w:rsidP="00B62A45">
      <w:pPr>
        <w:pStyle w:val="texto"/>
        <w:spacing w:after="92" w:line="232" w:lineRule="exact"/>
        <w:ind w:left="1800" w:hanging="1080"/>
        <w:rPr>
          <w:bCs/>
        </w:rPr>
      </w:pPr>
      <w:r w:rsidRPr="00DC64AB">
        <w:rPr>
          <w:b/>
          <w:bCs/>
        </w:rPr>
        <w:t>TERCERO.</w:t>
      </w:r>
      <w:r w:rsidRPr="00DC64AB">
        <w:rPr>
          <w:b/>
          <w:bCs/>
        </w:rPr>
        <w:tab/>
      </w:r>
      <w:r w:rsidRPr="00DC64AB">
        <w:rPr>
          <w:bCs/>
        </w:rPr>
        <w:t>Se reforman los Transitorios Tercero, Noveno, Décimo Noveno, Vigésimo Quinto, Vigésimo Sexto y Vigésimo Séptimo de la Resolución Miscelánea Fiscal para 2023, publicada en el DOF el 27 de diciembre de 2022, para quedar como sigue:</w:t>
      </w:r>
    </w:p>
    <w:p w14:paraId="4B052618" w14:textId="77777777" w:rsidR="00B62A45" w:rsidRPr="00DC64AB" w:rsidRDefault="00B62A45" w:rsidP="00B62A45">
      <w:pPr>
        <w:pStyle w:val="texto"/>
        <w:spacing w:after="92" w:line="232" w:lineRule="exact"/>
        <w:ind w:left="2880" w:hanging="1080"/>
        <w:rPr>
          <w:bCs/>
        </w:rPr>
      </w:pPr>
      <w:r w:rsidRPr="00DC64AB">
        <w:rPr>
          <w:b/>
          <w:bCs/>
        </w:rPr>
        <w:t>Tercero.</w:t>
      </w:r>
      <w:r w:rsidRPr="00DC64AB">
        <w:rPr>
          <w:bCs/>
        </w:rPr>
        <w:tab/>
        <w:t>Para los efectos del Anexo 29 de la RMF, para la versión 4.0., lo señalado en el numeral 6 denominado “Marca de Retencion”, incluido en el apartado C. “Integración de la LRFC y aplicación de validaciones”, de la sección “III.2 Lista de contribuyentes inscritos no cancelados en el Registro Federal de Contribuyentes (LRFC)”, de la fracción “III. Especificaciones para la descarga y consulta de la LCO y LRFC”, así como el numeral 7 “Nodo “Retenciones”, de la sección VI.1 “Validaciones adicionales al Anexo 20”, de la fracción VI “Validaciones adicionales al Anexo 20 y complementos de factura electrónica” del citado anexo, resultan aplicables a partir del 1 de julio de 2023.</w:t>
      </w:r>
    </w:p>
    <w:p w14:paraId="1F934D99" w14:textId="77777777" w:rsidR="00B62A45" w:rsidRPr="00DC64AB" w:rsidRDefault="00B62A45" w:rsidP="00B62A45">
      <w:pPr>
        <w:pStyle w:val="texto"/>
        <w:spacing w:after="92" w:line="232" w:lineRule="exact"/>
        <w:ind w:left="2880" w:hanging="1080"/>
        <w:rPr>
          <w:bCs/>
        </w:rPr>
      </w:pPr>
      <w:r w:rsidRPr="00DC64AB">
        <w:rPr>
          <w:b/>
          <w:bCs/>
        </w:rPr>
        <w:t>Noveno.</w:t>
      </w:r>
      <w:r w:rsidRPr="00DC64AB">
        <w:rPr>
          <w:bCs/>
        </w:rPr>
        <w:tab/>
        <w:t>Para los efectos de los artículos 29 y 29-A del CFF, quienes realicen pagos por los conceptos a que se refiere el Título IV, Capítulo I de la Ley del ISR y que estén obligados a emitir CFDI por los mismos, podrán optar por emitirlos hasta el 30 de junio de 2023 en su versión 3.3 con complemento de nómina en su versión 1.2, conforme al Anexo 20, publicado en el DOF el 28 de julio de 2017.</w:t>
      </w:r>
    </w:p>
    <w:p w14:paraId="7114A91E" w14:textId="77777777" w:rsidR="00B62A45" w:rsidRDefault="00B62A45" w:rsidP="00B62A45">
      <w:pPr>
        <w:pStyle w:val="texto"/>
        <w:spacing w:after="92" w:line="232" w:lineRule="exact"/>
        <w:ind w:left="2880" w:hanging="1080"/>
        <w:rPr>
          <w:b/>
          <w:bCs/>
        </w:rPr>
      </w:pPr>
      <w:r w:rsidRPr="00DC64AB">
        <w:rPr>
          <w:b/>
          <w:bCs/>
        </w:rPr>
        <w:t>Décimo</w:t>
      </w:r>
    </w:p>
    <w:p w14:paraId="40A8C920" w14:textId="77777777" w:rsidR="00B62A45" w:rsidRDefault="00B62A45" w:rsidP="00B62A45">
      <w:pPr>
        <w:pStyle w:val="texto"/>
        <w:spacing w:after="92" w:line="232" w:lineRule="exact"/>
        <w:ind w:left="2880" w:hanging="1080"/>
        <w:rPr>
          <w:bCs/>
        </w:rPr>
      </w:pPr>
      <w:r w:rsidRPr="00DC64AB">
        <w:rPr>
          <w:b/>
          <w:bCs/>
        </w:rPr>
        <w:t>Noveno.</w:t>
      </w:r>
      <w:r w:rsidRPr="00DC64AB">
        <w:rPr>
          <w:b/>
          <w:bCs/>
        </w:rPr>
        <w:tab/>
      </w:r>
      <w:r w:rsidRPr="00DC64AB">
        <w:rPr>
          <w:bCs/>
        </w:rPr>
        <w:t xml:space="preserve">Los contribuyentes que de conformidad con las reglas 2.7.1.21. y 2.7.5.5., vigentes hasta el 31 de diciembre de 2021, hayan expedido CFDI a través del aplicativo “Mis cuentas” en los ejercicios 2019, 2020 o 2021, podrán continuar expidiendo sus CFDI en “Factura fácil” y “Mi nómina” durante el </w:t>
      </w:r>
      <w:r w:rsidRPr="00DC64AB">
        <w:rPr>
          <w:bCs/>
        </w:rPr>
        <w:lastRenderedPageBreak/>
        <w:t>periodo comprendido del 1 de enero al 30 de junio de 2023, haciendo uso de la facilidad de sellar el CFDI sin la necesidad de contar con el certificado de e.firma o de un CSD. Lo anterior no será aplicable a las personas morales con fines no lucrativos autorizadas para recibir donativos deducibles del ISR y a las asociaciones religiosas constituidas de conformidad con la Ley de Asociaciones Religiosas y Culto Público.</w:t>
      </w:r>
    </w:p>
    <w:p w14:paraId="2638B9C0" w14:textId="77777777" w:rsidR="00B62A45" w:rsidRPr="00DC64AB" w:rsidRDefault="00B62A45" w:rsidP="00B62A45">
      <w:pPr>
        <w:pStyle w:val="texto"/>
        <w:spacing w:after="92" w:line="232" w:lineRule="exact"/>
        <w:ind w:left="2880" w:hanging="1080"/>
        <w:rPr>
          <w:bCs/>
        </w:rPr>
      </w:pPr>
      <w:r>
        <w:rPr>
          <w:bCs/>
        </w:rPr>
        <w:tab/>
      </w:r>
      <w:r w:rsidRPr="00DC64AB">
        <w:rPr>
          <w:bCs/>
        </w:rPr>
        <w:t>Asimismo, los contribuyentes deberán apegarse a las políticas de uso del aplicativo “Mi nómina” para expedir el CFDI por las remuneraciones que cubran a sus trabajadores o a quienes se asimilan a salarios.</w:t>
      </w:r>
    </w:p>
    <w:p w14:paraId="693ACE85" w14:textId="77777777" w:rsidR="00B62A45" w:rsidRDefault="00B62A45" w:rsidP="00B62A45">
      <w:pPr>
        <w:pStyle w:val="texto"/>
        <w:spacing w:after="92" w:line="232" w:lineRule="exact"/>
        <w:ind w:left="2880" w:hanging="1080"/>
        <w:rPr>
          <w:b/>
          <w:bCs/>
        </w:rPr>
      </w:pPr>
      <w:r w:rsidRPr="00DC64AB">
        <w:rPr>
          <w:b/>
          <w:bCs/>
        </w:rPr>
        <w:t>Vigésimo</w:t>
      </w:r>
    </w:p>
    <w:p w14:paraId="1011A102" w14:textId="77777777" w:rsidR="00B62A45" w:rsidRPr="00DC64AB" w:rsidRDefault="00B62A45" w:rsidP="00B62A45">
      <w:pPr>
        <w:pStyle w:val="texto"/>
        <w:spacing w:after="92" w:line="232" w:lineRule="exact"/>
        <w:ind w:left="2880" w:hanging="1080"/>
        <w:rPr>
          <w:bCs/>
        </w:rPr>
      </w:pPr>
      <w:r w:rsidRPr="00DC64AB">
        <w:rPr>
          <w:b/>
          <w:bCs/>
        </w:rPr>
        <w:t>Quinto.</w:t>
      </w:r>
      <w:r w:rsidRPr="00DC64AB">
        <w:rPr>
          <w:b/>
          <w:bCs/>
        </w:rPr>
        <w:tab/>
      </w:r>
      <w:r w:rsidRPr="00DC64AB">
        <w:rPr>
          <w:bCs/>
        </w:rPr>
        <w:t xml:space="preserve">Los contribuyentes personas físicas que tributen en términos de la Sección IV del Capítulo II del Título IV de la Ley del ISR, podrán expedir sus CFDI a través de las aplicaciones “Factura fácil” y “Mi nómina” de “Mis cuentas”, haciendo uso de la facilidad de sellar el CFDI sin la necesidad de contar con el certificado de e.firma o de un CSD hasta el 30 de junio </w:t>
      </w:r>
      <w:r>
        <w:rPr>
          <w:bCs/>
        </w:rPr>
        <w:t xml:space="preserve"> </w:t>
      </w:r>
      <w:r w:rsidRPr="00DC64AB">
        <w:rPr>
          <w:bCs/>
        </w:rPr>
        <w:t>de 2023.</w:t>
      </w:r>
    </w:p>
    <w:p w14:paraId="0F5A714B" w14:textId="77777777" w:rsidR="00B62A45" w:rsidRDefault="00B62A45" w:rsidP="00B62A45">
      <w:pPr>
        <w:pStyle w:val="texto"/>
        <w:spacing w:after="92" w:line="209" w:lineRule="exact"/>
        <w:ind w:left="2880" w:hanging="1080"/>
        <w:rPr>
          <w:b/>
          <w:bCs/>
        </w:rPr>
      </w:pPr>
      <w:r w:rsidRPr="00DC64AB">
        <w:rPr>
          <w:b/>
          <w:bCs/>
        </w:rPr>
        <w:t>Vigésimo</w:t>
      </w:r>
    </w:p>
    <w:p w14:paraId="1BB8FA21" w14:textId="77777777" w:rsidR="00B62A45" w:rsidRDefault="00B62A45" w:rsidP="00B62A45">
      <w:pPr>
        <w:pStyle w:val="texto"/>
        <w:spacing w:after="92" w:line="209" w:lineRule="exact"/>
        <w:ind w:left="2880" w:hanging="1080"/>
        <w:rPr>
          <w:bCs/>
        </w:rPr>
      </w:pPr>
      <w:r w:rsidRPr="00DC64AB">
        <w:rPr>
          <w:b/>
          <w:bCs/>
        </w:rPr>
        <w:t>Sexto.</w:t>
      </w:r>
      <w:r w:rsidRPr="00DC64AB">
        <w:rPr>
          <w:bCs/>
        </w:rPr>
        <w:tab/>
        <w:t>Para los efectos del artículo 113-G, fracción II de la Ley del ISR, los contribuyentes personas físicas que opten por tributar en el Régimen Simplificado de Confianza, deberán contar con buzón tributario habilitado, o bien, registrar o actualizar sus medios de contacto, adicionando, en su caso, el que les haga falta, de acuerdo a la regla 2.2.7., a más tardar el 30 de junio de 2023, de conformidad con la ficha de trámite 245/CFF “Habilitación del buzón tributario y registro de mecanismos de comunicación como medios de contacto”, contenida en el Anexo 1-A.</w:t>
      </w:r>
    </w:p>
    <w:p w14:paraId="22607A17" w14:textId="77777777" w:rsidR="00B62A45" w:rsidRPr="00DC64AB" w:rsidRDefault="00B62A45" w:rsidP="00B62A45">
      <w:pPr>
        <w:pStyle w:val="texto"/>
        <w:spacing w:after="92" w:line="209" w:lineRule="exact"/>
        <w:ind w:left="2880" w:hanging="1080"/>
        <w:rPr>
          <w:bCs/>
        </w:rPr>
      </w:pPr>
      <w:r>
        <w:rPr>
          <w:bCs/>
        </w:rPr>
        <w:tab/>
      </w:r>
      <w:r w:rsidRPr="00DC64AB">
        <w:rPr>
          <w:bCs/>
        </w:rPr>
        <w:t>Los contribuyentes que no cumplan con esta disposición, no podrán tributar en el Régimen Simplificado de Confianza. Para tales efectos, la autoridad fiscal podrá asignar al contribuyente el régimen fiscal que le corresponda.</w:t>
      </w:r>
    </w:p>
    <w:p w14:paraId="6A387D60" w14:textId="77777777" w:rsidR="00B62A45" w:rsidRDefault="00B62A45" w:rsidP="00B62A45">
      <w:pPr>
        <w:pStyle w:val="texto"/>
        <w:spacing w:after="92" w:line="209" w:lineRule="exact"/>
        <w:ind w:left="2880" w:hanging="1080"/>
        <w:rPr>
          <w:b/>
        </w:rPr>
      </w:pPr>
      <w:r w:rsidRPr="00DC64AB">
        <w:rPr>
          <w:b/>
        </w:rPr>
        <w:t>Vigésimo</w:t>
      </w:r>
    </w:p>
    <w:p w14:paraId="142EAE7C" w14:textId="77777777" w:rsidR="00B62A45" w:rsidRDefault="00B62A45" w:rsidP="00B62A45">
      <w:pPr>
        <w:pStyle w:val="texto"/>
        <w:spacing w:after="92" w:line="209" w:lineRule="exact"/>
        <w:ind w:left="2880" w:hanging="1080"/>
        <w:rPr>
          <w:b/>
          <w:position w:val="9"/>
        </w:rPr>
      </w:pPr>
      <w:r w:rsidRPr="00DC64AB">
        <w:rPr>
          <w:b/>
        </w:rPr>
        <w:t>Séptimo.</w:t>
      </w:r>
      <w:r w:rsidRPr="00DC64AB">
        <w:rPr>
          <w:b/>
        </w:rPr>
        <w:tab/>
      </w:r>
      <w:r w:rsidRPr="00DC64AB">
        <w:t>Para los efectos del artículo 113-G, fracción II de la Ley del ISR, los contribuyentes que opten por tributar en el Régimen Simplificado de Confianza, deberán contar con e.firma activa a más tardar el 30 de junio de 2023. La e.firma se obtendrá cumpliendo con los requisitos y condiciones establecidos en las fichas de trámite 105/CFF “Solicitud de generación del Certificado de e.firma para personas físicas” y 106/CFF “Solicitud de renovación del Certificado de e.firma para personas físicas”, contenidas en el Anexo 1-A.</w:t>
      </w:r>
    </w:p>
    <w:p w14:paraId="5DE88005" w14:textId="77777777" w:rsidR="00B62A45" w:rsidRPr="00DC64AB" w:rsidRDefault="00B62A45" w:rsidP="00B62A45">
      <w:pPr>
        <w:pStyle w:val="texto"/>
        <w:spacing w:after="92" w:line="209" w:lineRule="exact"/>
        <w:ind w:left="2880" w:hanging="1080"/>
      </w:pPr>
      <w:r>
        <w:tab/>
      </w:r>
      <w:r w:rsidRPr="00DC64AB">
        <w:t>Los contribuyentes que inicien actividades deberán cumplir con lo señalado en el párrafo anterior, a más tardar dentro de los treinta días naturales siguientes a la fecha en que iniciaron actividades.</w:t>
      </w:r>
    </w:p>
    <w:p w14:paraId="3B8429C4" w14:textId="77777777" w:rsidR="00B62A45" w:rsidRPr="00DC64AB" w:rsidRDefault="00B62A45" w:rsidP="00B62A45">
      <w:pPr>
        <w:pStyle w:val="texto"/>
        <w:spacing w:after="92" w:line="209" w:lineRule="exact"/>
        <w:ind w:left="2880" w:hanging="1080"/>
      </w:pPr>
      <w:r>
        <w:tab/>
      </w:r>
      <w:r w:rsidRPr="00DC64AB">
        <w:t>Los contribuyentes que no cumplan con esta disposición, no podrán tributar en el Régimen Simplificado de Confianza. Para tales efectos, la autoridad fiscal podrá asignar al contribuyente el régimen fiscal que le corresponda.</w:t>
      </w:r>
    </w:p>
    <w:p w14:paraId="584317E6" w14:textId="77777777" w:rsidR="00B62A45" w:rsidRPr="00DC64AB" w:rsidRDefault="00B62A45" w:rsidP="00B62A45">
      <w:pPr>
        <w:pStyle w:val="ANOTACION"/>
        <w:spacing w:after="92" w:line="209" w:lineRule="exact"/>
      </w:pPr>
      <w:r w:rsidRPr="00DC64AB">
        <w:t>Transitorios</w:t>
      </w:r>
    </w:p>
    <w:p w14:paraId="20F8A846" w14:textId="77777777" w:rsidR="00B62A45" w:rsidRPr="00DC64AB" w:rsidRDefault="00B62A45" w:rsidP="00B62A45">
      <w:pPr>
        <w:pStyle w:val="texto"/>
        <w:spacing w:after="92" w:line="209" w:lineRule="exact"/>
        <w:ind w:left="1800" w:hanging="1080"/>
        <w:rPr>
          <w:color w:val="000000"/>
          <w:lang w:val="es-ES"/>
        </w:rPr>
      </w:pPr>
      <w:r w:rsidRPr="00DC64AB">
        <w:rPr>
          <w:b/>
          <w:color w:val="000000"/>
          <w:lang w:val="es-ES"/>
        </w:rPr>
        <w:t>Primero.</w:t>
      </w:r>
      <w:r w:rsidRPr="00DC64AB">
        <w:rPr>
          <w:b/>
          <w:color w:val="000000"/>
          <w:lang w:val="es-ES"/>
        </w:rPr>
        <w:tab/>
      </w:r>
      <w:r w:rsidRPr="00DC64AB">
        <w:rPr>
          <w:color w:val="000000"/>
          <w:lang w:val="es-ES"/>
        </w:rPr>
        <w:t>La presente Resolución entrará en vigor el día siguiente al de su publicación en el DOF. Por lo que se refiere a las disposiciones dadas a conocer de manera anticipada en el Portal del SAT, su contenido surtirá sus efectos en términos de la regla 1.8., tercer párrafo de la RMF para 2023.</w:t>
      </w:r>
    </w:p>
    <w:p w14:paraId="7E5C5779" w14:textId="77777777" w:rsidR="00B62A45" w:rsidRPr="00DC64AB" w:rsidRDefault="00B62A45" w:rsidP="00B62A45">
      <w:pPr>
        <w:pStyle w:val="texto"/>
        <w:spacing w:after="92" w:line="209" w:lineRule="exact"/>
        <w:ind w:left="1800" w:hanging="1080"/>
      </w:pPr>
      <w:r w:rsidRPr="00DC64AB">
        <w:rPr>
          <w:b/>
        </w:rPr>
        <w:t>Segundo.</w:t>
      </w:r>
      <w:r w:rsidRPr="00DC64AB">
        <w:tab/>
        <w:t xml:space="preserve">Para los efectos del artículo 31 del CFF y las reglas 2.8.2.1., 2.8.2.2., 4.5.1., 5.2.1., 5.2.2., 5.2.13., 5.2.14., 5.2.15., 5.2.16., 5.2.17., 5.2.18., 5.2.19., 5.2.20., 5.2.21., 5.2.24. y 5.2.26., los contribuyentes obligados a presentar las declaraciones siguientes: DIM, DIOT, Declaración Informativa por Contraprestaciones o Donativos Recibidos Superiores a $100,000.00, Declaración Informativa de Aprovechamientos por el Manejo Almacenaje y Custodia de Mercancías de Comercio Exterior y Declaración Informativa Múltiple del </w:t>
      </w:r>
      <w:r w:rsidRPr="00DC64AB">
        <w:lastRenderedPageBreak/>
        <w:t>IEPS, que no puedan presentar dichas declaraciones en el mes de febrero, podrán hacerlo a más tardar el 15 de marzo de 2023.</w:t>
      </w:r>
    </w:p>
    <w:p w14:paraId="3794B930" w14:textId="77777777" w:rsidR="00B62A45" w:rsidRPr="00DC64AB" w:rsidRDefault="00B62A45" w:rsidP="00B62A45">
      <w:pPr>
        <w:pStyle w:val="texto"/>
        <w:spacing w:after="92" w:line="209" w:lineRule="exact"/>
        <w:ind w:left="1800" w:hanging="1080"/>
      </w:pPr>
      <w:r w:rsidRPr="00DC64AB">
        <w:rPr>
          <w:b/>
        </w:rPr>
        <w:t>Tercero.</w:t>
      </w:r>
      <w:r w:rsidRPr="00DC64AB">
        <w:rPr>
          <w:b/>
        </w:rPr>
        <w:tab/>
      </w:r>
      <w:r w:rsidRPr="00DC64AB">
        <w:t>Para los efectos de la regla 1.6., fracción IV, el lugar para presentar asuntos competencia de la Administración Central de lo Contencioso, adscrita a la Administración General Jurídica, señalado en dicha fracción, será aplicable a partir del 30 de mayo de 2023.</w:t>
      </w:r>
    </w:p>
    <w:p w14:paraId="5F914692" w14:textId="77777777" w:rsidR="00B62A45" w:rsidRDefault="00B62A45" w:rsidP="00B62A45">
      <w:pPr>
        <w:pStyle w:val="texto"/>
        <w:spacing w:after="92" w:line="209" w:lineRule="exact"/>
        <w:ind w:left="1800" w:hanging="1080"/>
      </w:pPr>
      <w:r w:rsidRPr="00DC64AB">
        <w:rPr>
          <w:b/>
          <w:iCs/>
        </w:rPr>
        <w:t>Cuarto.</w:t>
      </w:r>
      <w:r w:rsidRPr="00DC64AB">
        <w:rPr>
          <w:iCs/>
        </w:rPr>
        <w:t xml:space="preserve"> </w:t>
      </w:r>
      <w:r w:rsidRPr="00DC64AB">
        <w:rPr>
          <w:iCs/>
        </w:rPr>
        <w:tab/>
        <w:t>Para los efectos de las reglas 3.17.5., 3.21.5.2. y del Artículo Vigésimo Octavo Transitorio de la RMF, se tendrá por presentado en tiempo el aviso o la solicitud a que se refieren las fichas de trámite 60/ISR “Aviso para la administración de planes personales de retiro” y 164/ISR “Solicitud de inscripción en el Registro de las instituciones que administran los estímulos fiscales de cuentas personales del ahorro”, contenidas en el Anexo 1-A, cuando dicho trámite haya sido presentado con la información y documentación correspondiente, a más tardar el 28 de marzo de 2023.</w:t>
      </w:r>
    </w:p>
    <w:p w14:paraId="634D2A99" w14:textId="77777777" w:rsidR="00B62A45" w:rsidRDefault="00B62A45" w:rsidP="00B62A45">
      <w:pPr>
        <w:pStyle w:val="texto"/>
        <w:spacing w:after="92"/>
        <w:rPr>
          <w:color w:val="000000"/>
          <w:lang w:eastAsia="es-MX"/>
        </w:rPr>
      </w:pPr>
      <w:r w:rsidRPr="00DC64AB">
        <w:rPr>
          <w:color w:val="000000"/>
          <w:lang w:eastAsia="es-MX"/>
        </w:rPr>
        <w:t>Atentamente.</w:t>
      </w:r>
    </w:p>
    <w:p w14:paraId="22682E70" w14:textId="77777777" w:rsidR="00B62A45" w:rsidRDefault="00B62A45" w:rsidP="00B62A45">
      <w:pPr>
        <w:pStyle w:val="texto"/>
        <w:spacing w:after="92"/>
        <w:rPr>
          <w:color w:val="000000"/>
          <w:lang w:eastAsia="es-MX"/>
        </w:rPr>
      </w:pPr>
      <w:r w:rsidRPr="00DC64AB">
        <w:rPr>
          <w:color w:val="000000"/>
          <w:lang w:eastAsia="es-MX"/>
        </w:rPr>
        <w:t>Ciudad de México, a 13 de abril de 2023.</w:t>
      </w:r>
      <w:r>
        <w:rPr>
          <w:color w:val="000000"/>
          <w:lang w:eastAsia="es-MX"/>
        </w:rPr>
        <w:t xml:space="preserve">- </w:t>
      </w:r>
      <w:r w:rsidRPr="00DC64AB">
        <w:t xml:space="preserve">En suplencia por ausencia del </w:t>
      </w:r>
      <w:r w:rsidRPr="00DC64AB">
        <w:rPr>
          <w:bCs/>
        </w:rPr>
        <w:t>Jefe del Servicio de Administración Tributaria</w:t>
      </w:r>
      <w:r w:rsidRPr="00DC64AB">
        <w:t xml:space="preserve">, con fundamento en el artículo 4, primer párrafo del Reglamento Interior del Servicio de Administración Tributaria, firma el </w:t>
      </w:r>
      <w:r>
        <w:rPr>
          <w:bCs/>
        </w:rPr>
        <w:t xml:space="preserve">Administrador General Jurídico, </w:t>
      </w:r>
      <w:r w:rsidRPr="00DC64AB">
        <w:rPr>
          <w:color w:val="000000"/>
          <w:lang w:eastAsia="es-MX"/>
        </w:rPr>
        <w:t xml:space="preserve">Lic. </w:t>
      </w:r>
      <w:r w:rsidRPr="005E6244">
        <w:rPr>
          <w:b/>
          <w:color w:val="000000"/>
          <w:lang w:eastAsia="es-MX"/>
        </w:rPr>
        <w:t>Ricardo Carrasco Varona</w:t>
      </w:r>
      <w:r>
        <w:rPr>
          <w:color w:val="000000"/>
          <w:lang w:eastAsia="es-MX"/>
        </w:rPr>
        <w:t>.- Rúbrica.</w:t>
      </w:r>
    </w:p>
    <w:p w14:paraId="4D696FC0" w14:textId="77777777" w:rsidR="00AA040A" w:rsidRDefault="00AA040A"/>
    <w:sectPr w:rsidR="00AA040A">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F6C41" w14:textId="77777777" w:rsidR="009E6BAF" w:rsidRDefault="009E6BAF" w:rsidP="00B62A45">
      <w:r>
        <w:separator/>
      </w:r>
    </w:p>
  </w:endnote>
  <w:endnote w:type="continuationSeparator" w:id="0">
    <w:p w14:paraId="11A64FF4" w14:textId="77777777" w:rsidR="009E6BAF" w:rsidRDefault="009E6BAF" w:rsidP="00B62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CD456" w14:textId="77777777" w:rsidR="009E6BAF" w:rsidRDefault="009E6BAF" w:rsidP="00B62A45">
      <w:r>
        <w:separator/>
      </w:r>
    </w:p>
  </w:footnote>
  <w:footnote w:type="continuationSeparator" w:id="0">
    <w:p w14:paraId="2EAC123C" w14:textId="77777777" w:rsidR="009E6BAF" w:rsidRDefault="009E6BAF" w:rsidP="00B62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8E9A3" w14:textId="6D80DC63" w:rsidR="00B62A45" w:rsidRPr="00B62A45" w:rsidRDefault="00B62A45">
    <w:pPr>
      <w:pStyle w:val="Encabezado"/>
      <w:rPr>
        <w:lang w:val="es-ES_tradnl"/>
      </w:rPr>
    </w:pPr>
    <w:r>
      <w:rPr>
        <w:lang w:val="es-ES_tradnl"/>
      </w:rPr>
      <w:t xml:space="preserve">DOF 25/04/2023 </w:t>
    </w:r>
    <w:hyperlink r:id="rId1" w:history="1">
      <w:r w:rsidRPr="00306FBE">
        <w:rPr>
          <w:rStyle w:val="Hipervnculo"/>
          <w:lang w:val="es-ES_tradnl"/>
        </w:rPr>
        <w:t>www.amcp.mx</w:t>
      </w:r>
    </w:hyperlink>
    <w:r>
      <w:rPr>
        <w:lang w:val="es-ES_tradn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7426F"/>
    <w:multiLevelType w:val="hybridMultilevel"/>
    <w:tmpl w:val="460A4662"/>
    <w:lvl w:ilvl="0" w:tplc="726E534E">
      <w:start w:val="1"/>
      <w:numFmt w:val="lowerLetter"/>
      <w:lvlText w:val="%1)"/>
      <w:lvlJc w:val="left"/>
      <w:pPr>
        <w:ind w:left="2700" w:hanging="360"/>
      </w:pPr>
      <w:rPr>
        <w:rFonts w:hint="default"/>
      </w:rPr>
    </w:lvl>
    <w:lvl w:ilvl="1" w:tplc="080A0019" w:tentative="1">
      <w:start w:val="1"/>
      <w:numFmt w:val="lowerLetter"/>
      <w:lvlText w:val="%2."/>
      <w:lvlJc w:val="left"/>
      <w:pPr>
        <w:ind w:left="3420" w:hanging="360"/>
      </w:pPr>
    </w:lvl>
    <w:lvl w:ilvl="2" w:tplc="080A001B" w:tentative="1">
      <w:start w:val="1"/>
      <w:numFmt w:val="lowerRoman"/>
      <w:lvlText w:val="%3."/>
      <w:lvlJc w:val="right"/>
      <w:pPr>
        <w:ind w:left="4140" w:hanging="180"/>
      </w:pPr>
    </w:lvl>
    <w:lvl w:ilvl="3" w:tplc="080A000F" w:tentative="1">
      <w:start w:val="1"/>
      <w:numFmt w:val="decimal"/>
      <w:lvlText w:val="%4."/>
      <w:lvlJc w:val="left"/>
      <w:pPr>
        <w:ind w:left="4860" w:hanging="360"/>
      </w:pPr>
    </w:lvl>
    <w:lvl w:ilvl="4" w:tplc="080A0019" w:tentative="1">
      <w:start w:val="1"/>
      <w:numFmt w:val="lowerLetter"/>
      <w:lvlText w:val="%5."/>
      <w:lvlJc w:val="left"/>
      <w:pPr>
        <w:ind w:left="5580" w:hanging="360"/>
      </w:pPr>
    </w:lvl>
    <w:lvl w:ilvl="5" w:tplc="080A001B" w:tentative="1">
      <w:start w:val="1"/>
      <w:numFmt w:val="lowerRoman"/>
      <w:lvlText w:val="%6."/>
      <w:lvlJc w:val="right"/>
      <w:pPr>
        <w:ind w:left="6300" w:hanging="180"/>
      </w:pPr>
    </w:lvl>
    <w:lvl w:ilvl="6" w:tplc="080A000F" w:tentative="1">
      <w:start w:val="1"/>
      <w:numFmt w:val="decimal"/>
      <w:lvlText w:val="%7."/>
      <w:lvlJc w:val="left"/>
      <w:pPr>
        <w:ind w:left="7020" w:hanging="360"/>
      </w:pPr>
    </w:lvl>
    <w:lvl w:ilvl="7" w:tplc="080A0019" w:tentative="1">
      <w:start w:val="1"/>
      <w:numFmt w:val="lowerLetter"/>
      <w:lvlText w:val="%8."/>
      <w:lvlJc w:val="left"/>
      <w:pPr>
        <w:ind w:left="7740" w:hanging="360"/>
      </w:pPr>
    </w:lvl>
    <w:lvl w:ilvl="8" w:tplc="080A001B" w:tentative="1">
      <w:start w:val="1"/>
      <w:numFmt w:val="lowerRoman"/>
      <w:lvlText w:val="%9."/>
      <w:lvlJc w:val="right"/>
      <w:pPr>
        <w:ind w:left="84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45"/>
    <w:rsid w:val="006012A0"/>
    <w:rsid w:val="00802ABF"/>
    <w:rsid w:val="009E6BAF"/>
    <w:rsid w:val="00AA040A"/>
    <w:rsid w:val="00B62A45"/>
    <w:rsid w:val="00FE61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0D3CB"/>
  <w15:chartTrackingRefBased/>
  <w15:docId w15:val="{C4A8B295-4BEE-6E49-A98F-82CE65EA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A45"/>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BEZA">
    <w:name w:val="CABEZA"/>
    <w:basedOn w:val="Normal"/>
    <w:rsid w:val="00B62A45"/>
    <w:pPr>
      <w:jc w:val="center"/>
    </w:pPr>
    <w:rPr>
      <w:rFonts w:eastAsia="Calibri" w:cs="Arial"/>
      <w:b/>
      <w:sz w:val="28"/>
      <w:szCs w:val="28"/>
      <w:lang w:val="es-ES_tradnl" w:eastAsia="es-MX"/>
    </w:rPr>
  </w:style>
  <w:style w:type="paragraph" w:customStyle="1" w:styleId="ANOTACION">
    <w:name w:val="ANOTACION"/>
    <w:basedOn w:val="Normal"/>
    <w:link w:val="ANOTACIONCar"/>
    <w:qFormat/>
    <w:rsid w:val="00B62A45"/>
    <w:pPr>
      <w:spacing w:before="101" w:after="101" w:line="216" w:lineRule="atLeast"/>
      <w:jc w:val="center"/>
    </w:pPr>
    <w:rPr>
      <w:b/>
      <w:sz w:val="18"/>
      <w:szCs w:val="20"/>
      <w:lang w:val="es-ES_tradnl"/>
    </w:rPr>
  </w:style>
  <w:style w:type="character" w:customStyle="1" w:styleId="ANOTACIONCar">
    <w:name w:val="ANOTACION Car"/>
    <w:link w:val="ANOTACION"/>
    <w:locked/>
    <w:rsid w:val="00B62A45"/>
    <w:rPr>
      <w:rFonts w:ascii="Times New Roman" w:eastAsia="Times New Roman" w:hAnsi="Times New Roman" w:cs="Times New Roman"/>
      <w:b/>
      <w:sz w:val="18"/>
      <w:szCs w:val="20"/>
      <w:lang w:val="es-ES_tradnl" w:eastAsia="es-ES"/>
    </w:rPr>
  </w:style>
  <w:style w:type="paragraph" w:customStyle="1" w:styleId="Titulo1">
    <w:name w:val="Titulo 1"/>
    <w:basedOn w:val="Normal"/>
    <w:link w:val="Titulo1Car"/>
    <w:rsid w:val="00B62A45"/>
    <w:pPr>
      <w:pBdr>
        <w:bottom w:val="single" w:sz="12" w:space="1" w:color="auto"/>
      </w:pBdr>
      <w:spacing w:before="120"/>
      <w:jc w:val="both"/>
      <w:outlineLvl w:val="0"/>
    </w:pPr>
    <w:rPr>
      <w:rFonts w:cs="Arial"/>
      <w:b/>
      <w:sz w:val="18"/>
      <w:szCs w:val="18"/>
      <w:lang w:val="es-MX" w:eastAsia="es-MX"/>
    </w:rPr>
  </w:style>
  <w:style w:type="character" w:customStyle="1" w:styleId="Titulo1Car">
    <w:name w:val="Titulo 1 Car"/>
    <w:link w:val="Titulo1"/>
    <w:rsid w:val="00B62A45"/>
    <w:rPr>
      <w:rFonts w:ascii="Times New Roman" w:eastAsia="Times New Roman" w:hAnsi="Times New Roman" w:cs="Arial"/>
      <w:b/>
      <w:sz w:val="18"/>
      <w:szCs w:val="18"/>
      <w:lang w:eastAsia="es-MX"/>
    </w:rPr>
  </w:style>
  <w:style w:type="paragraph" w:customStyle="1" w:styleId="Titulo2">
    <w:name w:val="Titulo 2"/>
    <w:basedOn w:val="Normal"/>
    <w:rsid w:val="00B62A45"/>
    <w:pPr>
      <w:pBdr>
        <w:top w:val="double" w:sz="6" w:space="1" w:color="auto"/>
      </w:pBdr>
      <w:spacing w:after="101"/>
      <w:jc w:val="both"/>
      <w:outlineLvl w:val="1"/>
    </w:pPr>
    <w:rPr>
      <w:rFonts w:ascii="Arial" w:hAnsi="Arial" w:cs="Arial"/>
      <w:sz w:val="18"/>
      <w:szCs w:val="20"/>
      <w:lang w:val="es-MX"/>
    </w:rPr>
  </w:style>
  <w:style w:type="paragraph" w:customStyle="1" w:styleId="texto">
    <w:name w:val="texto"/>
    <w:basedOn w:val="Normal"/>
    <w:rsid w:val="00B62A45"/>
    <w:pPr>
      <w:snapToGrid w:val="0"/>
      <w:spacing w:after="101" w:line="216" w:lineRule="exact"/>
      <w:ind w:firstLine="288"/>
      <w:jc w:val="both"/>
    </w:pPr>
    <w:rPr>
      <w:rFonts w:ascii="Arial" w:hAnsi="Arial" w:cs="Arial"/>
      <w:sz w:val="18"/>
      <w:szCs w:val="18"/>
      <w:lang w:val="es-MX"/>
    </w:rPr>
  </w:style>
  <w:style w:type="character" w:styleId="Refdenotaalpie">
    <w:name w:val="footnote reference"/>
    <w:uiPriority w:val="99"/>
    <w:unhideWhenUsed/>
    <w:rsid w:val="00B62A45"/>
    <w:rPr>
      <w:vertAlign w:val="superscript"/>
    </w:rPr>
  </w:style>
  <w:style w:type="paragraph" w:styleId="Encabezado">
    <w:name w:val="header"/>
    <w:basedOn w:val="Normal"/>
    <w:link w:val="EncabezadoCar"/>
    <w:uiPriority w:val="99"/>
    <w:unhideWhenUsed/>
    <w:rsid w:val="00B62A45"/>
    <w:pPr>
      <w:tabs>
        <w:tab w:val="center" w:pos="4419"/>
        <w:tab w:val="right" w:pos="8838"/>
      </w:tabs>
    </w:pPr>
  </w:style>
  <w:style w:type="character" w:customStyle="1" w:styleId="EncabezadoCar">
    <w:name w:val="Encabezado Car"/>
    <w:basedOn w:val="Fuentedeprrafopredeter"/>
    <w:link w:val="Encabezado"/>
    <w:uiPriority w:val="99"/>
    <w:rsid w:val="00B62A45"/>
    <w:rPr>
      <w:rFonts w:ascii="Times New Roman" w:eastAsia="Times New Roman" w:hAnsi="Times New Roman" w:cs="Times New Roman"/>
      <w:lang w:val="es-ES" w:eastAsia="es-ES"/>
    </w:rPr>
  </w:style>
  <w:style w:type="paragraph" w:styleId="Piedepgina">
    <w:name w:val="footer"/>
    <w:basedOn w:val="Normal"/>
    <w:link w:val="PiedepginaCar"/>
    <w:uiPriority w:val="99"/>
    <w:unhideWhenUsed/>
    <w:rsid w:val="00B62A45"/>
    <w:pPr>
      <w:tabs>
        <w:tab w:val="center" w:pos="4419"/>
        <w:tab w:val="right" w:pos="8838"/>
      </w:tabs>
    </w:pPr>
  </w:style>
  <w:style w:type="character" w:customStyle="1" w:styleId="PiedepginaCar">
    <w:name w:val="Pie de página Car"/>
    <w:basedOn w:val="Fuentedeprrafopredeter"/>
    <w:link w:val="Piedepgina"/>
    <w:uiPriority w:val="99"/>
    <w:rsid w:val="00B62A45"/>
    <w:rPr>
      <w:rFonts w:ascii="Times New Roman" w:eastAsia="Times New Roman" w:hAnsi="Times New Roman" w:cs="Times New Roman"/>
      <w:lang w:val="es-ES" w:eastAsia="es-ES"/>
    </w:rPr>
  </w:style>
  <w:style w:type="character" w:styleId="Hipervnculo">
    <w:name w:val="Hyperlink"/>
    <w:basedOn w:val="Fuentedeprrafopredeter"/>
    <w:uiPriority w:val="99"/>
    <w:unhideWhenUsed/>
    <w:rsid w:val="00B62A45"/>
    <w:rPr>
      <w:color w:val="0563C1" w:themeColor="hyperlink"/>
      <w:u w:val="single"/>
    </w:rPr>
  </w:style>
  <w:style w:type="character" w:styleId="Mencinsinresolver">
    <w:name w:val="Unresolved Mention"/>
    <w:basedOn w:val="Fuentedeprrafopredeter"/>
    <w:uiPriority w:val="99"/>
    <w:semiHidden/>
    <w:unhideWhenUsed/>
    <w:rsid w:val="00B62A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7026</Words>
  <Characters>38646</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2023-04-26T14:23:00Z</dcterms:created>
  <dcterms:modified xsi:type="dcterms:W3CDTF">2023-04-26T14:28:00Z</dcterms:modified>
</cp:coreProperties>
</file>