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1927" w14:textId="77777777" w:rsidR="002E3C60" w:rsidRDefault="002E3C60" w:rsidP="002E3C60">
      <w:pPr>
        <w:pStyle w:val="ANOTACION"/>
      </w:pPr>
      <w:r w:rsidRPr="00E8545F">
        <w:t>PRIMERA MODIFICACIÓN AL ANEXO 29 DE LA RESOLUC</w:t>
      </w:r>
      <w:r>
        <w:t>IÓN MISCELÁNEA FISCAL PARA 2024</w:t>
      </w:r>
    </w:p>
    <w:p w14:paraId="44A1CEF3" w14:textId="77777777" w:rsidR="002E3C60" w:rsidRPr="00E8545F" w:rsidRDefault="002E3C60" w:rsidP="002E3C60">
      <w:pPr>
        <w:pStyle w:val="Texto"/>
        <w:ind w:firstLine="0"/>
        <w:jc w:val="center"/>
        <w:rPr>
          <w:b/>
        </w:rPr>
      </w:pPr>
      <w:r w:rsidRPr="00E8545F">
        <w:rPr>
          <w:b/>
        </w:rPr>
        <w:t>Disposiciones complementarias para los proveedores de certificación y los CFDI</w:t>
      </w:r>
    </w:p>
    <w:p w14:paraId="0E8D1BB1" w14:textId="77777777" w:rsidR="002E3C60" w:rsidRPr="00E8545F" w:rsidRDefault="002E3C60" w:rsidP="002E3C60">
      <w:pPr>
        <w:pStyle w:val="Texto"/>
        <w:spacing w:after="90"/>
      </w:pPr>
      <w:bookmarkStart w:id="0" w:name="N_Hlk147229008"/>
      <w:r w:rsidRPr="00E8545F">
        <w:t>Para efectos del artículo 29 Bis, fracción I del CFF, en relación con la regla 1.9., fracción XXVII, se expide el presente Anexo conteniendo disposiciones normativas y especificaciones tecnológicas, así como validaciones adicionales a las establecidas en el Anexo 20 y sus complementos, las cuales deben observar de manera obligatoria los proveedores de certificación.</w:t>
      </w:r>
      <w:bookmarkEnd w:id="0"/>
    </w:p>
    <w:p w14:paraId="566C1FDA" w14:textId="77777777" w:rsidR="002E3C60" w:rsidRPr="00E8545F" w:rsidRDefault="002E3C60" w:rsidP="002E3C60">
      <w:pPr>
        <w:pStyle w:val="Texto"/>
        <w:spacing w:after="90"/>
        <w:ind w:firstLine="0"/>
        <w:jc w:val="center"/>
        <w:rPr>
          <w:b/>
          <w:lang w:val="es-MX"/>
        </w:rPr>
      </w:pPr>
      <w:r w:rsidRPr="00E8545F">
        <w:rPr>
          <w:b/>
          <w:lang w:val="es-MX"/>
        </w:rPr>
        <w:t>Contenido</w:t>
      </w:r>
    </w:p>
    <w:p w14:paraId="0D0EE423" w14:textId="77777777" w:rsidR="002E3C60" w:rsidRPr="00E8545F" w:rsidRDefault="002E3C60" w:rsidP="002E3C60">
      <w:pPr>
        <w:pStyle w:val="Texto"/>
        <w:tabs>
          <w:tab w:val="right" w:leader="dot" w:pos="8827"/>
        </w:tabs>
        <w:spacing w:after="90"/>
        <w:ind w:left="864" w:hanging="576"/>
        <w:rPr>
          <w:lang w:val="es-MX"/>
        </w:rPr>
      </w:pPr>
      <w:r w:rsidRPr="00E8545F">
        <w:rPr>
          <w:b/>
          <w:lang w:val="es-MX"/>
        </w:rPr>
        <w:t>I.</w:t>
      </w:r>
      <w:r w:rsidRPr="00E8545F">
        <w:rPr>
          <w:b/>
          <w:lang w:val="es-MX"/>
        </w:rPr>
        <w:tab/>
      </w:r>
      <w:r>
        <w:rPr>
          <w:b/>
          <w:lang w:val="es-MX"/>
        </w:rPr>
        <w:tab/>
      </w:r>
    </w:p>
    <w:p w14:paraId="0F52C273" w14:textId="77777777" w:rsidR="002E3C60" w:rsidRPr="00E8545F" w:rsidRDefault="002E3C60" w:rsidP="002E3C60">
      <w:pPr>
        <w:pStyle w:val="Texto"/>
        <w:tabs>
          <w:tab w:val="right" w:leader="dot" w:pos="8827"/>
        </w:tabs>
        <w:spacing w:after="90"/>
        <w:ind w:left="864" w:hanging="576"/>
        <w:rPr>
          <w:lang w:val="es-MX"/>
        </w:rPr>
      </w:pPr>
      <w:r w:rsidRPr="00E8545F">
        <w:rPr>
          <w:b/>
          <w:lang w:val="es-MX"/>
        </w:rPr>
        <w:t>II.</w:t>
      </w:r>
      <w:r w:rsidRPr="00E8545F">
        <w:rPr>
          <w:b/>
          <w:lang w:val="es-MX"/>
        </w:rPr>
        <w:tab/>
      </w:r>
      <w:r>
        <w:rPr>
          <w:b/>
          <w:lang w:val="es-MX"/>
        </w:rPr>
        <w:tab/>
      </w:r>
    </w:p>
    <w:p w14:paraId="74FA5DF0" w14:textId="77777777" w:rsidR="002E3C60" w:rsidRPr="00E8545F" w:rsidRDefault="002E3C60" w:rsidP="002E3C60">
      <w:pPr>
        <w:pStyle w:val="Texto"/>
        <w:spacing w:after="90"/>
        <w:ind w:left="864" w:hanging="576"/>
        <w:rPr>
          <w:lang w:val="es-MX"/>
        </w:rPr>
      </w:pPr>
      <w:r w:rsidRPr="00E8545F">
        <w:rPr>
          <w:b/>
          <w:lang w:val="es-MX"/>
        </w:rPr>
        <w:t>III.</w:t>
      </w:r>
      <w:r w:rsidRPr="00E8545F">
        <w:rPr>
          <w:b/>
          <w:lang w:val="es-MX"/>
        </w:rPr>
        <w:tab/>
      </w:r>
      <w:r w:rsidRPr="00E8545F">
        <w:rPr>
          <w:lang w:val="es-MX"/>
        </w:rPr>
        <w:t>Especificaciones para la descarga y consulta de la LCO y LRFC.</w:t>
      </w:r>
    </w:p>
    <w:p w14:paraId="43F2A7D0" w14:textId="77777777" w:rsidR="002E3C60" w:rsidRPr="00E8545F" w:rsidRDefault="002E3C60" w:rsidP="002E3C60">
      <w:pPr>
        <w:pStyle w:val="Texto"/>
        <w:spacing w:after="90"/>
        <w:ind w:left="864" w:hanging="576"/>
        <w:rPr>
          <w:lang w:val="es-MX"/>
        </w:rPr>
      </w:pPr>
      <w:r w:rsidRPr="00E8545F">
        <w:rPr>
          <w:b/>
          <w:lang w:val="es-MX"/>
        </w:rPr>
        <w:t>IV.</w:t>
      </w:r>
      <w:r w:rsidRPr="00E8545F">
        <w:rPr>
          <w:b/>
          <w:lang w:val="es-MX"/>
        </w:rPr>
        <w:tab/>
      </w:r>
      <w:r w:rsidRPr="00E8545F">
        <w:rPr>
          <w:lang w:val="es-MX"/>
        </w:rPr>
        <w:t>Validaciones adicionales en la certificación de facturas que se expidan al amparo del Decreto de estímulos fiscales región fronteriza norte y del Decreto de estímulos fiscales región fronteriza sur.</w:t>
      </w:r>
    </w:p>
    <w:p w14:paraId="4F1CB87E" w14:textId="77777777" w:rsidR="002E3C60" w:rsidRPr="00E8545F" w:rsidRDefault="002E3C60" w:rsidP="002E3C60">
      <w:pPr>
        <w:pStyle w:val="Texto"/>
        <w:spacing w:after="90"/>
        <w:ind w:left="864" w:hanging="576"/>
        <w:rPr>
          <w:lang w:val="es-MX"/>
        </w:rPr>
      </w:pPr>
      <w:r w:rsidRPr="00E8545F">
        <w:rPr>
          <w:b/>
          <w:lang w:val="es-MX"/>
        </w:rPr>
        <w:t>V.</w:t>
      </w:r>
      <w:r w:rsidRPr="00E8545F">
        <w:rPr>
          <w:b/>
          <w:lang w:val="es-MX"/>
        </w:rPr>
        <w:tab/>
      </w:r>
      <w:r w:rsidRPr="00E8545F">
        <w:rPr>
          <w:lang w:val="es-MX"/>
        </w:rPr>
        <w:t>Reglas y lineamientos para operar en ambientes productivos.</w:t>
      </w:r>
    </w:p>
    <w:p w14:paraId="1BDEA320" w14:textId="77777777" w:rsidR="002E3C60" w:rsidRPr="00E8545F" w:rsidRDefault="002E3C60" w:rsidP="002E3C60">
      <w:pPr>
        <w:pStyle w:val="Texto"/>
        <w:spacing w:after="90"/>
        <w:ind w:left="864" w:hanging="576"/>
        <w:rPr>
          <w:lang w:val="es-MX"/>
        </w:rPr>
      </w:pPr>
      <w:r w:rsidRPr="00E8545F">
        <w:rPr>
          <w:b/>
          <w:lang w:val="es-MX"/>
        </w:rPr>
        <w:t>VI.</w:t>
      </w:r>
      <w:r w:rsidRPr="00E8545F">
        <w:rPr>
          <w:b/>
          <w:lang w:val="es-MX"/>
        </w:rPr>
        <w:tab/>
      </w:r>
      <w:r w:rsidRPr="00E8545F">
        <w:rPr>
          <w:lang w:val="es-MX"/>
        </w:rPr>
        <w:t>Validaciones adicionales al Anexo 20 y complementos de factura electrónica.</w:t>
      </w:r>
    </w:p>
    <w:p w14:paraId="4724C4F0" w14:textId="77777777" w:rsidR="002E3C60" w:rsidRDefault="002E3C60" w:rsidP="002E3C60">
      <w:pPr>
        <w:pStyle w:val="Texto"/>
        <w:spacing w:after="90"/>
        <w:ind w:left="864" w:hanging="576"/>
        <w:rPr>
          <w:lang w:val="es-MX"/>
        </w:rPr>
      </w:pPr>
      <w:r w:rsidRPr="00E8545F">
        <w:rPr>
          <w:b/>
          <w:lang w:val="es-MX"/>
        </w:rPr>
        <w:t>VII.</w:t>
      </w:r>
      <w:r w:rsidRPr="00E8545F">
        <w:rPr>
          <w:b/>
          <w:lang w:val="es-MX"/>
        </w:rPr>
        <w:tab/>
      </w:r>
      <w:r w:rsidRPr="00E8545F">
        <w:rPr>
          <w:lang w:val="es-MX"/>
        </w:rPr>
        <w:t>Lineamientos de uso gráfico del logotipo para proveedores autorizados de certificación de CFDI y requerimientos funcionales, servicios generales y niveles de servicio mínimos.</w:t>
      </w:r>
    </w:p>
    <w:p w14:paraId="68A3FB82" w14:textId="77777777" w:rsidR="002E3C60" w:rsidRPr="00E8545F" w:rsidRDefault="002E3C60" w:rsidP="002E3C60">
      <w:pPr>
        <w:pStyle w:val="Texto"/>
        <w:tabs>
          <w:tab w:val="right" w:leader="dot" w:pos="8827"/>
        </w:tabs>
        <w:spacing w:after="90"/>
        <w:ind w:left="864" w:hanging="576"/>
        <w:rPr>
          <w:lang w:val="es-MX"/>
        </w:rPr>
      </w:pPr>
      <w:r w:rsidRPr="00E8545F">
        <w:rPr>
          <w:b/>
          <w:lang w:val="es-MX"/>
        </w:rPr>
        <w:t>I.</w:t>
      </w:r>
      <w:r w:rsidRPr="00E8545F">
        <w:rPr>
          <w:b/>
          <w:lang w:val="es-MX"/>
        </w:rPr>
        <w:tab/>
      </w:r>
      <w:r>
        <w:rPr>
          <w:b/>
          <w:lang w:val="es-MX"/>
        </w:rPr>
        <w:tab/>
      </w:r>
    </w:p>
    <w:p w14:paraId="75F49FA3" w14:textId="77777777" w:rsidR="002E3C60" w:rsidRPr="00E8545F" w:rsidRDefault="002E3C60" w:rsidP="002E3C60">
      <w:pPr>
        <w:pStyle w:val="Texto"/>
        <w:tabs>
          <w:tab w:val="right" w:leader="dot" w:pos="8827"/>
        </w:tabs>
        <w:spacing w:after="90"/>
        <w:ind w:left="864" w:hanging="576"/>
        <w:rPr>
          <w:lang w:val="es-MX"/>
        </w:rPr>
      </w:pPr>
      <w:r w:rsidRPr="00E8545F">
        <w:rPr>
          <w:b/>
          <w:lang w:val="es-MX"/>
        </w:rPr>
        <w:t>II.</w:t>
      </w:r>
      <w:r w:rsidRPr="00E8545F">
        <w:rPr>
          <w:b/>
          <w:lang w:val="es-MX"/>
        </w:rPr>
        <w:tab/>
      </w:r>
      <w:r>
        <w:rPr>
          <w:b/>
          <w:lang w:val="es-MX"/>
        </w:rPr>
        <w:tab/>
      </w:r>
    </w:p>
    <w:p w14:paraId="449D2241" w14:textId="77777777" w:rsidR="002E3C60" w:rsidRPr="00E8545F" w:rsidRDefault="002E3C60" w:rsidP="002E3C60">
      <w:pPr>
        <w:pStyle w:val="Texto"/>
        <w:spacing w:after="90"/>
        <w:ind w:left="864" w:hanging="576"/>
        <w:rPr>
          <w:lang w:val="es-MX"/>
        </w:rPr>
      </w:pPr>
      <w:r w:rsidRPr="00E8545F">
        <w:rPr>
          <w:b/>
          <w:lang w:val="es-MX"/>
        </w:rPr>
        <w:t>III.</w:t>
      </w:r>
      <w:r w:rsidRPr="00E8545F">
        <w:rPr>
          <w:b/>
          <w:lang w:val="es-MX"/>
        </w:rPr>
        <w:tab/>
        <w:t>Especificaciones para la descarga y consulta de la LCO y LRFC.</w:t>
      </w:r>
    </w:p>
    <w:p w14:paraId="5B380322" w14:textId="77777777" w:rsidR="002E3C60" w:rsidRPr="00E8545F" w:rsidRDefault="002E3C60" w:rsidP="002E3C60">
      <w:pPr>
        <w:pStyle w:val="Texto"/>
        <w:spacing w:after="90"/>
        <w:ind w:left="864" w:hanging="576"/>
        <w:rPr>
          <w:b/>
          <w:lang w:val="es-MX"/>
        </w:rPr>
      </w:pPr>
      <w:r w:rsidRPr="00E8545F">
        <w:rPr>
          <w:b/>
          <w:lang w:val="es-MX"/>
        </w:rPr>
        <w:t>III.1.</w:t>
      </w:r>
      <w:r w:rsidRPr="00E8545F">
        <w:rPr>
          <w:b/>
          <w:lang w:val="es-MX"/>
        </w:rPr>
        <w:tab/>
        <w:t>Listado de Contribuyentes Obligados (</w:t>
      </w:r>
      <w:bookmarkStart w:id="1" w:name="N_Hlk161048821"/>
      <w:r w:rsidRPr="00E8545F">
        <w:rPr>
          <w:b/>
          <w:lang w:val="es-MX"/>
        </w:rPr>
        <w:t>LCO</w:t>
      </w:r>
      <w:bookmarkEnd w:id="1"/>
      <w:r w:rsidRPr="00E8545F">
        <w:rPr>
          <w:b/>
          <w:lang w:val="es-MX"/>
        </w:rPr>
        <w:t>)</w:t>
      </w:r>
    </w:p>
    <w:p w14:paraId="0EDD224B" w14:textId="77777777" w:rsidR="002E3C60" w:rsidRPr="00E8545F" w:rsidRDefault="002E3C60" w:rsidP="002E3C60">
      <w:pPr>
        <w:pStyle w:val="Texto"/>
        <w:spacing w:after="90"/>
        <w:rPr>
          <w:lang w:val="es-MX"/>
        </w:rPr>
      </w:pPr>
      <w:r w:rsidRPr="00E8545F">
        <w:rPr>
          <w:lang w:val="es-MX"/>
        </w:rPr>
        <w:t>Con la finalidad de que los proveedores de certificación autorizados por el SAT realicen la validación consistente en validar que el CSD del contribuyente emisor, con el que se selló el documento haya estado vigente en la fecha de su expedición y su estado haya sido Activo; en este apartado se da a conocer el procedimiento para la consulta y descarga de la LCO, a efecto de que se realice la validación del CSD del contribuyente emisor, así como en su caso, la validación de marcas adicionales que sean requeridas para la certificación del CFDI.</w:t>
      </w:r>
    </w:p>
    <w:p w14:paraId="54796326" w14:textId="77777777" w:rsidR="002E3C60" w:rsidRPr="00E8545F" w:rsidRDefault="002E3C60" w:rsidP="002E3C60">
      <w:pPr>
        <w:pStyle w:val="Texto"/>
        <w:tabs>
          <w:tab w:val="right" w:leader="dot" w:pos="8827"/>
        </w:tabs>
        <w:spacing w:after="90"/>
        <w:ind w:left="864" w:hanging="576"/>
        <w:rPr>
          <w:lang w:val="es-MX"/>
        </w:rPr>
      </w:pPr>
      <w:r w:rsidRPr="00E8545F">
        <w:rPr>
          <w:b/>
          <w:lang w:val="es-MX"/>
        </w:rPr>
        <w:t>A.</w:t>
      </w:r>
      <w:r w:rsidRPr="00E8545F">
        <w:rPr>
          <w:b/>
          <w:lang w:val="es-MX"/>
        </w:rPr>
        <w:tab/>
      </w:r>
      <w:r>
        <w:rPr>
          <w:b/>
          <w:lang w:val="es-MX"/>
        </w:rPr>
        <w:tab/>
      </w:r>
    </w:p>
    <w:p w14:paraId="4FDD82B8" w14:textId="77777777" w:rsidR="002E3C60" w:rsidRPr="00E8545F" w:rsidRDefault="002E3C60" w:rsidP="002E3C60">
      <w:pPr>
        <w:pStyle w:val="Texto"/>
        <w:tabs>
          <w:tab w:val="right" w:leader="dot" w:pos="8827"/>
        </w:tabs>
        <w:spacing w:after="90"/>
        <w:ind w:left="1368" w:hanging="504"/>
      </w:pPr>
      <w:r w:rsidRPr="00E8545F">
        <w:rPr>
          <w:b/>
        </w:rPr>
        <w:t>1.</w:t>
      </w:r>
      <w:r w:rsidRPr="00E8545F">
        <w:t xml:space="preserve"> a </w:t>
      </w:r>
      <w:r w:rsidRPr="00E8545F">
        <w:rPr>
          <w:b/>
        </w:rPr>
        <w:t>4</w:t>
      </w:r>
      <w:r>
        <w:rPr>
          <w:b/>
        </w:rPr>
        <w:tab/>
      </w:r>
      <w:r>
        <w:rPr>
          <w:b/>
        </w:rPr>
        <w:tab/>
      </w:r>
    </w:p>
    <w:p w14:paraId="7FECA57B" w14:textId="77777777" w:rsidR="002E3C60" w:rsidRPr="00E8545F" w:rsidRDefault="002E3C60" w:rsidP="002E3C60">
      <w:pPr>
        <w:pStyle w:val="Texto"/>
        <w:spacing w:after="90"/>
        <w:ind w:left="1368" w:hanging="504"/>
        <w:rPr>
          <w:lang w:val="es-MX"/>
        </w:rPr>
      </w:pPr>
      <w:r w:rsidRPr="00E8545F">
        <w:rPr>
          <w:b/>
          <w:lang w:val="es-MX"/>
        </w:rPr>
        <w:t>5.</w:t>
      </w:r>
      <w:r w:rsidRPr="00E8545F">
        <w:rPr>
          <w:lang w:val="es-MX"/>
        </w:rPr>
        <w:tab/>
        <w:t>Deben ser consultadas todos los días por los proveedores de certificación.</w:t>
      </w:r>
    </w:p>
    <w:p w14:paraId="34955B51" w14:textId="77777777" w:rsidR="002E3C60" w:rsidRPr="00E8545F" w:rsidRDefault="002E3C60" w:rsidP="002E3C60">
      <w:pPr>
        <w:pStyle w:val="Texto"/>
        <w:tabs>
          <w:tab w:val="right" w:leader="dot" w:pos="8827"/>
        </w:tabs>
        <w:spacing w:after="90"/>
        <w:ind w:left="1368" w:hanging="504"/>
        <w:rPr>
          <w:lang w:val="es-MX"/>
        </w:rPr>
      </w:pPr>
      <w:r w:rsidRPr="00E8545F">
        <w:rPr>
          <w:lang w:val="es-MX"/>
        </w:rPr>
        <w:tab/>
      </w:r>
      <w:r>
        <w:rPr>
          <w:b/>
          <w:lang w:val="es-MX"/>
        </w:rPr>
        <w:tab/>
      </w:r>
    </w:p>
    <w:p w14:paraId="60DD012C" w14:textId="77777777" w:rsidR="002E3C60" w:rsidRPr="00E8545F" w:rsidRDefault="002E3C60" w:rsidP="002E3C60">
      <w:pPr>
        <w:pStyle w:val="Texto"/>
        <w:spacing w:after="90"/>
        <w:ind w:left="1368" w:hanging="504"/>
        <w:rPr>
          <w:lang w:val="es-MX"/>
        </w:rPr>
      </w:pPr>
      <w:r w:rsidRPr="00E8545F">
        <w:rPr>
          <w:b/>
          <w:lang w:val="es-MX"/>
        </w:rPr>
        <w:t>6.</w:t>
      </w:r>
      <w:r w:rsidRPr="00E8545F">
        <w:rPr>
          <w:lang w:val="es-MX"/>
        </w:rPr>
        <w:tab/>
        <w:t>El SAT publicará un archivo de control junto con los archivos de la LCO, en el cual se identifique el número de archivos que comprende la lista, así como el hash de cada uno de ellos para que los proveedores de certificación realicen su verificación.</w:t>
      </w:r>
    </w:p>
    <w:p w14:paraId="1982F185" w14:textId="77777777" w:rsidR="002E3C60" w:rsidRPr="00E8545F" w:rsidRDefault="002E3C60" w:rsidP="002E3C60">
      <w:pPr>
        <w:pStyle w:val="Texto"/>
        <w:spacing w:after="90"/>
        <w:ind w:left="1368" w:hanging="504"/>
        <w:rPr>
          <w:lang w:val="es-MX"/>
        </w:rPr>
      </w:pPr>
      <w:r w:rsidRPr="00E8545F">
        <w:rPr>
          <w:b/>
          <w:lang w:val="es-MX"/>
        </w:rPr>
        <w:t>7.</w:t>
      </w:r>
      <w:r w:rsidRPr="00E8545F">
        <w:rPr>
          <w:lang w:val="es-MX"/>
        </w:rPr>
        <w:tab/>
        <w:t>La lista deberá ser puesta en operación por parte de los proveedores de certificación dentro de las dos horas posteriores a la que se publique en el contenedor por parte del SAT.</w:t>
      </w:r>
    </w:p>
    <w:p w14:paraId="4F782A72" w14:textId="77777777" w:rsidR="002E3C60" w:rsidRPr="00E8545F" w:rsidRDefault="002E3C60" w:rsidP="002E3C60">
      <w:pPr>
        <w:pStyle w:val="Texto"/>
        <w:tabs>
          <w:tab w:val="right" w:leader="dot" w:pos="8827"/>
        </w:tabs>
        <w:spacing w:after="90"/>
        <w:ind w:left="864" w:hanging="576"/>
        <w:rPr>
          <w:b/>
          <w:lang w:val="es-MX"/>
        </w:rPr>
      </w:pPr>
      <w:r w:rsidRPr="00E8545F">
        <w:rPr>
          <w:b/>
          <w:lang w:val="es-MX"/>
        </w:rPr>
        <w:t>B.</w:t>
      </w:r>
      <w:r w:rsidRPr="00E8545F">
        <w:rPr>
          <w:b/>
          <w:lang w:val="es-MX"/>
        </w:rPr>
        <w:tab/>
      </w:r>
      <w:r>
        <w:rPr>
          <w:b/>
          <w:lang w:val="es-MX"/>
        </w:rPr>
        <w:tab/>
      </w:r>
    </w:p>
    <w:p w14:paraId="50013AEB" w14:textId="77777777" w:rsidR="002E3C60" w:rsidRPr="00E8545F" w:rsidRDefault="002E3C60" w:rsidP="002E3C60">
      <w:pPr>
        <w:pStyle w:val="Texto"/>
        <w:spacing w:after="90"/>
        <w:ind w:left="1368" w:hanging="504"/>
        <w:rPr>
          <w:lang w:val="es-MX"/>
        </w:rPr>
      </w:pPr>
      <w:r w:rsidRPr="00E8545F">
        <w:rPr>
          <w:b/>
          <w:lang w:val="es-MX"/>
        </w:rPr>
        <w:t>1.</w:t>
      </w:r>
      <w:r w:rsidRPr="00E8545F">
        <w:rPr>
          <w:lang w:val="es-MX"/>
        </w:rPr>
        <w:tab/>
        <w:t>Los proveedores de certificación, accederán a la LCO autenticándose con su e.firma vigente, a través de un servicio WEB que el SAT pondrá a su disposición de acuerdo a la especificación técnica que el SAT les proporcione para tales efectos.</w:t>
      </w:r>
    </w:p>
    <w:p w14:paraId="5A3E2B9A" w14:textId="77777777" w:rsidR="002E3C60" w:rsidRPr="00E8545F" w:rsidRDefault="002E3C60" w:rsidP="002E3C60">
      <w:pPr>
        <w:pStyle w:val="Texto"/>
        <w:tabs>
          <w:tab w:val="right" w:leader="dot" w:pos="8827"/>
        </w:tabs>
        <w:spacing w:after="90"/>
        <w:ind w:left="1368" w:hanging="504"/>
      </w:pPr>
      <w:r w:rsidRPr="00E8545F">
        <w:rPr>
          <w:b/>
        </w:rPr>
        <w:t>2</w:t>
      </w:r>
      <w:r w:rsidRPr="00E8545F">
        <w:t xml:space="preserve">. a </w:t>
      </w:r>
      <w:r w:rsidRPr="00E8545F">
        <w:rPr>
          <w:b/>
        </w:rPr>
        <w:t>5</w:t>
      </w:r>
      <w:r>
        <w:rPr>
          <w:b/>
        </w:rPr>
        <w:tab/>
      </w:r>
      <w:r>
        <w:rPr>
          <w:b/>
        </w:rPr>
        <w:tab/>
      </w:r>
    </w:p>
    <w:p w14:paraId="1E1B91CF" w14:textId="77777777" w:rsidR="002E3C60" w:rsidRPr="00E8545F" w:rsidRDefault="002E3C60" w:rsidP="002E3C60">
      <w:pPr>
        <w:pStyle w:val="Texto"/>
        <w:spacing w:after="90"/>
        <w:ind w:left="1368" w:hanging="504"/>
        <w:rPr>
          <w:lang w:val="es-MX"/>
        </w:rPr>
      </w:pPr>
      <w:r w:rsidRPr="00E8545F">
        <w:rPr>
          <w:b/>
          <w:lang w:val="es-MX"/>
        </w:rPr>
        <w:t>6.</w:t>
      </w:r>
      <w:r w:rsidRPr="00E8545F">
        <w:rPr>
          <w:lang w:val="es-MX"/>
        </w:rPr>
        <w:tab/>
        <w:t>Resguardar las listas de las descargas realizadas durante el plazo señalado en la regla 2.7.2.8, fracción XXIV de la RMF.</w:t>
      </w:r>
    </w:p>
    <w:p w14:paraId="22B56407" w14:textId="77777777" w:rsidR="002E3C60" w:rsidRPr="00E8545F" w:rsidRDefault="002E3C60" w:rsidP="002E3C60">
      <w:pPr>
        <w:pStyle w:val="Texto"/>
        <w:spacing w:after="90"/>
        <w:ind w:left="864" w:hanging="576"/>
        <w:rPr>
          <w:lang w:val="es-MX"/>
        </w:rPr>
      </w:pPr>
      <w:r w:rsidRPr="00E8545F">
        <w:rPr>
          <w:lang w:val="es-MX"/>
        </w:rPr>
        <w:tab/>
        <w:t>Cabe señalar que el cliente para Azure Blob Storage, se notifica vía correo electrónico por única ocasión a los proveedores de certificación, cuando obtienen la autorización a efecto de que configuren sus servicios.</w:t>
      </w:r>
    </w:p>
    <w:p w14:paraId="23CB325E" w14:textId="77777777" w:rsidR="002E3C60" w:rsidRPr="00E8545F" w:rsidRDefault="002E3C60" w:rsidP="002E3C60">
      <w:pPr>
        <w:pStyle w:val="Texto"/>
        <w:tabs>
          <w:tab w:val="right" w:leader="dot" w:pos="8827"/>
        </w:tabs>
        <w:spacing w:after="90"/>
        <w:ind w:left="864" w:hanging="576"/>
        <w:rPr>
          <w:b/>
          <w:lang w:val="es-MX"/>
        </w:rPr>
      </w:pPr>
      <w:r w:rsidRPr="00E8545F">
        <w:rPr>
          <w:b/>
          <w:lang w:val="es-MX"/>
        </w:rPr>
        <w:t>C.</w:t>
      </w:r>
      <w:r w:rsidRPr="00E8545F">
        <w:rPr>
          <w:b/>
          <w:lang w:val="es-MX"/>
        </w:rPr>
        <w:tab/>
      </w:r>
      <w:r>
        <w:rPr>
          <w:b/>
          <w:lang w:val="es-MX"/>
        </w:rPr>
        <w:tab/>
      </w:r>
    </w:p>
    <w:p w14:paraId="4558011C" w14:textId="77777777" w:rsidR="002E3C60" w:rsidRPr="00E8545F" w:rsidRDefault="002E3C60" w:rsidP="002E3C60">
      <w:pPr>
        <w:pStyle w:val="Texto"/>
        <w:tabs>
          <w:tab w:val="right" w:leader="dot" w:pos="8827"/>
        </w:tabs>
        <w:spacing w:after="90"/>
        <w:ind w:left="864" w:hanging="576"/>
        <w:rPr>
          <w:lang w:val="es-MX"/>
        </w:rPr>
      </w:pPr>
      <w:r>
        <w:rPr>
          <w:b/>
          <w:lang w:val="es-MX"/>
        </w:rPr>
        <w:tab/>
      </w:r>
      <w:r>
        <w:rPr>
          <w:b/>
          <w:lang w:val="es-MX"/>
        </w:rPr>
        <w:tab/>
      </w:r>
    </w:p>
    <w:p w14:paraId="5C2F7B84" w14:textId="77777777" w:rsidR="002E3C60" w:rsidRPr="00E8545F" w:rsidRDefault="002E3C60" w:rsidP="002E3C60">
      <w:pPr>
        <w:pStyle w:val="Texto"/>
        <w:tabs>
          <w:tab w:val="right" w:leader="dot" w:pos="8827"/>
        </w:tabs>
        <w:spacing w:after="90"/>
        <w:ind w:left="1368" w:hanging="504"/>
      </w:pPr>
      <w:r w:rsidRPr="00E8545F">
        <w:rPr>
          <w:b/>
        </w:rPr>
        <w:lastRenderedPageBreak/>
        <w:t>1.</w:t>
      </w:r>
      <w:r w:rsidRPr="00E8545F">
        <w:t xml:space="preserve"> a </w:t>
      </w:r>
      <w:r w:rsidRPr="00E8545F">
        <w:rPr>
          <w:b/>
        </w:rPr>
        <w:t>3</w:t>
      </w:r>
      <w:r>
        <w:rPr>
          <w:b/>
        </w:rPr>
        <w:tab/>
      </w:r>
      <w:r>
        <w:rPr>
          <w:b/>
        </w:rPr>
        <w:tab/>
      </w:r>
    </w:p>
    <w:p w14:paraId="24A269D2" w14:textId="77777777" w:rsidR="002E3C60" w:rsidRPr="00E8545F" w:rsidRDefault="002E3C60" w:rsidP="002E3C60">
      <w:pPr>
        <w:pStyle w:val="Texto"/>
        <w:tabs>
          <w:tab w:val="right" w:leader="dot" w:pos="8827"/>
        </w:tabs>
        <w:spacing w:after="90"/>
        <w:ind w:left="1368" w:hanging="504"/>
        <w:rPr>
          <w:lang w:val="es-MX"/>
        </w:rPr>
      </w:pPr>
      <w:r w:rsidRPr="00E8545F">
        <w:rPr>
          <w:b/>
          <w:lang w:val="es-MX"/>
        </w:rPr>
        <w:t>4.</w:t>
      </w:r>
      <w:r w:rsidRPr="00E8545F">
        <w:rPr>
          <w:lang w:val="es-MX"/>
        </w:rPr>
        <w:tab/>
      </w:r>
      <w:r>
        <w:rPr>
          <w:b/>
          <w:lang w:val="es-MX"/>
        </w:rPr>
        <w:tab/>
      </w:r>
    </w:p>
    <w:p w14:paraId="05C2623A" w14:textId="77777777" w:rsidR="002E3C60" w:rsidRPr="00E8545F" w:rsidRDefault="002E3C60" w:rsidP="002E3C60">
      <w:pPr>
        <w:pStyle w:val="Texto"/>
        <w:spacing w:after="72"/>
        <w:ind w:left="1368" w:hanging="504"/>
        <w:rPr>
          <w:lang w:val="es-MX"/>
        </w:rPr>
      </w:pPr>
      <w:r w:rsidRPr="00E8545F">
        <w:rPr>
          <w:lang w:val="es-MX"/>
        </w:rPr>
        <w:tab/>
        <w:t>Este dato debe utilizarse por los proveedores de certificación, para identificar si el CSD del emisor del comprobante fiscal estuvo vigente en la fecha y hora en la que se expidió el comprobante.</w:t>
      </w:r>
    </w:p>
    <w:p w14:paraId="0D3F02BF" w14:textId="77777777" w:rsidR="002E3C60" w:rsidRPr="00E8545F" w:rsidRDefault="002E3C60" w:rsidP="002E3C60">
      <w:pPr>
        <w:pStyle w:val="Texto"/>
        <w:tabs>
          <w:tab w:val="right" w:leader="dot" w:pos="8827"/>
        </w:tabs>
        <w:spacing w:after="72"/>
        <w:ind w:left="1368" w:hanging="504"/>
        <w:rPr>
          <w:lang w:val="es-MX"/>
        </w:rPr>
      </w:pPr>
      <w:r w:rsidRPr="00E8545F">
        <w:rPr>
          <w:b/>
          <w:lang w:val="es-MX"/>
        </w:rPr>
        <w:t>5.</w:t>
      </w:r>
      <w:r w:rsidRPr="00E8545F">
        <w:rPr>
          <w:lang w:val="es-MX"/>
        </w:rPr>
        <w:tab/>
      </w:r>
      <w:r>
        <w:rPr>
          <w:b/>
          <w:lang w:val="es-MX"/>
        </w:rPr>
        <w:tab/>
      </w:r>
    </w:p>
    <w:p w14:paraId="45590B4A" w14:textId="77777777" w:rsidR="002E3C60" w:rsidRPr="00E8545F" w:rsidRDefault="002E3C60" w:rsidP="002E3C60">
      <w:pPr>
        <w:pStyle w:val="Texto"/>
        <w:spacing w:after="72"/>
        <w:ind w:left="1368" w:hanging="504"/>
        <w:rPr>
          <w:lang w:val="es-MX"/>
        </w:rPr>
      </w:pPr>
      <w:r w:rsidRPr="00E8545F">
        <w:rPr>
          <w:lang w:val="es-MX"/>
        </w:rPr>
        <w:tab/>
        <w:t>Este dato debe utilizarse por los proveedores de certificación, para identificar si el certificado de sello digital del emisor del comprobante fiscal estuvo vigente en la fecha y hora en la que se expidió el comprobante.</w:t>
      </w:r>
    </w:p>
    <w:p w14:paraId="0412EEAD" w14:textId="77777777" w:rsidR="002E3C60" w:rsidRPr="00E8545F" w:rsidRDefault="002E3C60" w:rsidP="002E3C60">
      <w:pPr>
        <w:pStyle w:val="Texto"/>
        <w:tabs>
          <w:tab w:val="right" w:leader="dot" w:pos="8827"/>
        </w:tabs>
        <w:spacing w:after="72"/>
        <w:ind w:left="1368" w:hanging="504"/>
        <w:rPr>
          <w:lang w:val="es-MX"/>
        </w:rPr>
      </w:pPr>
      <w:r w:rsidRPr="00E8545F">
        <w:rPr>
          <w:b/>
          <w:lang w:val="es-MX"/>
        </w:rPr>
        <w:t>6.</w:t>
      </w:r>
      <w:r w:rsidRPr="00E8545F">
        <w:rPr>
          <w:lang w:val="es-MX"/>
        </w:rPr>
        <w:tab/>
      </w:r>
      <w:r>
        <w:rPr>
          <w:b/>
          <w:lang w:val="es-MX"/>
        </w:rPr>
        <w:tab/>
      </w:r>
    </w:p>
    <w:p w14:paraId="655B1FB0" w14:textId="77777777" w:rsidR="002E3C60" w:rsidRPr="00E8545F" w:rsidRDefault="002E3C60" w:rsidP="002E3C60">
      <w:pPr>
        <w:pStyle w:val="Texto"/>
        <w:tabs>
          <w:tab w:val="right" w:leader="dot" w:pos="8827"/>
        </w:tabs>
        <w:spacing w:after="72"/>
        <w:ind w:left="864" w:hanging="576"/>
        <w:rPr>
          <w:b/>
          <w:lang w:val="es-MX"/>
        </w:rPr>
      </w:pPr>
      <w:r w:rsidRPr="00E8545F">
        <w:rPr>
          <w:b/>
          <w:lang w:val="es-MX"/>
        </w:rPr>
        <w:t>D.</w:t>
      </w:r>
      <w:r w:rsidRPr="00E8545F">
        <w:rPr>
          <w:b/>
          <w:lang w:val="es-MX"/>
        </w:rPr>
        <w:tab/>
      </w:r>
      <w:r>
        <w:rPr>
          <w:b/>
          <w:lang w:val="es-MX"/>
        </w:rPr>
        <w:tab/>
      </w:r>
    </w:p>
    <w:p w14:paraId="73DB8FA8" w14:textId="77777777" w:rsidR="002E3C60" w:rsidRPr="00E8545F" w:rsidRDefault="002E3C60" w:rsidP="002E3C60">
      <w:pPr>
        <w:pStyle w:val="Texto"/>
        <w:spacing w:after="72"/>
        <w:rPr>
          <w:lang w:val="es-MX"/>
        </w:rPr>
      </w:pPr>
      <w:r w:rsidRPr="00E8545F">
        <w:rPr>
          <w:lang w:val="es-MX"/>
        </w:rPr>
        <w:t>A efecto de realizar la validación contenida en el Anexo 20, fracción I, apartado F o fracción II, apartado E, al atributo “Certificado” del nodo comprobante o nodo Retenciones según corresponda, consistente en que</w:t>
      </w:r>
      <w:r>
        <w:rPr>
          <w:lang w:val="es-MX"/>
        </w:rPr>
        <w:t xml:space="preserve"> </w:t>
      </w:r>
      <w:r w:rsidRPr="00E8545F">
        <w:rPr>
          <w:lang w:val="es-MX"/>
        </w:rPr>
        <w:t>“El certificado debe ser emitido por el Servicio de Administración Tributaria”, los proveedores de certificación, deben verificar la cadena de confianza de los certificados que utilizan los contribuyentes en la emisión de CFDI, y asegurar que efectivamente hayan sido emitidos por el SAT, consultando las siguientes ligas donde están publicados los certificados:</w:t>
      </w:r>
    </w:p>
    <w:p w14:paraId="49230F60" w14:textId="77777777" w:rsidR="002E3C60" w:rsidRPr="00E8545F" w:rsidRDefault="002E3C60" w:rsidP="002E3C60">
      <w:pPr>
        <w:pStyle w:val="Texto"/>
        <w:tabs>
          <w:tab w:val="right" w:leader="dot" w:pos="8827"/>
        </w:tabs>
        <w:spacing w:after="72"/>
        <w:ind w:left="864" w:hanging="576"/>
        <w:rPr>
          <w:lang w:val="es-MX"/>
        </w:rPr>
      </w:pPr>
      <w:r w:rsidRPr="00E8545F">
        <w:rPr>
          <w:lang w:val="es-MX"/>
        </w:rPr>
        <w:tab/>
      </w:r>
      <w:r>
        <w:rPr>
          <w:b/>
          <w:lang w:val="es-MX"/>
        </w:rPr>
        <w:tab/>
      </w:r>
    </w:p>
    <w:p w14:paraId="6111ACB7" w14:textId="77777777" w:rsidR="002E3C60" w:rsidRPr="00E8545F" w:rsidRDefault="002E3C60" w:rsidP="002E3C60">
      <w:pPr>
        <w:pStyle w:val="Texto"/>
        <w:spacing w:after="72"/>
        <w:ind w:left="864" w:hanging="576"/>
        <w:rPr>
          <w:b/>
          <w:lang w:val="es-MX"/>
        </w:rPr>
      </w:pPr>
      <w:r w:rsidRPr="00E8545F">
        <w:rPr>
          <w:b/>
          <w:lang w:val="es-MX"/>
        </w:rPr>
        <w:t>III.2.</w:t>
      </w:r>
      <w:r w:rsidRPr="00E8545F">
        <w:rPr>
          <w:b/>
          <w:lang w:val="es-MX"/>
        </w:rPr>
        <w:tab/>
        <w:t>Lista de contribuyentes inscritos no cancelados en el Registro Federal de Contribuyes (LRFC).</w:t>
      </w:r>
    </w:p>
    <w:p w14:paraId="7E1BD652" w14:textId="77777777" w:rsidR="002E3C60" w:rsidRPr="00E8545F" w:rsidRDefault="002E3C60" w:rsidP="002E3C60">
      <w:pPr>
        <w:pStyle w:val="Texto"/>
        <w:spacing w:after="72"/>
        <w:rPr>
          <w:lang w:val="es-MX"/>
        </w:rPr>
      </w:pPr>
      <w:r w:rsidRPr="00E8545F">
        <w:rPr>
          <w:lang w:val="es-MX"/>
        </w:rPr>
        <w:t>El artículo 29 Bis del CFF señala que los CFDI deben cumplir con las especificaciones que en materia de informática determine el SAT, en este sentido, es obligación de los proveedores en el proceso de certificación de CFDI, que para que un comprobante sea certificado y se le asigne un folio, adicionalmente a lo que establece el artículo 29 Bis, fracción I del CFF, deben validar que el documento cumpla con la especificación técnica del Anexo 20.</w:t>
      </w:r>
    </w:p>
    <w:p w14:paraId="0CFA12EF" w14:textId="77777777" w:rsidR="002E3C60" w:rsidRPr="00E8545F" w:rsidRDefault="002E3C60" w:rsidP="002E3C60">
      <w:pPr>
        <w:pStyle w:val="Texto"/>
        <w:spacing w:after="72"/>
        <w:rPr>
          <w:lang w:val="es-MX"/>
        </w:rPr>
      </w:pPr>
      <w:r w:rsidRPr="00E8545F">
        <w:rPr>
          <w:lang w:val="es-MX"/>
        </w:rPr>
        <w:t xml:space="preserve">El Anexo 20, establece las validaciones “Cuando no se utilice un RFC genérico, el RFC debe estar en la lista de RFC inscritos no cancelados en el SAT” para los atributos “Rfc” del nodo Receptor, y </w:t>
      </w:r>
      <w:bookmarkStart w:id="2" w:name="N_Hlk161050839"/>
      <w:r w:rsidRPr="00E8545F">
        <w:rPr>
          <w:lang w:val="es-MX"/>
        </w:rPr>
        <w:t>“</w:t>
      </w:r>
      <w:bookmarkEnd w:id="2"/>
      <w:r w:rsidRPr="00E8545F">
        <w:rPr>
          <w:lang w:val="es-MX"/>
        </w:rPr>
        <w:t>RfcR” del nodo Retenciones:Receptor/Nacional, según corresponda.</w:t>
      </w:r>
    </w:p>
    <w:p w14:paraId="70B51A23" w14:textId="77777777" w:rsidR="002E3C60" w:rsidRPr="00E8545F" w:rsidRDefault="002E3C60" w:rsidP="002E3C60">
      <w:pPr>
        <w:pStyle w:val="Texto"/>
        <w:tabs>
          <w:tab w:val="right" w:leader="dot" w:pos="8827"/>
        </w:tabs>
        <w:spacing w:after="72"/>
        <w:ind w:left="288" w:firstLine="0"/>
      </w:pPr>
      <w:r>
        <w:rPr>
          <w:b/>
        </w:rPr>
        <w:tab/>
      </w:r>
    </w:p>
    <w:p w14:paraId="6EB89D35" w14:textId="77777777" w:rsidR="002E3C60" w:rsidRPr="00E8545F" w:rsidRDefault="002E3C60" w:rsidP="002E3C60">
      <w:pPr>
        <w:pStyle w:val="Texto"/>
        <w:tabs>
          <w:tab w:val="right" w:leader="dot" w:pos="8827"/>
        </w:tabs>
        <w:spacing w:after="72"/>
        <w:ind w:left="864" w:hanging="576"/>
        <w:rPr>
          <w:b/>
          <w:lang w:val="es-MX"/>
        </w:rPr>
      </w:pPr>
      <w:r w:rsidRPr="00E8545F">
        <w:rPr>
          <w:b/>
          <w:lang w:val="es-MX"/>
        </w:rPr>
        <w:t>A.</w:t>
      </w:r>
      <w:r w:rsidRPr="00E8545F">
        <w:rPr>
          <w:b/>
          <w:lang w:val="es-MX"/>
        </w:rPr>
        <w:tab/>
      </w:r>
      <w:r>
        <w:rPr>
          <w:b/>
          <w:lang w:val="es-MX"/>
        </w:rPr>
        <w:tab/>
      </w:r>
    </w:p>
    <w:p w14:paraId="3B73FB0E" w14:textId="77777777" w:rsidR="002E3C60" w:rsidRPr="00E8545F" w:rsidRDefault="002E3C60" w:rsidP="002E3C60">
      <w:pPr>
        <w:pStyle w:val="Texto"/>
        <w:tabs>
          <w:tab w:val="right" w:leader="dot" w:pos="8827"/>
        </w:tabs>
        <w:spacing w:after="72"/>
        <w:ind w:left="1368" w:hanging="504"/>
      </w:pPr>
      <w:r w:rsidRPr="00E8545F">
        <w:rPr>
          <w:b/>
        </w:rPr>
        <w:t>1.</w:t>
      </w:r>
      <w:r w:rsidRPr="00E8545F">
        <w:t xml:space="preserve"> a </w:t>
      </w:r>
      <w:r w:rsidRPr="00E8545F">
        <w:rPr>
          <w:b/>
        </w:rPr>
        <w:t>3</w:t>
      </w:r>
      <w:r>
        <w:rPr>
          <w:b/>
        </w:rPr>
        <w:tab/>
      </w:r>
      <w:r>
        <w:rPr>
          <w:b/>
        </w:rPr>
        <w:tab/>
      </w:r>
    </w:p>
    <w:p w14:paraId="6B732B37" w14:textId="77777777" w:rsidR="002E3C60" w:rsidRPr="00E8545F" w:rsidRDefault="002E3C60" w:rsidP="002E3C60">
      <w:pPr>
        <w:pStyle w:val="Texto"/>
        <w:spacing w:after="72"/>
        <w:ind w:left="1368" w:hanging="504"/>
        <w:rPr>
          <w:lang w:val="es-MX"/>
        </w:rPr>
      </w:pPr>
      <w:r w:rsidRPr="00E8545F">
        <w:rPr>
          <w:b/>
          <w:lang w:val="es-MX"/>
        </w:rPr>
        <w:t>4.</w:t>
      </w:r>
      <w:r w:rsidRPr="00E8545F">
        <w:rPr>
          <w:lang w:val="es-MX"/>
        </w:rPr>
        <w:tab/>
        <w:t>Deben ser consultadas todos los días por los proveedores de certificación.</w:t>
      </w:r>
    </w:p>
    <w:p w14:paraId="3C4DC2BC" w14:textId="77777777" w:rsidR="002E3C60" w:rsidRPr="00E8545F" w:rsidRDefault="002E3C60" w:rsidP="002E3C60">
      <w:pPr>
        <w:pStyle w:val="Texto"/>
        <w:tabs>
          <w:tab w:val="right" w:leader="dot" w:pos="8827"/>
        </w:tabs>
        <w:spacing w:after="72"/>
        <w:ind w:left="1368" w:hanging="504"/>
      </w:pPr>
      <w:r w:rsidRPr="00E8545F">
        <w:rPr>
          <w:b/>
        </w:rPr>
        <w:t>5.</w:t>
      </w:r>
      <w:r w:rsidRPr="00E8545F">
        <w:t xml:space="preserve"> a </w:t>
      </w:r>
      <w:r w:rsidRPr="00E8545F">
        <w:rPr>
          <w:b/>
        </w:rPr>
        <w:t>7</w:t>
      </w:r>
      <w:r>
        <w:rPr>
          <w:b/>
        </w:rPr>
        <w:tab/>
      </w:r>
      <w:r>
        <w:rPr>
          <w:b/>
        </w:rPr>
        <w:tab/>
      </w:r>
    </w:p>
    <w:p w14:paraId="0E34738D" w14:textId="77777777" w:rsidR="002E3C60" w:rsidRPr="00E8545F" w:rsidRDefault="002E3C60" w:rsidP="002E3C60">
      <w:pPr>
        <w:pStyle w:val="Texto"/>
        <w:spacing w:after="72"/>
        <w:ind w:left="1368" w:hanging="504"/>
        <w:rPr>
          <w:lang w:val="es-MX"/>
        </w:rPr>
      </w:pPr>
      <w:r w:rsidRPr="00E8545F">
        <w:rPr>
          <w:b/>
          <w:lang w:val="es-MX"/>
        </w:rPr>
        <w:t>8.</w:t>
      </w:r>
      <w:r w:rsidRPr="00E8545F">
        <w:rPr>
          <w:lang w:val="es-MX"/>
        </w:rPr>
        <w:tab/>
        <w:t>El SAT publicará un archivo de control junto con los archivos de la LRFC, en el cual se identifique el número de archivos que comprende la lista, así como el hash de cada uno de ellos para que los proveedores de certificación realicen su verificación.</w:t>
      </w:r>
    </w:p>
    <w:p w14:paraId="0D41A61E" w14:textId="77777777" w:rsidR="002E3C60" w:rsidRPr="00E8545F" w:rsidRDefault="002E3C60" w:rsidP="002E3C60">
      <w:pPr>
        <w:pStyle w:val="Texto"/>
        <w:spacing w:after="72"/>
        <w:ind w:left="1368" w:hanging="504"/>
        <w:rPr>
          <w:lang w:val="es-MX"/>
        </w:rPr>
      </w:pPr>
      <w:r w:rsidRPr="00E8545F">
        <w:rPr>
          <w:b/>
          <w:lang w:val="es-MX"/>
        </w:rPr>
        <w:t>9.</w:t>
      </w:r>
      <w:r w:rsidRPr="00E8545F">
        <w:rPr>
          <w:lang w:val="es-MX"/>
        </w:rPr>
        <w:tab/>
        <w:t>La lista deberá ser puesta en operación por parte de los proveedores de certificación dentro de las dos horas posteriores a la que se publique en el contenedor.</w:t>
      </w:r>
    </w:p>
    <w:p w14:paraId="2A8E81B9" w14:textId="77777777" w:rsidR="002E3C60" w:rsidRPr="00E8545F" w:rsidRDefault="002E3C60" w:rsidP="002E3C60">
      <w:pPr>
        <w:pStyle w:val="Texto"/>
        <w:tabs>
          <w:tab w:val="right" w:leader="dot" w:pos="8827"/>
        </w:tabs>
        <w:spacing w:after="72"/>
        <w:ind w:left="864" w:hanging="576"/>
        <w:rPr>
          <w:b/>
          <w:lang w:val="es-MX"/>
        </w:rPr>
      </w:pPr>
      <w:r w:rsidRPr="00E8545F">
        <w:rPr>
          <w:b/>
          <w:lang w:val="es-MX"/>
        </w:rPr>
        <w:t xml:space="preserve">B. </w:t>
      </w:r>
      <w:r>
        <w:rPr>
          <w:b/>
          <w:lang w:val="es-MX"/>
        </w:rPr>
        <w:tab/>
      </w:r>
      <w:r>
        <w:rPr>
          <w:b/>
          <w:lang w:val="es-MX"/>
        </w:rPr>
        <w:tab/>
      </w:r>
    </w:p>
    <w:p w14:paraId="38137238" w14:textId="77777777" w:rsidR="002E3C60" w:rsidRPr="00E8545F" w:rsidRDefault="002E3C60" w:rsidP="002E3C60">
      <w:pPr>
        <w:pStyle w:val="Texto"/>
        <w:spacing w:after="72"/>
        <w:ind w:left="1368" w:hanging="504"/>
        <w:rPr>
          <w:lang w:val="es-MX"/>
        </w:rPr>
      </w:pPr>
      <w:r w:rsidRPr="00E8545F">
        <w:rPr>
          <w:b/>
          <w:lang w:val="es-MX"/>
        </w:rPr>
        <w:t>1.</w:t>
      </w:r>
      <w:r w:rsidRPr="00E8545F">
        <w:rPr>
          <w:lang w:val="es-MX"/>
        </w:rPr>
        <w:tab/>
        <w:t>Los proveedores de certificación, accederán a la LRFC autenticándose con su e.firma, a través de un servicio WEB que el SAT pondrá a su disposición de acuerdo a la especificación técnica que el SAT les proporcione para tales efectos.</w:t>
      </w:r>
    </w:p>
    <w:p w14:paraId="5D11AA48" w14:textId="77777777" w:rsidR="002E3C60" w:rsidRPr="00E8545F" w:rsidRDefault="002E3C60" w:rsidP="002E3C60">
      <w:pPr>
        <w:pStyle w:val="Texto"/>
        <w:tabs>
          <w:tab w:val="right" w:leader="dot" w:pos="8827"/>
        </w:tabs>
        <w:spacing w:after="72"/>
        <w:ind w:left="1368" w:hanging="504"/>
      </w:pPr>
      <w:r w:rsidRPr="00E8545F">
        <w:rPr>
          <w:b/>
        </w:rPr>
        <w:t>2.</w:t>
      </w:r>
      <w:r w:rsidRPr="00E8545F">
        <w:t xml:space="preserve"> a </w:t>
      </w:r>
      <w:r w:rsidRPr="00E8545F">
        <w:rPr>
          <w:b/>
        </w:rPr>
        <w:t>5</w:t>
      </w:r>
      <w:r>
        <w:rPr>
          <w:b/>
        </w:rPr>
        <w:tab/>
      </w:r>
      <w:r>
        <w:rPr>
          <w:b/>
        </w:rPr>
        <w:tab/>
      </w:r>
    </w:p>
    <w:p w14:paraId="09BE6121" w14:textId="77777777" w:rsidR="002E3C60" w:rsidRPr="00E8545F" w:rsidRDefault="002E3C60" w:rsidP="002E3C60">
      <w:pPr>
        <w:pStyle w:val="Texto"/>
        <w:spacing w:after="72"/>
        <w:ind w:left="1368" w:hanging="504"/>
        <w:rPr>
          <w:lang w:val="es-MX"/>
        </w:rPr>
      </w:pPr>
      <w:r w:rsidRPr="00E8545F">
        <w:rPr>
          <w:b/>
          <w:lang w:val="es-MX"/>
        </w:rPr>
        <w:t>6.</w:t>
      </w:r>
      <w:r w:rsidRPr="00E8545F">
        <w:rPr>
          <w:lang w:val="es-MX"/>
        </w:rPr>
        <w:tab/>
        <w:t>Resguardar las LRFC de las consultas realizadas durante el plazo señalado en la regla 2.7.2.8, fracción XXIV de la RMF.</w:t>
      </w:r>
    </w:p>
    <w:p w14:paraId="67A0E1B6" w14:textId="77777777" w:rsidR="002E3C60" w:rsidRPr="00E8545F" w:rsidRDefault="002E3C60" w:rsidP="002E3C60">
      <w:pPr>
        <w:pStyle w:val="Texto"/>
        <w:spacing w:after="72"/>
        <w:ind w:left="864" w:hanging="576"/>
        <w:rPr>
          <w:lang w:val="es-MX"/>
        </w:rPr>
      </w:pPr>
      <w:r>
        <w:rPr>
          <w:lang w:val="es-MX"/>
        </w:rPr>
        <w:tab/>
      </w:r>
      <w:r w:rsidRPr="00E8545F">
        <w:rPr>
          <w:lang w:val="es-MX"/>
        </w:rPr>
        <w:t>Cabe señalar que el cliente para Azure Blob Storage, se notifica vía correo electrónico por única ocasión a los proveedores de certificación, cuando obtienen la autorización a efecto de que configuren sus servicios.</w:t>
      </w:r>
    </w:p>
    <w:p w14:paraId="22000233" w14:textId="77777777" w:rsidR="002E3C60" w:rsidRPr="00E8545F" w:rsidRDefault="002E3C60" w:rsidP="002E3C60">
      <w:pPr>
        <w:pStyle w:val="Texto"/>
        <w:tabs>
          <w:tab w:val="right" w:leader="dot" w:pos="8827"/>
        </w:tabs>
        <w:spacing w:after="72"/>
        <w:ind w:left="864" w:hanging="576"/>
        <w:rPr>
          <w:b/>
          <w:lang w:val="es-MX"/>
        </w:rPr>
      </w:pPr>
      <w:r w:rsidRPr="00E8545F">
        <w:rPr>
          <w:b/>
          <w:lang w:val="es-MX"/>
        </w:rPr>
        <w:t xml:space="preserve">C. </w:t>
      </w:r>
      <w:r>
        <w:rPr>
          <w:b/>
          <w:lang w:val="es-MX"/>
        </w:rPr>
        <w:tab/>
      </w:r>
      <w:r>
        <w:rPr>
          <w:b/>
          <w:lang w:val="es-MX"/>
        </w:rPr>
        <w:tab/>
      </w:r>
    </w:p>
    <w:p w14:paraId="75611466" w14:textId="77777777" w:rsidR="002E3C60" w:rsidRPr="00E8545F" w:rsidRDefault="002E3C60" w:rsidP="002E3C60">
      <w:pPr>
        <w:pStyle w:val="Texto"/>
        <w:spacing w:after="72"/>
        <w:rPr>
          <w:lang w:val="es-MX"/>
        </w:rPr>
      </w:pPr>
      <w:r w:rsidRPr="00E8545F">
        <w:rPr>
          <w:lang w:val="es-MX"/>
        </w:rPr>
        <w:t xml:space="preserve">El tratamiento de la información contenida en la LCO y LRFC, y en general todos los insumos que el SAT proporciona a los proveedores de certificación para llevar a cabo las funciones relacionadas con la autorización, debe ser tratada como información </w:t>
      </w:r>
      <w:r w:rsidRPr="00E8545F">
        <w:rPr>
          <w:b/>
          <w:lang w:val="es-MX"/>
        </w:rPr>
        <w:t>confidencial</w:t>
      </w:r>
      <w:r w:rsidRPr="00E8545F">
        <w:rPr>
          <w:lang w:val="es-MX"/>
        </w:rPr>
        <w:t xml:space="preserve">, tal como lo señala la “Carta compromiso de confidencialidad, </w:t>
      </w:r>
      <w:r w:rsidRPr="00E8545F">
        <w:rPr>
          <w:lang w:val="es-MX"/>
        </w:rPr>
        <w:lastRenderedPageBreak/>
        <w:t xml:space="preserve">reserva y resguardo de información y datos”, incluida en la fracción I de este Anexo, y que los proveedores de certificación de CFDI están obligados a cumplir de conformidad con la regla 2.7.2.8. fracciones VI y XV. </w:t>
      </w:r>
      <w:r w:rsidRPr="00E8545F">
        <w:rPr>
          <w:b/>
          <w:lang w:val="es-MX"/>
        </w:rPr>
        <w:t>El incumplimiento</w:t>
      </w:r>
      <w:r w:rsidRPr="00E8545F">
        <w:rPr>
          <w:lang w:val="es-MX"/>
        </w:rPr>
        <w:t xml:space="preserve"> a la regla 2.7.2.8., fracción VI, </w:t>
      </w:r>
      <w:r w:rsidRPr="00E8545F">
        <w:rPr>
          <w:b/>
          <w:lang w:val="es-MX"/>
        </w:rPr>
        <w:t>es una causal de revocación</w:t>
      </w:r>
      <w:r w:rsidRPr="00E8545F">
        <w:rPr>
          <w:lang w:val="es-MX"/>
        </w:rPr>
        <w:t xml:space="preserve"> en términos de la regla 2.7.2.12., fracción I, inciso b).</w:t>
      </w:r>
    </w:p>
    <w:p w14:paraId="28587DE6" w14:textId="77777777" w:rsidR="002E3C60" w:rsidRPr="00E8545F" w:rsidRDefault="002E3C60" w:rsidP="002E3C60">
      <w:pPr>
        <w:pStyle w:val="Texto"/>
        <w:spacing w:after="90" w:line="242" w:lineRule="exact"/>
        <w:ind w:left="864" w:hanging="576"/>
        <w:rPr>
          <w:b/>
          <w:lang w:val="es-MX"/>
        </w:rPr>
      </w:pPr>
      <w:r w:rsidRPr="00E8545F">
        <w:rPr>
          <w:b/>
          <w:lang w:val="es-MX"/>
        </w:rPr>
        <w:t>IV.</w:t>
      </w:r>
      <w:r w:rsidRPr="00E8545F">
        <w:rPr>
          <w:b/>
          <w:lang w:val="es-MX"/>
        </w:rPr>
        <w:tab/>
        <w:t>Validaciones adicionales en la certificación de facturas que se expidan al amparo del Decreto de estímulos fiscales región fronteriza norte y del Decreto de estímulos fiscales región fronteriza sur.</w:t>
      </w:r>
    </w:p>
    <w:p w14:paraId="65E2A94F" w14:textId="77777777" w:rsidR="002E3C60" w:rsidRPr="00E8545F" w:rsidRDefault="002E3C60" w:rsidP="002E3C60">
      <w:pPr>
        <w:pStyle w:val="Texto"/>
        <w:tabs>
          <w:tab w:val="right" w:leader="dot" w:pos="8827"/>
        </w:tabs>
        <w:spacing w:after="90" w:line="242" w:lineRule="exact"/>
        <w:ind w:left="864" w:hanging="576"/>
        <w:rPr>
          <w:b/>
          <w:lang w:val="es-MX"/>
        </w:rPr>
      </w:pPr>
      <w:r w:rsidRPr="00E8545F">
        <w:rPr>
          <w:b/>
          <w:lang w:val="es-MX"/>
        </w:rPr>
        <w:t>IV.1.</w:t>
      </w:r>
      <w:r w:rsidRPr="00E8545F">
        <w:rPr>
          <w:b/>
          <w:lang w:val="es-MX"/>
        </w:rPr>
        <w:tab/>
      </w:r>
      <w:r>
        <w:rPr>
          <w:b/>
          <w:lang w:val="es-MX"/>
        </w:rPr>
        <w:tab/>
      </w:r>
    </w:p>
    <w:p w14:paraId="438623DA" w14:textId="77777777" w:rsidR="002E3C60" w:rsidRPr="00E8545F" w:rsidRDefault="002E3C60" w:rsidP="002E3C60">
      <w:pPr>
        <w:pStyle w:val="Texto"/>
        <w:spacing w:after="90" w:line="242" w:lineRule="exact"/>
        <w:rPr>
          <w:lang w:val="es-MX"/>
        </w:rPr>
      </w:pPr>
      <w:r w:rsidRPr="00E8545F">
        <w:rPr>
          <w:lang w:val="es-MX"/>
        </w:rPr>
        <w:t>En relación con lo señalado en el artículo 29 Bis, fracción I del CFF, que se refiere a la obligación a cargo de los proveedores de certificación de validar el cumplimiento de los requisitos establecidos en el artículo 29-A del CFF, así como lo señalado en la regla 2.7.2.8., fracción IX, en la que se establece “Enviar al SAT los CFDI, al momento en que realicen su certificación, con las características y especificaciones técnicas que le proporcione el SAT”, y a efecto de cumplir con el “Decreto de estímulos fiscales región fronteriza norte”, y en el “Decreto de estímulos fiscales región fronteriza sur”, en este apartado, se señalan las validaciones adicionales, a cargo de los proveedores de certificación.</w:t>
      </w:r>
    </w:p>
    <w:p w14:paraId="0C1A281B" w14:textId="77777777" w:rsidR="002E3C60" w:rsidRPr="00E8545F" w:rsidRDefault="002E3C60" w:rsidP="002E3C60">
      <w:pPr>
        <w:pStyle w:val="Texto"/>
        <w:spacing w:after="90" w:line="242" w:lineRule="exact"/>
        <w:rPr>
          <w:lang w:val="es-MX"/>
        </w:rPr>
      </w:pPr>
      <w:r w:rsidRPr="00E8545F">
        <w:rPr>
          <w:lang w:val="es-MX"/>
        </w:rPr>
        <w:t>Por lo anterior, los proveedores de certificación, tratándose de facturas que se expidan por los actos o actividades que realicen los contribuyentes ubicados en región fronteriza norte, y en la región fronteriza sur, para efecto de aplicar la tasa del 8% del IVA, deberán validar adicionalmente a lo señalado en el Anexo 20 (estándar tecnológico del CFDI), lo siguiente:</w:t>
      </w:r>
    </w:p>
    <w:p w14:paraId="62815957" w14:textId="77777777" w:rsidR="002E3C60" w:rsidRPr="00E8545F" w:rsidRDefault="002E3C60" w:rsidP="002E3C60">
      <w:pPr>
        <w:pStyle w:val="Texto"/>
        <w:tabs>
          <w:tab w:val="right" w:leader="dot" w:pos="8827"/>
        </w:tabs>
        <w:spacing w:after="90" w:line="242" w:lineRule="exact"/>
        <w:ind w:left="288" w:firstLine="0"/>
      </w:pPr>
      <w:r>
        <w:rPr>
          <w:b/>
        </w:rPr>
        <w:tab/>
      </w:r>
    </w:p>
    <w:p w14:paraId="174D4E07" w14:textId="77777777" w:rsidR="002E3C60" w:rsidRPr="00E8545F" w:rsidRDefault="002E3C60" w:rsidP="002E3C60">
      <w:pPr>
        <w:pStyle w:val="Texto"/>
        <w:tabs>
          <w:tab w:val="right" w:leader="dot" w:pos="8827"/>
        </w:tabs>
        <w:spacing w:after="90" w:line="242" w:lineRule="exact"/>
        <w:ind w:left="864" w:hanging="576"/>
        <w:rPr>
          <w:b/>
          <w:lang w:val="es-MX"/>
        </w:rPr>
      </w:pPr>
      <w:r w:rsidRPr="00E8545F">
        <w:rPr>
          <w:b/>
          <w:lang w:val="es-MX"/>
        </w:rPr>
        <w:t>IV.2.</w:t>
      </w:r>
      <w:r w:rsidRPr="00E8545F">
        <w:rPr>
          <w:b/>
          <w:lang w:val="es-MX"/>
        </w:rPr>
        <w:tab/>
      </w:r>
      <w:r>
        <w:rPr>
          <w:b/>
          <w:lang w:val="es-MX"/>
        </w:rPr>
        <w:tab/>
      </w:r>
    </w:p>
    <w:p w14:paraId="0BB719D8" w14:textId="77777777" w:rsidR="002E3C60" w:rsidRPr="00E8545F" w:rsidRDefault="002E3C60" w:rsidP="002E3C60">
      <w:pPr>
        <w:pStyle w:val="Texto"/>
        <w:spacing w:after="90" w:line="242" w:lineRule="exact"/>
        <w:ind w:left="864" w:hanging="576"/>
        <w:rPr>
          <w:b/>
          <w:lang w:val="es-MX"/>
        </w:rPr>
      </w:pPr>
      <w:r w:rsidRPr="00E8545F">
        <w:rPr>
          <w:b/>
          <w:lang w:val="es-MX"/>
        </w:rPr>
        <w:t>V.</w:t>
      </w:r>
      <w:r w:rsidRPr="00E8545F">
        <w:rPr>
          <w:b/>
          <w:lang w:val="es-MX"/>
        </w:rPr>
        <w:tab/>
        <w:t>Reglas y lineamientos para operar en ambientes productivos.</w:t>
      </w:r>
    </w:p>
    <w:p w14:paraId="0A6728E5" w14:textId="77777777" w:rsidR="002E3C60" w:rsidRPr="00E8545F" w:rsidRDefault="002E3C60" w:rsidP="002E3C60">
      <w:pPr>
        <w:pStyle w:val="Texto"/>
        <w:tabs>
          <w:tab w:val="right" w:leader="dot" w:pos="8827"/>
        </w:tabs>
        <w:spacing w:after="90" w:line="242" w:lineRule="exact"/>
        <w:ind w:left="288" w:firstLine="0"/>
      </w:pPr>
      <w:r>
        <w:rPr>
          <w:b/>
        </w:rPr>
        <w:tab/>
      </w:r>
    </w:p>
    <w:p w14:paraId="3298A039" w14:textId="77777777" w:rsidR="002E3C60" w:rsidRPr="00E8545F" w:rsidRDefault="002E3C60" w:rsidP="002E3C60">
      <w:pPr>
        <w:pStyle w:val="Texto"/>
        <w:tabs>
          <w:tab w:val="right" w:leader="dot" w:pos="8827"/>
        </w:tabs>
        <w:spacing w:after="90" w:line="242" w:lineRule="exact"/>
        <w:ind w:left="864" w:hanging="576"/>
        <w:rPr>
          <w:b/>
          <w:lang w:val="es-MX"/>
        </w:rPr>
      </w:pPr>
      <w:r w:rsidRPr="00E8545F">
        <w:rPr>
          <w:b/>
          <w:lang w:val="es-MX"/>
        </w:rPr>
        <w:t>V.1.</w:t>
      </w:r>
      <w:r w:rsidRPr="00E8545F">
        <w:rPr>
          <w:b/>
          <w:lang w:val="es-MX"/>
        </w:rPr>
        <w:tab/>
      </w:r>
      <w:r>
        <w:rPr>
          <w:b/>
          <w:lang w:val="es-MX"/>
        </w:rPr>
        <w:tab/>
      </w:r>
    </w:p>
    <w:p w14:paraId="24478C0A" w14:textId="77777777" w:rsidR="002E3C60" w:rsidRPr="00E8545F" w:rsidRDefault="002E3C60" w:rsidP="002E3C60">
      <w:pPr>
        <w:pStyle w:val="Texto"/>
        <w:tabs>
          <w:tab w:val="right" w:leader="dot" w:pos="8827"/>
        </w:tabs>
        <w:spacing w:after="90" w:line="242" w:lineRule="exact"/>
        <w:ind w:left="1368" w:hanging="504"/>
      </w:pPr>
      <w:bookmarkStart w:id="3" w:name="N_Hlk161219737"/>
      <w:r w:rsidRPr="00E8545F">
        <w:rPr>
          <w:b/>
        </w:rPr>
        <w:t>1.</w:t>
      </w:r>
      <w:r w:rsidRPr="00E8545F">
        <w:t xml:space="preserve"> a </w:t>
      </w:r>
      <w:r w:rsidRPr="00E8545F">
        <w:rPr>
          <w:b/>
        </w:rPr>
        <w:t>2</w:t>
      </w:r>
      <w:r>
        <w:rPr>
          <w:b/>
        </w:rPr>
        <w:tab/>
      </w:r>
      <w:r>
        <w:rPr>
          <w:b/>
        </w:rPr>
        <w:tab/>
      </w:r>
    </w:p>
    <w:p w14:paraId="67D43399" w14:textId="77777777" w:rsidR="002E3C60" w:rsidRPr="00E8545F" w:rsidRDefault="002E3C60" w:rsidP="002E3C60">
      <w:pPr>
        <w:pStyle w:val="Texto"/>
        <w:tabs>
          <w:tab w:val="right" w:leader="dot" w:pos="8827"/>
        </w:tabs>
        <w:spacing w:after="90" w:line="242" w:lineRule="exact"/>
        <w:ind w:left="1368" w:hanging="504"/>
        <w:rPr>
          <w:lang w:val="es-MX"/>
        </w:rPr>
      </w:pPr>
      <w:bookmarkStart w:id="4" w:name="N_Hlk164679294"/>
      <w:bookmarkEnd w:id="3"/>
      <w:r w:rsidRPr="00E8545F">
        <w:rPr>
          <w:b/>
          <w:lang w:val="es-MX"/>
        </w:rPr>
        <w:t>3.</w:t>
      </w:r>
      <w:r w:rsidRPr="00E8545F">
        <w:rPr>
          <w:lang w:val="es-MX"/>
        </w:rPr>
        <w:tab/>
      </w:r>
      <w:r>
        <w:rPr>
          <w:b/>
          <w:lang w:val="es-MX"/>
        </w:rPr>
        <w:tab/>
      </w:r>
    </w:p>
    <w:bookmarkEnd w:id="4"/>
    <w:p w14:paraId="52CC57DC" w14:textId="77777777" w:rsidR="002E3C60" w:rsidRPr="00E8545F" w:rsidRDefault="002E3C60" w:rsidP="002E3C60">
      <w:pPr>
        <w:pStyle w:val="Texto"/>
        <w:spacing w:after="90" w:line="242" w:lineRule="exact"/>
        <w:ind w:left="1368" w:hanging="504"/>
        <w:rPr>
          <w:lang w:val="es-MX"/>
        </w:rPr>
      </w:pPr>
      <w:r w:rsidRPr="00E8545F">
        <w:rPr>
          <w:lang w:val="es-MX"/>
        </w:rPr>
        <w:tab/>
        <w:t>Adicionalmente, el SAT puede hacer entrega de CSD a los proveedores de certificación, únicamente para hacer pruebas en la certificación.</w:t>
      </w:r>
    </w:p>
    <w:p w14:paraId="0453869D" w14:textId="77777777" w:rsidR="002E3C60" w:rsidRPr="00E8545F" w:rsidRDefault="002E3C60" w:rsidP="002E3C60">
      <w:pPr>
        <w:pStyle w:val="Texto"/>
        <w:tabs>
          <w:tab w:val="right" w:leader="dot" w:pos="8827"/>
        </w:tabs>
        <w:spacing w:after="90" w:line="242" w:lineRule="exact"/>
        <w:ind w:left="1368" w:hanging="504"/>
        <w:rPr>
          <w:lang w:val="es-MX"/>
        </w:rPr>
      </w:pPr>
      <w:r w:rsidRPr="00E8545F">
        <w:rPr>
          <w:b/>
          <w:lang w:val="es-MX"/>
        </w:rPr>
        <w:t>4.</w:t>
      </w:r>
      <w:r w:rsidRPr="00E8545F">
        <w:rPr>
          <w:lang w:val="es-MX"/>
        </w:rPr>
        <w:tab/>
      </w:r>
      <w:r>
        <w:rPr>
          <w:b/>
          <w:lang w:val="es-MX"/>
        </w:rPr>
        <w:tab/>
      </w:r>
    </w:p>
    <w:p w14:paraId="135FF9E6" w14:textId="77777777" w:rsidR="002E3C60" w:rsidRPr="00E8545F" w:rsidRDefault="002E3C60" w:rsidP="002E3C60">
      <w:pPr>
        <w:pStyle w:val="Texto"/>
        <w:tabs>
          <w:tab w:val="right" w:leader="dot" w:pos="8827"/>
        </w:tabs>
        <w:spacing w:after="90" w:line="242" w:lineRule="exact"/>
        <w:ind w:left="288" w:firstLine="0"/>
        <w:rPr>
          <w:lang w:val="es-MX"/>
        </w:rPr>
      </w:pPr>
      <w:r>
        <w:rPr>
          <w:b/>
        </w:rPr>
        <w:tab/>
      </w:r>
    </w:p>
    <w:p w14:paraId="64029D42" w14:textId="77777777" w:rsidR="002E3C60" w:rsidRPr="00E8545F" w:rsidRDefault="002E3C60" w:rsidP="002E3C60">
      <w:pPr>
        <w:pStyle w:val="Texto"/>
        <w:spacing w:after="90" w:line="242" w:lineRule="exact"/>
        <w:ind w:left="864" w:hanging="576"/>
        <w:rPr>
          <w:b/>
          <w:lang w:val="es-MX"/>
        </w:rPr>
      </w:pPr>
      <w:r w:rsidRPr="00E8545F">
        <w:rPr>
          <w:b/>
          <w:lang w:val="es-MX"/>
        </w:rPr>
        <w:t>VI.</w:t>
      </w:r>
      <w:r w:rsidRPr="00E8545F">
        <w:rPr>
          <w:b/>
          <w:lang w:val="es-MX"/>
        </w:rPr>
        <w:tab/>
        <w:t>Validaciones adicionales al Anexo 20 y complementos</w:t>
      </w:r>
      <w:r>
        <w:rPr>
          <w:b/>
          <w:lang w:val="es-MX"/>
        </w:rPr>
        <w:t xml:space="preserve"> </w:t>
      </w:r>
      <w:r w:rsidRPr="00E8545F">
        <w:rPr>
          <w:b/>
          <w:lang w:val="es-MX"/>
        </w:rPr>
        <w:t>de factura electrónica.</w:t>
      </w:r>
    </w:p>
    <w:p w14:paraId="5357C95D" w14:textId="77777777" w:rsidR="002E3C60" w:rsidRPr="00E8545F" w:rsidRDefault="002E3C60" w:rsidP="002E3C60">
      <w:pPr>
        <w:pStyle w:val="Texto"/>
        <w:tabs>
          <w:tab w:val="right" w:leader="dot" w:pos="8827"/>
        </w:tabs>
        <w:spacing w:after="90" w:line="242" w:lineRule="exact"/>
        <w:ind w:left="864" w:hanging="576"/>
        <w:rPr>
          <w:b/>
          <w:lang w:val="es-MX"/>
        </w:rPr>
      </w:pPr>
      <w:r w:rsidRPr="00E8545F">
        <w:rPr>
          <w:b/>
          <w:lang w:val="es-MX"/>
        </w:rPr>
        <w:t>VI.1.</w:t>
      </w:r>
      <w:r w:rsidRPr="00E8545F">
        <w:rPr>
          <w:b/>
          <w:lang w:val="es-MX"/>
        </w:rPr>
        <w:tab/>
      </w:r>
      <w:r>
        <w:rPr>
          <w:b/>
          <w:lang w:val="es-MX"/>
        </w:rPr>
        <w:tab/>
      </w:r>
    </w:p>
    <w:p w14:paraId="69D4CD33" w14:textId="77777777" w:rsidR="002E3C60" w:rsidRPr="00E8545F" w:rsidRDefault="002E3C60" w:rsidP="002E3C60">
      <w:pPr>
        <w:pStyle w:val="Texto"/>
        <w:tabs>
          <w:tab w:val="right" w:leader="dot" w:pos="8827"/>
        </w:tabs>
        <w:spacing w:after="90" w:line="242" w:lineRule="exact"/>
        <w:ind w:left="864" w:firstLine="0"/>
      </w:pPr>
      <w:r w:rsidRPr="00E8545F">
        <w:rPr>
          <w:b/>
        </w:rPr>
        <w:t>1.</w:t>
      </w:r>
      <w:r w:rsidRPr="00E8545F">
        <w:t xml:space="preserve"> a </w:t>
      </w:r>
      <w:r w:rsidRPr="00E8545F">
        <w:rPr>
          <w:b/>
        </w:rPr>
        <w:t>4.</w:t>
      </w:r>
      <w:r w:rsidRPr="00E8545F">
        <w:t xml:space="preserve"> </w:t>
      </w:r>
      <w:r>
        <w:rPr>
          <w:b/>
        </w:rPr>
        <w:tab/>
      </w:r>
    </w:p>
    <w:p w14:paraId="23D10442" w14:textId="77777777" w:rsidR="002E3C60" w:rsidRPr="00E8545F" w:rsidRDefault="002E3C60" w:rsidP="002E3C60">
      <w:pPr>
        <w:pStyle w:val="Texto"/>
        <w:tabs>
          <w:tab w:val="right" w:leader="dot" w:pos="8827"/>
        </w:tabs>
        <w:spacing w:after="90" w:line="242" w:lineRule="exact"/>
        <w:ind w:left="864" w:firstLine="0"/>
        <w:rPr>
          <w:b/>
          <w:lang w:val="es-MX"/>
        </w:rPr>
      </w:pPr>
      <w:r w:rsidRPr="00E8545F">
        <w:rPr>
          <w:b/>
          <w:lang w:val="es-MX"/>
        </w:rPr>
        <w:t xml:space="preserve">5. </w:t>
      </w:r>
      <w:r>
        <w:rPr>
          <w:b/>
          <w:lang w:val="es-MX"/>
        </w:rPr>
        <w:tab/>
      </w:r>
    </w:p>
    <w:p w14:paraId="249D0C94" w14:textId="77777777" w:rsidR="002E3C60" w:rsidRPr="00E8545F" w:rsidRDefault="002E3C60" w:rsidP="002E3C60">
      <w:pPr>
        <w:pStyle w:val="Texto"/>
        <w:spacing w:after="90" w:line="242" w:lineRule="exact"/>
        <w:ind w:left="864" w:firstLine="0"/>
      </w:pPr>
      <w:r w:rsidRPr="00E8545F">
        <w:rPr>
          <w:b/>
        </w:rPr>
        <w:t>5.1.</w:t>
      </w:r>
      <w:r w:rsidRPr="00E8545F">
        <w:rPr>
          <w:color w:val="000000"/>
        </w:rPr>
        <w:t xml:space="preserve"> </w:t>
      </w:r>
      <w:r w:rsidRPr="00E8545F">
        <w:t xml:space="preserve">Para efectos de la segunda validación del nodo </w:t>
      </w:r>
      <w:proofErr w:type="spellStart"/>
      <w:r w:rsidRPr="00E8545F">
        <w:t>InformacionGlobal</w:t>
      </w:r>
      <w:proofErr w:type="spellEnd"/>
      <w:r w:rsidRPr="00E8545F">
        <w:t xml:space="preserve"> donde señala que:</w:t>
      </w:r>
    </w:p>
    <w:p w14:paraId="37F850E0" w14:textId="77777777" w:rsidR="002E3C60" w:rsidRPr="00E8545F" w:rsidRDefault="002E3C60" w:rsidP="002E3C60">
      <w:pPr>
        <w:pStyle w:val="Texto"/>
        <w:spacing w:after="90" w:line="242" w:lineRule="exact"/>
        <w:ind w:left="864" w:firstLine="0"/>
      </w:pPr>
      <w:r w:rsidRPr="00E8545F">
        <w:t xml:space="preserve">“Si el valor registrado en el atributo </w:t>
      </w:r>
      <w:proofErr w:type="spellStart"/>
      <w:r w:rsidRPr="00E8545F">
        <w:t>Rfc</w:t>
      </w:r>
      <w:proofErr w:type="spellEnd"/>
      <w:r w:rsidRPr="00E8545F">
        <w:t xml:space="preserve"> del nodo Receptor contiene XAXX010101000 y el valor registrado en el atributo Nombre del nodo Receptor contiene el valor “PUBLICO EN GENERAL” este nodo debe existir”.</w:t>
      </w:r>
    </w:p>
    <w:p w14:paraId="4C436350" w14:textId="77777777" w:rsidR="002E3C60" w:rsidRPr="00E8545F" w:rsidRDefault="002E3C60" w:rsidP="002E3C60">
      <w:pPr>
        <w:pStyle w:val="Texto"/>
        <w:spacing w:after="90" w:line="242" w:lineRule="exact"/>
        <w:ind w:left="864" w:firstLine="0"/>
      </w:pPr>
      <w:r w:rsidRPr="00E8545F">
        <w:t>Se precisa que conjuntamente se debe considerar lo siguiente:</w:t>
      </w:r>
    </w:p>
    <w:p w14:paraId="5045C7E8" w14:textId="77777777" w:rsidR="002E3C60" w:rsidRPr="00E8545F" w:rsidRDefault="002E3C60" w:rsidP="002E3C60">
      <w:pPr>
        <w:pStyle w:val="Texto"/>
        <w:spacing w:after="90" w:line="242" w:lineRule="exact"/>
        <w:ind w:left="864" w:firstLine="0"/>
      </w:pPr>
      <w:r w:rsidRPr="00E8545F">
        <w:t xml:space="preserve">Que el valor registrado en el atributo </w:t>
      </w:r>
      <w:proofErr w:type="spellStart"/>
      <w:r w:rsidRPr="00E8545F">
        <w:t>TipoDeComprobante</w:t>
      </w:r>
      <w:proofErr w:type="spellEnd"/>
      <w:r w:rsidRPr="00E8545F">
        <w:t xml:space="preserve"> debe ser “I”.</w:t>
      </w:r>
    </w:p>
    <w:p w14:paraId="2012F2F0" w14:textId="77777777" w:rsidR="002E3C60" w:rsidRPr="00E8545F" w:rsidRDefault="002E3C60" w:rsidP="002E3C60">
      <w:pPr>
        <w:pStyle w:val="Texto"/>
        <w:spacing w:after="90" w:line="242" w:lineRule="exact"/>
        <w:ind w:left="864" w:firstLine="0"/>
        <w:rPr>
          <w:b/>
          <w:szCs w:val="18"/>
        </w:rPr>
      </w:pPr>
      <w:r w:rsidRPr="00E8545F">
        <w:rPr>
          <w:b/>
          <w:szCs w:val="18"/>
        </w:rPr>
        <w:t>5.2.</w:t>
      </w:r>
      <w:r w:rsidRPr="00E8545F">
        <w:rPr>
          <w:szCs w:val="18"/>
        </w:rPr>
        <w:t xml:space="preserve"> </w:t>
      </w:r>
      <w:r w:rsidRPr="00E8545F">
        <w:rPr>
          <w:b/>
          <w:szCs w:val="18"/>
        </w:rPr>
        <w:t>Año</w:t>
      </w:r>
    </w:p>
    <w:p w14:paraId="11FEAAFF" w14:textId="77777777" w:rsidR="002E3C60" w:rsidRPr="00E8545F" w:rsidRDefault="002E3C60" w:rsidP="002E3C60">
      <w:pPr>
        <w:pStyle w:val="Texto"/>
        <w:spacing w:after="90" w:line="242" w:lineRule="exact"/>
        <w:ind w:left="864" w:firstLine="0"/>
        <w:rPr>
          <w:szCs w:val="18"/>
        </w:rPr>
      </w:pPr>
      <w:r w:rsidRPr="00E8545F">
        <w:rPr>
          <w:szCs w:val="18"/>
        </w:rPr>
        <w:t>Para efectos de la validación del atributo Año donde señala que:</w:t>
      </w:r>
    </w:p>
    <w:p w14:paraId="71F2A8E3" w14:textId="77777777" w:rsidR="002E3C60" w:rsidRPr="00E8545F" w:rsidRDefault="002E3C60" w:rsidP="002E3C60">
      <w:pPr>
        <w:pStyle w:val="Texto"/>
        <w:spacing w:after="90" w:line="242" w:lineRule="exact"/>
        <w:ind w:left="864" w:firstLine="0"/>
        <w:rPr>
          <w:szCs w:val="18"/>
        </w:rPr>
      </w:pPr>
      <w:r w:rsidRPr="00E8545F">
        <w:rPr>
          <w:szCs w:val="18"/>
        </w:rPr>
        <w:t>“El valor de este atributo debe ser igual al año en curso o al año inmediato anterior. Para validar el año en curso o el año inmediato anterior se debe considerar el registrado en el atributo Fecha”</w:t>
      </w:r>
    </w:p>
    <w:p w14:paraId="05460BC6" w14:textId="77777777" w:rsidR="002E3C60" w:rsidRPr="00E8545F" w:rsidRDefault="002E3C60" w:rsidP="002E3C60">
      <w:pPr>
        <w:pStyle w:val="Texto"/>
        <w:spacing w:after="90" w:line="242" w:lineRule="exact"/>
        <w:ind w:left="864" w:firstLine="0"/>
        <w:rPr>
          <w:szCs w:val="18"/>
        </w:rPr>
      </w:pPr>
      <w:r w:rsidRPr="00E8545F">
        <w:rPr>
          <w:szCs w:val="18"/>
        </w:rPr>
        <w:lastRenderedPageBreak/>
        <w:t>Se precisa que, en sustitución de la validación anterior se debe considerar lo siguiente:</w:t>
      </w:r>
    </w:p>
    <w:p w14:paraId="6B3E4F6B" w14:textId="77777777" w:rsidR="002E3C60" w:rsidRPr="00E8545F" w:rsidRDefault="002E3C60" w:rsidP="002E3C60">
      <w:pPr>
        <w:pStyle w:val="Texto"/>
        <w:spacing w:after="90" w:line="242" w:lineRule="exact"/>
        <w:ind w:left="864" w:firstLine="0"/>
      </w:pPr>
      <w:r w:rsidRPr="00E8545F">
        <w:t>“El valor de este atributo debe ser igual al año en curso o uno de los años de hasta cinco ejercicios anteriores. Para validar el año de este atributo se debe considerar el registrado en el atributo Fecha”.</w:t>
      </w:r>
    </w:p>
    <w:p w14:paraId="5079A751" w14:textId="77777777" w:rsidR="002E3C60" w:rsidRPr="00E8545F" w:rsidRDefault="002E3C60" w:rsidP="002E3C60">
      <w:pPr>
        <w:pStyle w:val="Texto"/>
        <w:tabs>
          <w:tab w:val="right" w:leader="dot" w:pos="8827"/>
        </w:tabs>
        <w:spacing w:after="90" w:line="242" w:lineRule="exact"/>
        <w:ind w:left="864" w:firstLine="0"/>
      </w:pPr>
      <w:r w:rsidRPr="00E8545F">
        <w:rPr>
          <w:b/>
        </w:rPr>
        <w:t>6.</w:t>
      </w:r>
      <w:r w:rsidRPr="00E8545F">
        <w:t xml:space="preserve"> a </w:t>
      </w:r>
      <w:r w:rsidRPr="00E8545F">
        <w:rPr>
          <w:b/>
        </w:rPr>
        <w:t>7</w:t>
      </w:r>
      <w:r>
        <w:rPr>
          <w:b/>
        </w:rPr>
        <w:t xml:space="preserve"> </w:t>
      </w:r>
      <w:r>
        <w:rPr>
          <w:b/>
        </w:rPr>
        <w:tab/>
      </w:r>
    </w:p>
    <w:p w14:paraId="6614BA8C" w14:textId="77777777" w:rsidR="002E3C60" w:rsidRPr="00E8545F" w:rsidRDefault="002E3C60" w:rsidP="002E3C60">
      <w:pPr>
        <w:pStyle w:val="Texto"/>
        <w:tabs>
          <w:tab w:val="right" w:leader="dot" w:pos="8827"/>
        </w:tabs>
        <w:spacing w:after="90"/>
        <w:ind w:left="864" w:hanging="576"/>
        <w:rPr>
          <w:b/>
          <w:lang w:val="es-MX"/>
        </w:rPr>
      </w:pPr>
      <w:r w:rsidRPr="00E8545F">
        <w:rPr>
          <w:b/>
          <w:lang w:val="es-MX"/>
        </w:rPr>
        <w:t>VI.2.</w:t>
      </w:r>
      <w:r w:rsidRPr="00E8545F">
        <w:rPr>
          <w:b/>
          <w:lang w:val="es-MX"/>
        </w:rPr>
        <w:tab/>
      </w:r>
      <w:r>
        <w:rPr>
          <w:b/>
          <w:lang w:val="es-MX"/>
        </w:rPr>
        <w:tab/>
      </w:r>
    </w:p>
    <w:p w14:paraId="44456AD2" w14:textId="77777777" w:rsidR="002E3C60" w:rsidRPr="00E8545F" w:rsidRDefault="002E3C60" w:rsidP="002E3C60">
      <w:pPr>
        <w:pStyle w:val="Texto"/>
        <w:tabs>
          <w:tab w:val="right" w:leader="dot" w:pos="8827"/>
        </w:tabs>
        <w:spacing w:after="90"/>
        <w:ind w:left="1368" w:hanging="504"/>
        <w:rPr>
          <w:b/>
          <w:lang w:val="es-MX"/>
        </w:rPr>
      </w:pPr>
      <w:r w:rsidRPr="00E8545F">
        <w:rPr>
          <w:b/>
          <w:lang w:val="es-MX"/>
        </w:rPr>
        <w:t>1.</w:t>
      </w:r>
      <w:r w:rsidRPr="00E8545F">
        <w:rPr>
          <w:b/>
          <w:lang w:val="es-MX"/>
        </w:rPr>
        <w:tab/>
      </w:r>
      <w:r>
        <w:rPr>
          <w:b/>
          <w:lang w:val="es-MX"/>
        </w:rPr>
        <w:tab/>
      </w:r>
    </w:p>
    <w:p w14:paraId="361FCB96" w14:textId="77777777" w:rsidR="002E3C60" w:rsidRPr="00E8545F" w:rsidRDefault="002E3C60" w:rsidP="002E3C60">
      <w:pPr>
        <w:pStyle w:val="Texto"/>
        <w:spacing w:after="90"/>
        <w:ind w:left="1368" w:hanging="504"/>
        <w:rPr>
          <w:lang w:val="es-MX"/>
        </w:rPr>
      </w:pPr>
      <w:r w:rsidRPr="00E8545F">
        <w:rPr>
          <w:lang w:val="es-MX"/>
        </w:rPr>
        <w:tab/>
        <w:t>Para efectos de la regla 2.7.1.40., la cual indica el procedimiento para la emisión del CFDI, los proveedores de certificación deben considerar que si sus clientes realizan operaciones en las cuales emitan CFDI por operaciones de factoraje financiero con documentos distintos a CFDI, podrán emitir el CFDI con “Complemento para recepción de pagos” pudiendo registrar en el campo “Descripcion” del CFDI al que se le incorpora el complemento, la descripción e indicación de la operación por la cual se tiene u originó el derecho de cobro que se cede, así como el número, nombre o identificador que tenga el documento o documentos que soportan, prueban o identifican los derechos de cobro objeto de la operación de factoraje financiero.</w:t>
      </w:r>
    </w:p>
    <w:p w14:paraId="7CD21666" w14:textId="77777777" w:rsidR="002E3C60" w:rsidRPr="00E8545F" w:rsidRDefault="002E3C60" w:rsidP="002E3C60">
      <w:pPr>
        <w:pStyle w:val="Texto"/>
        <w:spacing w:after="90"/>
        <w:ind w:left="1368" w:hanging="504"/>
        <w:rPr>
          <w:lang w:val="es-MX"/>
        </w:rPr>
      </w:pPr>
      <w:r w:rsidRPr="00E8545F">
        <w:rPr>
          <w:lang w:val="es-MX"/>
        </w:rPr>
        <w:tab/>
        <w:t>Para efectos del párrafo anterior, los proveedores de certificación podrán no considerar la regla de validación del campo “Descripcion” del “Elemento: Comprobante”, consistente en “Para este atributo se debe registrar el valor “Pago”, contenida en el estándar del complemento para recepción de pagos”.</w:t>
      </w:r>
    </w:p>
    <w:p w14:paraId="22B25040" w14:textId="77777777" w:rsidR="002E3C60" w:rsidRPr="00E8545F" w:rsidRDefault="002E3C60" w:rsidP="002E3C60">
      <w:pPr>
        <w:pStyle w:val="Texto"/>
        <w:tabs>
          <w:tab w:val="right" w:leader="dot" w:pos="8827"/>
        </w:tabs>
        <w:spacing w:after="90"/>
        <w:ind w:left="1368" w:hanging="504"/>
        <w:rPr>
          <w:lang w:val="es-MX"/>
        </w:rPr>
      </w:pPr>
      <w:r w:rsidRPr="00E8545F">
        <w:rPr>
          <w:lang w:val="es-MX"/>
        </w:rPr>
        <w:tab/>
      </w:r>
      <w:r>
        <w:rPr>
          <w:b/>
          <w:lang w:val="es-MX"/>
        </w:rPr>
        <w:tab/>
      </w:r>
    </w:p>
    <w:p w14:paraId="2DBD7135" w14:textId="77777777" w:rsidR="002E3C60" w:rsidRPr="00E8545F" w:rsidRDefault="002E3C60" w:rsidP="002E3C60">
      <w:pPr>
        <w:pStyle w:val="Texto"/>
        <w:tabs>
          <w:tab w:val="right" w:leader="dot" w:pos="8827"/>
        </w:tabs>
        <w:spacing w:after="90"/>
        <w:ind w:left="1368" w:hanging="504"/>
        <w:rPr>
          <w:b/>
          <w:lang w:val="es-MX"/>
        </w:rPr>
      </w:pPr>
      <w:r w:rsidRPr="00E8545F">
        <w:rPr>
          <w:b/>
          <w:lang w:val="es-MX"/>
        </w:rPr>
        <w:t>2.</w:t>
      </w:r>
      <w:r w:rsidRPr="00E8545F">
        <w:rPr>
          <w:b/>
          <w:lang w:val="es-MX"/>
        </w:rPr>
        <w:tab/>
      </w:r>
      <w:r>
        <w:rPr>
          <w:b/>
          <w:lang w:val="es-MX"/>
        </w:rPr>
        <w:tab/>
      </w:r>
    </w:p>
    <w:p w14:paraId="57ACBC71" w14:textId="77777777" w:rsidR="002E3C60" w:rsidRPr="00E8545F" w:rsidRDefault="002E3C60" w:rsidP="002E3C60">
      <w:pPr>
        <w:pStyle w:val="Texto"/>
        <w:spacing w:after="90"/>
        <w:ind w:left="1368" w:hanging="504"/>
      </w:pPr>
      <w:r w:rsidRPr="00E8545F">
        <w:rPr>
          <w:b/>
        </w:rPr>
        <w:t>2.1.</w:t>
      </w:r>
      <w:r w:rsidRPr="00E8545F">
        <w:tab/>
      </w:r>
      <w:proofErr w:type="spellStart"/>
      <w:r w:rsidRPr="00E8545F">
        <w:rPr>
          <w:b/>
        </w:rPr>
        <w:t>NomDenRazSocR</w:t>
      </w:r>
      <w:proofErr w:type="spellEnd"/>
      <w:r w:rsidRPr="00E8545F">
        <w:rPr>
          <w:b/>
        </w:rPr>
        <w:t>:</w:t>
      </w:r>
    </w:p>
    <w:p w14:paraId="18C6321D" w14:textId="77777777" w:rsidR="002E3C60" w:rsidRPr="00E8545F" w:rsidRDefault="002E3C60" w:rsidP="002E3C60">
      <w:pPr>
        <w:pStyle w:val="Texto"/>
        <w:spacing w:after="90"/>
        <w:ind w:left="1368" w:hanging="504"/>
      </w:pPr>
      <w:r w:rsidRPr="00E8545F">
        <w:tab/>
        <w:t xml:space="preserve">Si el valor registrado en este atributo es “PÚBLICO EN GENERAL”, el valor “XAXX010101000” debe existir en el atributo </w:t>
      </w:r>
      <w:proofErr w:type="spellStart"/>
      <w:r w:rsidRPr="00E8545F">
        <w:t>Rfc</w:t>
      </w:r>
      <w:bookmarkStart w:id="5" w:name="N_Hlk161056790"/>
      <w:r w:rsidRPr="00E8545F">
        <w:t>R</w:t>
      </w:r>
      <w:bookmarkEnd w:id="5"/>
      <w:proofErr w:type="spellEnd"/>
      <w:r w:rsidRPr="00E8545F">
        <w:t xml:space="preserve"> del nodo </w:t>
      </w:r>
      <w:proofErr w:type="spellStart"/>
      <w:proofErr w:type="gramStart"/>
      <w:r w:rsidRPr="00E8545F">
        <w:t>Receptor:Nacional</w:t>
      </w:r>
      <w:proofErr w:type="spellEnd"/>
      <w:proofErr w:type="gramEnd"/>
      <w:r w:rsidRPr="00E8545F">
        <w:t>.</w:t>
      </w:r>
    </w:p>
    <w:p w14:paraId="067D4E11" w14:textId="77777777" w:rsidR="002E3C60" w:rsidRPr="00E8545F" w:rsidRDefault="002E3C60" w:rsidP="002E3C60">
      <w:pPr>
        <w:pStyle w:val="Texto"/>
        <w:spacing w:after="90"/>
        <w:ind w:left="1368" w:hanging="504"/>
        <w:rPr>
          <w:b/>
          <w:lang w:val="es-MX"/>
        </w:rPr>
      </w:pPr>
      <w:r w:rsidRPr="00E8545F">
        <w:rPr>
          <w:b/>
          <w:lang w:val="es-MX"/>
        </w:rPr>
        <w:t>2.2.</w:t>
      </w:r>
      <w:r w:rsidRPr="00E8545F">
        <w:rPr>
          <w:lang w:val="es-MX"/>
        </w:rPr>
        <w:tab/>
      </w:r>
      <w:r w:rsidRPr="00E8545F">
        <w:rPr>
          <w:b/>
          <w:lang w:val="es-MX"/>
        </w:rPr>
        <w:t>DomicilioFiscalR:</w:t>
      </w:r>
    </w:p>
    <w:p w14:paraId="10289940" w14:textId="77777777" w:rsidR="002E3C60" w:rsidRPr="00E8545F" w:rsidRDefault="002E3C60" w:rsidP="002E3C60">
      <w:pPr>
        <w:pStyle w:val="Texto"/>
        <w:spacing w:after="90"/>
        <w:ind w:left="1368" w:hanging="504"/>
      </w:pPr>
      <w:r w:rsidRPr="00E8545F">
        <w:tab/>
        <w:t xml:space="preserve">Si el valor del atributo </w:t>
      </w:r>
      <w:proofErr w:type="spellStart"/>
      <w:r w:rsidRPr="00E8545F">
        <w:t>RfcR</w:t>
      </w:r>
      <w:proofErr w:type="spellEnd"/>
      <w:r w:rsidRPr="00E8545F">
        <w:t xml:space="preserve"> del nodo </w:t>
      </w:r>
      <w:proofErr w:type="spellStart"/>
      <w:proofErr w:type="gramStart"/>
      <w:r w:rsidRPr="00E8545F">
        <w:t>Receptor:Nacional</w:t>
      </w:r>
      <w:proofErr w:type="spellEnd"/>
      <w:proofErr w:type="gramEnd"/>
      <w:r w:rsidRPr="00E8545F">
        <w:t xml:space="preserve"> es “XAXX010101000”, el valor de este atributo debe ser igual al registrado en el atributo </w:t>
      </w:r>
      <w:proofErr w:type="spellStart"/>
      <w:r w:rsidRPr="00E8545F">
        <w:t>LugarExpRetenc</w:t>
      </w:r>
      <w:proofErr w:type="spellEnd"/>
      <w:r w:rsidRPr="00E8545F">
        <w:t>.</w:t>
      </w:r>
    </w:p>
    <w:p w14:paraId="008BF323" w14:textId="77777777" w:rsidR="002E3C60" w:rsidRPr="00E8545F" w:rsidRDefault="002E3C60" w:rsidP="002E3C60">
      <w:pPr>
        <w:pStyle w:val="Texto"/>
        <w:spacing w:after="90"/>
        <w:ind w:left="864" w:hanging="576"/>
        <w:rPr>
          <w:b/>
          <w:szCs w:val="18"/>
        </w:rPr>
      </w:pPr>
      <w:r w:rsidRPr="00E8545F">
        <w:tab/>
      </w:r>
      <w:r w:rsidRPr="00E8545F">
        <w:rPr>
          <w:b/>
          <w:szCs w:val="18"/>
        </w:rPr>
        <w:t>2.3.</w:t>
      </w:r>
      <w:r w:rsidRPr="00E8545F">
        <w:rPr>
          <w:b/>
          <w:szCs w:val="18"/>
        </w:rPr>
        <w:tab/>
        <w:t>Ejercicio:</w:t>
      </w:r>
    </w:p>
    <w:p w14:paraId="13FB32C0" w14:textId="77777777" w:rsidR="002E3C60" w:rsidRPr="00E8545F" w:rsidRDefault="002E3C60" w:rsidP="002E3C60">
      <w:pPr>
        <w:pStyle w:val="Texto"/>
        <w:spacing w:after="90"/>
        <w:ind w:left="1368" w:hanging="504"/>
        <w:rPr>
          <w:szCs w:val="18"/>
        </w:rPr>
      </w:pPr>
      <w:r>
        <w:rPr>
          <w:szCs w:val="18"/>
        </w:rPr>
        <w:tab/>
      </w:r>
      <w:r w:rsidRPr="00E8545F">
        <w:rPr>
          <w:szCs w:val="18"/>
        </w:rPr>
        <w:t xml:space="preserve">Para efectos de la segunda validación del atributo </w:t>
      </w:r>
      <w:r w:rsidRPr="00E8545F">
        <w:rPr>
          <w:b/>
          <w:szCs w:val="18"/>
        </w:rPr>
        <w:t>Ejercicio</w:t>
      </w:r>
      <w:r w:rsidRPr="00E8545F">
        <w:rPr>
          <w:szCs w:val="18"/>
        </w:rPr>
        <w:t xml:space="preserve"> donde señala que:</w:t>
      </w:r>
    </w:p>
    <w:p w14:paraId="26D6A999" w14:textId="77777777" w:rsidR="002E3C60" w:rsidRPr="00E8545F" w:rsidRDefault="002E3C60" w:rsidP="002E3C60">
      <w:pPr>
        <w:pStyle w:val="Texto"/>
        <w:spacing w:after="90"/>
        <w:ind w:left="1728" w:firstLine="0"/>
        <w:rPr>
          <w:szCs w:val="18"/>
        </w:rPr>
      </w:pPr>
      <w:r w:rsidRPr="00E8545F">
        <w:rPr>
          <w:szCs w:val="18"/>
        </w:rPr>
        <w:t xml:space="preserve">“El valor de este atributo debe ser igual al año en curso o al año inmediato anterior. Para validar el año en curso o el año inmediato anterior se debe considerar el registrado en el atributo </w:t>
      </w:r>
      <w:proofErr w:type="spellStart"/>
      <w:r w:rsidRPr="00E8545F">
        <w:rPr>
          <w:szCs w:val="18"/>
        </w:rPr>
        <w:t>FechaExp</w:t>
      </w:r>
      <w:proofErr w:type="spellEnd"/>
      <w:r w:rsidRPr="00E8545F">
        <w:rPr>
          <w:szCs w:val="18"/>
        </w:rPr>
        <w:t>”</w:t>
      </w:r>
    </w:p>
    <w:p w14:paraId="14351A41" w14:textId="77777777" w:rsidR="002E3C60" w:rsidRPr="00E8545F" w:rsidRDefault="002E3C60" w:rsidP="002E3C60">
      <w:pPr>
        <w:pStyle w:val="Texto"/>
        <w:spacing w:after="90"/>
        <w:ind w:left="1368" w:hanging="504"/>
        <w:rPr>
          <w:szCs w:val="18"/>
        </w:rPr>
      </w:pPr>
      <w:r>
        <w:rPr>
          <w:szCs w:val="18"/>
        </w:rPr>
        <w:tab/>
      </w:r>
      <w:r w:rsidRPr="00E8545F">
        <w:rPr>
          <w:szCs w:val="18"/>
        </w:rPr>
        <w:t>Se precisa que, en sustitución de la validación anterior se debe considerar lo siguiente:</w:t>
      </w:r>
    </w:p>
    <w:p w14:paraId="543CEC44" w14:textId="77777777" w:rsidR="002E3C60" w:rsidRPr="00E8545F" w:rsidRDefault="002E3C60" w:rsidP="002E3C60">
      <w:pPr>
        <w:pStyle w:val="Texto"/>
        <w:spacing w:after="90"/>
        <w:ind w:left="1728" w:firstLine="0"/>
        <w:rPr>
          <w:szCs w:val="18"/>
        </w:rPr>
      </w:pPr>
      <w:r w:rsidRPr="00E8545F">
        <w:rPr>
          <w:szCs w:val="18"/>
        </w:rPr>
        <w:t xml:space="preserve">“El valor de este atributo debe ser igual al año en curso o uno de los años de hasta cinco ejercicios anteriores. Para validar el año de este atributo se debe considerar el registrado en el atributo </w:t>
      </w:r>
      <w:proofErr w:type="spellStart"/>
      <w:r w:rsidRPr="00E8545F">
        <w:rPr>
          <w:szCs w:val="18"/>
        </w:rPr>
        <w:t>FechaExp</w:t>
      </w:r>
      <w:proofErr w:type="spellEnd"/>
      <w:r w:rsidRPr="00E8545F">
        <w:rPr>
          <w:szCs w:val="18"/>
        </w:rPr>
        <w:t>”.</w:t>
      </w:r>
    </w:p>
    <w:p w14:paraId="4040DB2F" w14:textId="77777777" w:rsidR="002E3C60" w:rsidRPr="00E8545F" w:rsidRDefault="002E3C60" w:rsidP="002E3C60">
      <w:pPr>
        <w:pStyle w:val="Texto"/>
        <w:spacing w:after="90"/>
        <w:ind w:left="1368" w:hanging="504"/>
        <w:rPr>
          <w:b/>
          <w:szCs w:val="18"/>
        </w:rPr>
      </w:pPr>
      <w:r w:rsidRPr="00E8545F">
        <w:rPr>
          <w:b/>
          <w:szCs w:val="18"/>
        </w:rPr>
        <w:t>2.4.</w:t>
      </w:r>
      <w:r w:rsidRPr="00E8545F">
        <w:rPr>
          <w:szCs w:val="18"/>
        </w:rPr>
        <w:t xml:space="preserve"> </w:t>
      </w:r>
      <w:r>
        <w:rPr>
          <w:szCs w:val="18"/>
        </w:rPr>
        <w:tab/>
      </w:r>
      <w:proofErr w:type="spellStart"/>
      <w:r w:rsidRPr="00E8545F">
        <w:rPr>
          <w:b/>
          <w:szCs w:val="18"/>
        </w:rPr>
        <w:t>CveRetenc</w:t>
      </w:r>
      <w:proofErr w:type="spellEnd"/>
      <w:r w:rsidRPr="00E8545F">
        <w:rPr>
          <w:b/>
          <w:szCs w:val="18"/>
        </w:rPr>
        <w:t>:</w:t>
      </w:r>
    </w:p>
    <w:p w14:paraId="13258094" w14:textId="77777777" w:rsidR="002E3C60" w:rsidRPr="00E8545F" w:rsidRDefault="002E3C60" w:rsidP="002E3C60">
      <w:pPr>
        <w:pStyle w:val="Texto"/>
        <w:spacing w:after="90"/>
        <w:ind w:left="1368" w:hanging="504"/>
        <w:rPr>
          <w:szCs w:val="18"/>
        </w:rPr>
      </w:pPr>
      <w:r>
        <w:rPr>
          <w:szCs w:val="18"/>
        </w:rPr>
        <w:tab/>
      </w:r>
      <w:r w:rsidRPr="00E8545F">
        <w:rPr>
          <w:szCs w:val="18"/>
        </w:rPr>
        <w:t xml:space="preserve">Para efectos de la segunda validación del atributo </w:t>
      </w:r>
      <w:proofErr w:type="spellStart"/>
      <w:r w:rsidRPr="00E8545F">
        <w:rPr>
          <w:b/>
          <w:szCs w:val="18"/>
        </w:rPr>
        <w:t>CveRetenc</w:t>
      </w:r>
      <w:proofErr w:type="spellEnd"/>
      <w:r w:rsidRPr="00E8545F">
        <w:rPr>
          <w:szCs w:val="18"/>
        </w:rPr>
        <w:t xml:space="preserve"> donde señala que:</w:t>
      </w:r>
    </w:p>
    <w:p w14:paraId="20C273D3" w14:textId="77777777" w:rsidR="002E3C60" w:rsidRPr="00E8545F" w:rsidRDefault="002E3C60" w:rsidP="002E3C60">
      <w:pPr>
        <w:pStyle w:val="Texto"/>
        <w:spacing w:after="90"/>
        <w:ind w:left="1728" w:firstLine="0"/>
      </w:pPr>
      <w:r w:rsidRPr="00E8545F">
        <w:t xml:space="preserve">“Si el valor registrado en este atributo es “25”, se debe registrar información en el atributo </w:t>
      </w:r>
      <w:proofErr w:type="spellStart"/>
      <w:r w:rsidRPr="00E8545F">
        <w:t>DescRetenc</w:t>
      </w:r>
      <w:proofErr w:type="spellEnd"/>
      <w:r w:rsidRPr="00E8545F">
        <w:t>”.</w:t>
      </w:r>
    </w:p>
    <w:p w14:paraId="5EE2391F" w14:textId="77777777" w:rsidR="002E3C60" w:rsidRPr="00E8545F" w:rsidRDefault="002E3C60" w:rsidP="002E3C60">
      <w:pPr>
        <w:pStyle w:val="Texto"/>
        <w:spacing w:after="90"/>
        <w:ind w:left="1368" w:hanging="504"/>
        <w:rPr>
          <w:szCs w:val="18"/>
        </w:rPr>
      </w:pPr>
      <w:r>
        <w:rPr>
          <w:szCs w:val="18"/>
        </w:rPr>
        <w:tab/>
      </w:r>
      <w:r w:rsidRPr="00E8545F">
        <w:rPr>
          <w:szCs w:val="18"/>
        </w:rPr>
        <w:t>Se precisa que, en sustitución de la validación anterior, se debe considerar lo siguiente:</w:t>
      </w:r>
    </w:p>
    <w:p w14:paraId="27B64171" w14:textId="77777777" w:rsidR="002E3C60" w:rsidRPr="00E8545F" w:rsidRDefault="002E3C60" w:rsidP="002E3C60">
      <w:pPr>
        <w:pStyle w:val="Texto"/>
        <w:spacing w:after="90"/>
        <w:ind w:left="1728" w:firstLine="0"/>
        <w:rPr>
          <w:b/>
          <w:szCs w:val="18"/>
        </w:rPr>
      </w:pPr>
      <w:r w:rsidRPr="00E8545F">
        <w:rPr>
          <w:szCs w:val="18"/>
        </w:rPr>
        <w:t xml:space="preserve">“Si el valor registrado en este atributo es “25”, se debe registrar información en el atributo </w:t>
      </w:r>
      <w:proofErr w:type="spellStart"/>
      <w:r w:rsidRPr="00E8545F">
        <w:rPr>
          <w:szCs w:val="18"/>
        </w:rPr>
        <w:t>DescRetenc</w:t>
      </w:r>
      <w:proofErr w:type="spellEnd"/>
      <w:r w:rsidRPr="00E8545F">
        <w:rPr>
          <w:szCs w:val="18"/>
        </w:rPr>
        <w:t>, en caso contrario, es opcional registrar información en dicho atributo”.</w:t>
      </w:r>
    </w:p>
    <w:p w14:paraId="15F9441A" w14:textId="77777777" w:rsidR="002E3C60" w:rsidRPr="00E8545F" w:rsidRDefault="002E3C60" w:rsidP="002E3C60">
      <w:pPr>
        <w:pStyle w:val="Texto"/>
        <w:tabs>
          <w:tab w:val="right" w:leader="dot" w:pos="8827"/>
        </w:tabs>
        <w:spacing w:after="90"/>
        <w:ind w:left="1368" w:hanging="504"/>
        <w:rPr>
          <w:b/>
          <w:lang w:val="es-MX"/>
        </w:rPr>
      </w:pPr>
      <w:r w:rsidRPr="00E8545F">
        <w:rPr>
          <w:b/>
          <w:lang w:val="es-MX"/>
        </w:rPr>
        <w:t>3.</w:t>
      </w:r>
      <w:r w:rsidRPr="00E8545F">
        <w:rPr>
          <w:b/>
          <w:lang w:val="es-MX"/>
        </w:rPr>
        <w:tab/>
      </w:r>
      <w:r>
        <w:rPr>
          <w:b/>
          <w:lang w:val="es-MX"/>
        </w:rPr>
        <w:tab/>
      </w:r>
    </w:p>
    <w:p w14:paraId="16B647D4" w14:textId="77777777" w:rsidR="002E3C60" w:rsidRPr="00E8545F" w:rsidRDefault="002E3C60" w:rsidP="002E3C60">
      <w:pPr>
        <w:pStyle w:val="Texto"/>
        <w:spacing w:after="90"/>
        <w:ind w:left="1368" w:hanging="504"/>
        <w:rPr>
          <w:lang w:val="es-MX"/>
        </w:rPr>
      </w:pPr>
      <w:r w:rsidRPr="00E8545F">
        <w:rPr>
          <w:lang w:val="es-MX"/>
        </w:rPr>
        <w:tab/>
        <w:t>Los proveedores de certificación, están obligados a realizar las validaciones que se incluyan en las revisiones de los CFDI y sus complementos que publique el SAT en su página de Internet, así como observar lo establecido y dado a conocer a través de comunicados que el SAT les realice.</w:t>
      </w:r>
    </w:p>
    <w:p w14:paraId="69EE5433" w14:textId="77777777" w:rsidR="002E3C60" w:rsidRPr="00E8545F" w:rsidRDefault="002E3C60" w:rsidP="002E3C60">
      <w:pPr>
        <w:pStyle w:val="Texto"/>
        <w:spacing w:after="90"/>
        <w:ind w:left="864" w:hanging="576"/>
        <w:rPr>
          <w:b/>
          <w:lang w:val="es-MX"/>
        </w:rPr>
      </w:pPr>
      <w:r w:rsidRPr="00E8545F">
        <w:rPr>
          <w:b/>
          <w:lang w:val="es-MX"/>
        </w:rPr>
        <w:t>VII.</w:t>
      </w:r>
      <w:r w:rsidRPr="00E8545F">
        <w:rPr>
          <w:b/>
          <w:lang w:val="es-MX"/>
        </w:rPr>
        <w:tab/>
        <w:t>Lineamientos de uso gráfico del logotipo para proveedores autorizados de certificación de CFDI y requerimientos funcionales, servicios generales y niveles de servicio mínimos.</w:t>
      </w:r>
    </w:p>
    <w:p w14:paraId="77210D9A" w14:textId="77777777" w:rsidR="002E3C60" w:rsidRPr="00E8545F" w:rsidRDefault="002E3C60" w:rsidP="002E3C60">
      <w:pPr>
        <w:pStyle w:val="Texto"/>
        <w:spacing w:after="90" w:line="226" w:lineRule="exact"/>
        <w:rPr>
          <w:lang w:val="es-MX"/>
        </w:rPr>
      </w:pPr>
      <w:r w:rsidRPr="00E8545F">
        <w:rPr>
          <w:lang w:val="es-MX"/>
        </w:rPr>
        <w:lastRenderedPageBreak/>
        <w:t>En el presente apartado se señalan los lineamientos de uso gráfico del logotipo que otorga el SAT a los proveedores de certificación y los requerimientos funcionales, servicios generales y niveles de servicio mínimos para el uso de este logotipo, a efecto de que puedan cumplir con la obligación establecida en la regla 2.7.2.8., fracción XXI consistente en publicar en su página de Internet el logotipo oficial que acredita la autorización para operar como proveedor de certificación proporcionado por el SAT.</w:t>
      </w:r>
    </w:p>
    <w:p w14:paraId="4A13CE6C" w14:textId="77777777" w:rsidR="002E3C60" w:rsidRPr="00E8545F" w:rsidRDefault="002E3C60" w:rsidP="002E3C60">
      <w:pPr>
        <w:pStyle w:val="Texto"/>
        <w:spacing w:after="84"/>
        <w:ind w:left="864" w:hanging="576"/>
        <w:rPr>
          <w:b/>
          <w:lang w:val="es-MX"/>
        </w:rPr>
      </w:pPr>
      <w:r w:rsidRPr="00E8545F">
        <w:rPr>
          <w:b/>
          <w:lang w:val="es-MX"/>
        </w:rPr>
        <w:t>VII.1.</w:t>
      </w:r>
      <w:r w:rsidRPr="00E8545F">
        <w:rPr>
          <w:b/>
          <w:lang w:val="es-MX"/>
        </w:rPr>
        <w:tab/>
        <w:t>Logotipo para proveedores autorizados de certificación de CFDI.</w:t>
      </w:r>
    </w:p>
    <w:p w14:paraId="74E2DA46" w14:textId="77777777" w:rsidR="002E3C60" w:rsidRPr="00E8545F" w:rsidRDefault="002E3C60" w:rsidP="002E3C60">
      <w:pPr>
        <w:pStyle w:val="Texto"/>
        <w:tabs>
          <w:tab w:val="right" w:leader="dot" w:pos="8827"/>
        </w:tabs>
        <w:spacing w:after="84"/>
        <w:ind w:left="1296" w:hanging="432"/>
        <w:rPr>
          <w:b/>
          <w:lang w:val="es-MX"/>
        </w:rPr>
      </w:pPr>
      <w:r w:rsidRPr="00E8545F">
        <w:rPr>
          <w:b/>
          <w:lang w:val="es-MX"/>
        </w:rPr>
        <w:t>A.</w:t>
      </w:r>
      <w:r w:rsidRPr="00E8545F">
        <w:rPr>
          <w:b/>
          <w:lang w:val="es-MX"/>
        </w:rPr>
        <w:tab/>
      </w:r>
      <w:r>
        <w:rPr>
          <w:b/>
          <w:lang w:val="es-MX"/>
        </w:rPr>
        <w:tab/>
      </w:r>
    </w:p>
    <w:p w14:paraId="3DDCB5DA" w14:textId="77777777" w:rsidR="002E3C60" w:rsidRPr="00E8545F" w:rsidRDefault="002E3C60" w:rsidP="002E3C60">
      <w:pPr>
        <w:pStyle w:val="Texto"/>
        <w:spacing w:after="84"/>
        <w:ind w:left="1728" w:hanging="432"/>
        <w:rPr>
          <w:lang w:val="es-MX"/>
        </w:rPr>
      </w:pPr>
      <w:r w:rsidRPr="00E8545F">
        <w:rPr>
          <w:b/>
          <w:lang w:val="es-MX"/>
        </w:rPr>
        <w:t>1.</w:t>
      </w:r>
      <w:r w:rsidRPr="00E8545F">
        <w:rPr>
          <w:b/>
          <w:lang w:val="es-MX"/>
        </w:rPr>
        <w:tab/>
      </w:r>
      <w:r w:rsidRPr="00E8545F">
        <w:rPr>
          <w:lang w:val="es-MX"/>
        </w:rPr>
        <w:t>El logotipo para proveedores autorizados de certificación de CFDI, que otorga el SAT, está registrado ante el Instituto Mexicano de la Propiedad Industrial.</w:t>
      </w:r>
    </w:p>
    <w:p w14:paraId="573940F0" w14:textId="77777777" w:rsidR="002E3C60" w:rsidRPr="00E8545F" w:rsidRDefault="002E3C60" w:rsidP="002E3C60">
      <w:pPr>
        <w:pStyle w:val="Texto"/>
        <w:spacing w:after="84"/>
        <w:ind w:left="1728" w:hanging="432"/>
        <w:rPr>
          <w:lang w:val="es-MX"/>
        </w:rPr>
      </w:pPr>
      <w:r w:rsidRPr="00E8545F">
        <w:rPr>
          <w:b/>
          <w:lang w:val="es-MX"/>
        </w:rPr>
        <w:t>2.</w:t>
      </w:r>
      <w:r w:rsidRPr="00E8545F">
        <w:rPr>
          <w:b/>
          <w:lang w:val="es-MX"/>
        </w:rPr>
        <w:tab/>
      </w:r>
      <w:r w:rsidRPr="00E8545F">
        <w:rPr>
          <w:lang w:val="es-MX"/>
        </w:rPr>
        <w:t>El Dictamen de Uso de Imagen y Diseño para Proveedor de Certificación de CFDI, se otorga a la empresa que obtuvo del SAT, autorización para operar como proveedor de certificación, y el logotipo incluirá el número de autorización asignado a dicho proveedor.</w:t>
      </w:r>
    </w:p>
    <w:p w14:paraId="4A7D21BC" w14:textId="77777777" w:rsidR="002E3C60" w:rsidRPr="00E8545F" w:rsidRDefault="002E3C60" w:rsidP="002E3C60">
      <w:pPr>
        <w:pStyle w:val="Texto"/>
        <w:spacing w:after="84"/>
        <w:ind w:left="1728" w:hanging="432"/>
        <w:rPr>
          <w:lang w:val="es-MX"/>
        </w:rPr>
      </w:pPr>
      <w:r w:rsidRPr="00E8545F">
        <w:rPr>
          <w:b/>
          <w:lang w:val="es-MX"/>
        </w:rPr>
        <w:t>3.</w:t>
      </w:r>
      <w:r w:rsidRPr="00E8545F">
        <w:rPr>
          <w:b/>
          <w:lang w:val="es-MX"/>
        </w:rPr>
        <w:tab/>
      </w:r>
      <w:r w:rsidRPr="00E8545F">
        <w:rPr>
          <w:lang w:val="es-MX"/>
        </w:rPr>
        <w:t>El logotipo que otorga el SAT a los proveedores autorizados de certificación de CFDI, deberá ser implementado en la página de Internet del proveedor en un lugar visible, en la sección en la que informe de los servicios de certificación de facturación que ofrece.</w:t>
      </w:r>
    </w:p>
    <w:p w14:paraId="3D840E60" w14:textId="77777777" w:rsidR="002E3C60" w:rsidRPr="00E8545F" w:rsidRDefault="002E3C60" w:rsidP="002E3C60">
      <w:pPr>
        <w:pStyle w:val="Texto"/>
        <w:spacing w:after="84"/>
        <w:ind w:left="1728" w:hanging="432"/>
        <w:rPr>
          <w:lang w:val="es-MX"/>
        </w:rPr>
      </w:pPr>
      <w:r w:rsidRPr="00E8545F">
        <w:rPr>
          <w:b/>
          <w:lang w:val="es-MX"/>
        </w:rPr>
        <w:t>4.</w:t>
      </w:r>
      <w:r w:rsidRPr="00E8545F">
        <w:rPr>
          <w:b/>
          <w:lang w:val="es-MX"/>
        </w:rPr>
        <w:tab/>
      </w:r>
      <w:r w:rsidRPr="00E8545F">
        <w:rPr>
          <w:lang w:val="es-MX"/>
        </w:rPr>
        <w:t>El logotipo autorizado por el SAT y otorgado a los proveedores autorizados de certificación de CFDI, es intransferible e inalienable y no podrá ser utilizado por terceros.</w:t>
      </w:r>
    </w:p>
    <w:p w14:paraId="0E2853FE" w14:textId="77777777" w:rsidR="002E3C60" w:rsidRPr="00E8545F" w:rsidRDefault="002E3C60" w:rsidP="002E3C60">
      <w:pPr>
        <w:pStyle w:val="Texto"/>
        <w:spacing w:after="84"/>
        <w:ind w:left="1728" w:hanging="432"/>
        <w:rPr>
          <w:lang w:val="es-MX"/>
        </w:rPr>
      </w:pPr>
      <w:r w:rsidRPr="00E8545F">
        <w:rPr>
          <w:b/>
          <w:lang w:val="es-MX"/>
        </w:rPr>
        <w:t>5.</w:t>
      </w:r>
      <w:r w:rsidRPr="00E8545F">
        <w:rPr>
          <w:b/>
          <w:lang w:val="es-MX"/>
        </w:rPr>
        <w:tab/>
      </w:r>
      <w:r w:rsidRPr="00E8545F">
        <w:rPr>
          <w:lang w:val="es-MX"/>
        </w:rPr>
        <w:t>El logotipo que otorga el SAT a los proveedores autorizados de certificación de CFDI, es de uso exclusivo para su incorporación en la página de Internet del proveedor de certificación autorizado y en su papelería. Queda prohibida cualquier utilización distinta a la señalada expresamente en este documento.</w:t>
      </w:r>
    </w:p>
    <w:p w14:paraId="3C2AE5F4" w14:textId="77777777" w:rsidR="002E3C60" w:rsidRPr="00E8545F" w:rsidRDefault="002E3C60" w:rsidP="002E3C60">
      <w:pPr>
        <w:pStyle w:val="Texto"/>
        <w:spacing w:after="84"/>
        <w:ind w:left="1728" w:hanging="432"/>
        <w:rPr>
          <w:lang w:val="es-MX"/>
        </w:rPr>
      </w:pPr>
      <w:r w:rsidRPr="00E8545F">
        <w:rPr>
          <w:b/>
          <w:lang w:val="es-MX"/>
        </w:rPr>
        <w:t>6.</w:t>
      </w:r>
      <w:r w:rsidRPr="00E8545F">
        <w:rPr>
          <w:b/>
          <w:lang w:val="es-MX"/>
        </w:rPr>
        <w:tab/>
      </w:r>
      <w:r w:rsidRPr="00E8545F">
        <w:rPr>
          <w:lang w:val="es-MX"/>
        </w:rPr>
        <w:t>Queda estrictamente prohibido la utilización del logotipo para fines personales o ajenos al proceso de certificación, contenido en el artículo 29 Bis, fracciones I, II y III del CFF, objeto por el cual, el SAT otorgó la autorización para operar como proveedor de certificación.</w:t>
      </w:r>
    </w:p>
    <w:p w14:paraId="54C4A1B3" w14:textId="77777777" w:rsidR="002E3C60" w:rsidRPr="00E8545F" w:rsidRDefault="002E3C60" w:rsidP="002E3C60">
      <w:pPr>
        <w:pStyle w:val="Texto"/>
        <w:spacing w:after="84"/>
        <w:ind w:left="1728" w:hanging="432"/>
        <w:rPr>
          <w:lang w:val="es-MX"/>
        </w:rPr>
      </w:pPr>
      <w:r w:rsidRPr="00E8545F">
        <w:rPr>
          <w:b/>
          <w:lang w:val="es-MX"/>
        </w:rPr>
        <w:t>7.</w:t>
      </w:r>
      <w:r w:rsidRPr="00E8545F">
        <w:rPr>
          <w:b/>
          <w:lang w:val="es-MX"/>
        </w:rPr>
        <w:tab/>
      </w:r>
      <w:r w:rsidRPr="00E8545F">
        <w:rPr>
          <w:lang w:val="es-MX"/>
        </w:rPr>
        <w:t xml:space="preserve">Los proveedores de certificación que requieran usar el logotipo en medios distintos a su página electrónica y en la papelería de la empresa, como puede ser: medios publicitarios, incluyendo </w:t>
      </w:r>
      <w:r w:rsidRPr="00E8545F">
        <w:rPr>
          <w:i/>
          <w:lang w:val="es-MX"/>
        </w:rPr>
        <w:t>backs</w:t>
      </w:r>
      <w:r w:rsidRPr="00E8545F">
        <w:rPr>
          <w:lang w:val="es-MX"/>
        </w:rPr>
        <w:t xml:space="preserve"> e invitaciones para eventos, así como en medios audiovisuales y digitales, deberán solicitar con una anticipación mínima de quince días hábiles el permiso a la ACGSTME del SAT, utilizando para ello la ficha de trámite 114/CFF “Avisos del proveedor de certificación de CFDI” del Anexo 1-A, quien procederá a consultar y validar con la Administración Central de Comunicación Institucional. La solicitud de autorización de uso del logotipo en medios distintos a los señalados en este documento, deberá indicar el lugar, medio, formato y fecha en la cual se requiera usar.</w:t>
      </w:r>
    </w:p>
    <w:p w14:paraId="167C24A0" w14:textId="77777777" w:rsidR="002E3C60" w:rsidRPr="00E8545F" w:rsidRDefault="002E3C60" w:rsidP="002E3C60">
      <w:pPr>
        <w:pStyle w:val="Texto"/>
        <w:tabs>
          <w:tab w:val="right" w:leader="dot" w:pos="8827"/>
        </w:tabs>
        <w:spacing w:after="84"/>
        <w:ind w:left="1728" w:hanging="432"/>
        <w:rPr>
          <w:lang w:val="es-MX"/>
        </w:rPr>
      </w:pPr>
      <w:r w:rsidRPr="00E8545F">
        <w:rPr>
          <w:b/>
          <w:lang w:val="es-MX"/>
        </w:rPr>
        <w:t>8.</w:t>
      </w:r>
      <w:r w:rsidRPr="00E8545F">
        <w:rPr>
          <w:b/>
          <w:lang w:val="es-MX"/>
        </w:rPr>
        <w:tab/>
      </w:r>
      <w:r>
        <w:rPr>
          <w:b/>
          <w:lang w:val="es-MX"/>
        </w:rPr>
        <w:tab/>
      </w:r>
    </w:p>
    <w:p w14:paraId="3395C460" w14:textId="77777777" w:rsidR="002E3C60" w:rsidRPr="00E8545F" w:rsidRDefault="002E3C60" w:rsidP="002E3C60">
      <w:pPr>
        <w:pStyle w:val="Texto"/>
        <w:spacing w:after="84"/>
        <w:ind w:left="1728" w:hanging="432"/>
        <w:rPr>
          <w:lang w:val="es-MX"/>
        </w:rPr>
      </w:pPr>
      <w:r w:rsidRPr="00E8545F">
        <w:rPr>
          <w:b/>
          <w:lang w:val="es-MX"/>
        </w:rPr>
        <w:t>9.</w:t>
      </w:r>
      <w:r w:rsidRPr="00E8545F">
        <w:rPr>
          <w:b/>
          <w:lang w:val="es-MX"/>
        </w:rPr>
        <w:tab/>
      </w:r>
      <w:r w:rsidRPr="00E8545F">
        <w:rPr>
          <w:lang w:val="es-MX"/>
        </w:rPr>
        <w:t>El SAT se reserva el derecho de autorizar o denegar el uso del logotipo al proveedor en aplicaciones o en medios distintos a su página electrónica y en su papelería impresa o documentación digital relacionada con el objeto de la autorización que otorgó el SAT para operar como proveedor de certificación.</w:t>
      </w:r>
    </w:p>
    <w:p w14:paraId="139B5DD6" w14:textId="77777777" w:rsidR="002E3C60" w:rsidRPr="00E8545F" w:rsidRDefault="002E3C60" w:rsidP="002E3C60">
      <w:pPr>
        <w:pStyle w:val="Texto"/>
        <w:tabs>
          <w:tab w:val="right" w:leader="dot" w:pos="8827"/>
        </w:tabs>
        <w:spacing w:after="84"/>
        <w:ind w:left="1296" w:hanging="432"/>
        <w:rPr>
          <w:b/>
          <w:lang w:val="es-MX"/>
        </w:rPr>
      </w:pPr>
      <w:r w:rsidRPr="00E8545F">
        <w:rPr>
          <w:b/>
          <w:lang w:val="es-MX"/>
        </w:rPr>
        <w:t>B.</w:t>
      </w:r>
      <w:r w:rsidRPr="00E8545F">
        <w:rPr>
          <w:b/>
          <w:lang w:val="es-MX"/>
        </w:rPr>
        <w:tab/>
      </w:r>
      <w:r>
        <w:rPr>
          <w:b/>
          <w:lang w:val="es-MX"/>
        </w:rPr>
        <w:tab/>
      </w:r>
    </w:p>
    <w:p w14:paraId="4A6B8EBE" w14:textId="77777777" w:rsidR="002E3C60" w:rsidRPr="00E8545F" w:rsidRDefault="002E3C60" w:rsidP="002E3C60">
      <w:pPr>
        <w:pStyle w:val="Texto"/>
        <w:tabs>
          <w:tab w:val="right" w:leader="dot" w:pos="8827"/>
        </w:tabs>
        <w:spacing w:after="84"/>
        <w:ind w:left="1296" w:hanging="432"/>
        <w:rPr>
          <w:lang w:val="es-MX"/>
        </w:rPr>
      </w:pPr>
      <w:r w:rsidRPr="00E8545F">
        <w:rPr>
          <w:b/>
          <w:lang w:val="es-MX"/>
        </w:rPr>
        <w:t>C.</w:t>
      </w:r>
      <w:r w:rsidRPr="00E8545F">
        <w:rPr>
          <w:b/>
          <w:lang w:val="es-MX"/>
        </w:rPr>
        <w:tab/>
      </w:r>
      <w:r>
        <w:rPr>
          <w:b/>
          <w:lang w:val="es-MX"/>
        </w:rPr>
        <w:tab/>
      </w:r>
    </w:p>
    <w:p w14:paraId="1B4FEB1D" w14:textId="77777777" w:rsidR="002E3C60" w:rsidRPr="00E8545F" w:rsidRDefault="002E3C60" w:rsidP="002E3C60">
      <w:pPr>
        <w:pStyle w:val="Texto"/>
        <w:spacing w:after="84"/>
        <w:rPr>
          <w:lang w:val="es-MX"/>
        </w:rPr>
      </w:pPr>
      <w:r w:rsidRPr="00E8545F">
        <w:rPr>
          <w:lang w:val="es-MX"/>
        </w:rPr>
        <w:t>Como parte de la implementación de la imagen distintiva (logotipo de los proveedores autorizados de certificación de CFDI), se emiten los presentes requerimientos funcionales, servicios generales y niveles de servicio mínimos, a efecto de garantizar el uso correcto de la imagen distintiva.</w:t>
      </w:r>
    </w:p>
    <w:p w14:paraId="63FB7413" w14:textId="77777777" w:rsidR="002E3C60" w:rsidRPr="00E8545F" w:rsidRDefault="002E3C60" w:rsidP="002E3C60">
      <w:pPr>
        <w:pStyle w:val="Texto"/>
        <w:spacing w:after="84"/>
        <w:ind w:left="1296" w:hanging="432"/>
        <w:rPr>
          <w:lang w:val="es-MX"/>
        </w:rPr>
      </w:pPr>
      <w:r w:rsidRPr="00E8545F">
        <w:rPr>
          <w:b/>
          <w:lang w:val="es-MX"/>
        </w:rPr>
        <w:t>1.</w:t>
      </w:r>
      <w:r w:rsidRPr="00E8545F">
        <w:rPr>
          <w:b/>
          <w:lang w:val="es-MX"/>
        </w:rPr>
        <w:tab/>
      </w:r>
      <w:r w:rsidRPr="00E8545F">
        <w:rPr>
          <w:lang w:val="es-MX"/>
        </w:rPr>
        <w:t>La imagen distintiva (logotipo de los proveedores autorizados de certificación de CFDI), deberá ser implementado durante los cinco días naturales siguientes a la fecha de recepción del Dictamen de Uso de Imagen y Diseño para Proveedor de certificación de CFDI.</w:t>
      </w:r>
    </w:p>
    <w:p w14:paraId="40A0F41D" w14:textId="77777777" w:rsidR="002E3C60" w:rsidRPr="00E8545F" w:rsidRDefault="002E3C60" w:rsidP="002E3C60">
      <w:pPr>
        <w:pStyle w:val="Texto"/>
        <w:tabs>
          <w:tab w:val="right" w:leader="dot" w:pos="8827"/>
        </w:tabs>
        <w:spacing w:after="84"/>
        <w:ind w:left="1296" w:hanging="432"/>
        <w:rPr>
          <w:lang w:val="es-MX"/>
        </w:rPr>
      </w:pPr>
      <w:r w:rsidRPr="00E8545F">
        <w:rPr>
          <w:b/>
          <w:lang w:val="es-MX"/>
        </w:rPr>
        <w:t>2.</w:t>
      </w:r>
      <w:r w:rsidRPr="00E8545F">
        <w:rPr>
          <w:b/>
          <w:lang w:val="es-MX"/>
        </w:rPr>
        <w:tab/>
      </w:r>
      <w:r>
        <w:rPr>
          <w:b/>
          <w:lang w:val="es-MX"/>
        </w:rPr>
        <w:tab/>
      </w:r>
    </w:p>
    <w:p w14:paraId="79C1D5FF" w14:textId="77777777" w:rsidR="002E3C60" w:rsidRPr="00E8545F" w:rsidRDefault="002E3C60" w:rsidP="002E3C60">
      <w:pPr>
        <w:pStyle w:val="Texto"/>
        <w:spacing w:after="84"/>
        <w:ind w:left="1296" w:hanging="432"/>
        <w:rPr>
          <w:lang w:val="es-MX"/>
        </w:rPr>
      </w:pPr>
      <w:r w:rsidRPr="00E8545F">
        <w:rPr>
          <w:b/>
          <w:lang w:val="es-MX"/>
        </w:rPr>
        <w:t>3.</w:t>
      </w:r>
      <w:r w:rsidRPr="00E8545F">
        <w:rPr>
          <w:b/>
          <w:lang w:val="es-MX"/>
        </w:rPr>
        <w:tab/>
      </w:r>
      <w:r w:rsidRPr="00E8545F">
        <w:rPr>
          <w:lang w:val="es-MX"/>
        </w:rPr>
        <w:t>En las secciones antes mencionadas, el proveedor de certificación, deberá incluir en el logotipo oficial un hipervínculo directo a la página del SAT concretamente a la sección de proveedores de certificación autorizados, en donde se ubica su información de contacto, para la correcta identificación por parte de sus clientes y sus visitantes de sus sitios web.</w:t>
      </w:r>
    </w:p>
    <w:p w14:paraId="1C3B9332" w14:textId="77777777" w:rsidR="002E3C60" w:rsidRPr="00E8545F" w:rsidRDefault="002E3C60" w:rsidP="002E3C60">
      <w:pPr>
        <w:pStyle w:val="Texto"/>
        <w:tabs>
          <w:tab w:val="right" w:leader="dot" w:pos="8827"/>
        </w:tabs>
        <w:spacing w:after="84"/>
        <w:ind w:left="1296" w:hanging="432"/>
        <w:rPr>
          <w:lang w:val="es-MX"/>
        </w:rPr>
      </w:pPr>
      <w:r w:rsidRPr="00E8545F">
        <w:rPr>
          <w:b/>
          <w:lang w:val="es-MX"/>
        </w:rPr>
        <w:t>4</w:t>
      </w:r>
      <w:r w:rsidRPr="00E8545F">
        <w:rPr>
          <w:lang w:val="es-MX"/>
        </w:rPr>
        <w:t>.</w:t>
      </w:r>
      <w:r w:rsidRPr="00E8545F">
        <w:rPr>
          <w:b/>
          <w:lang w:val="es-MX"/>
        </w:rPr>
        <w:t xml:space="preserve"> </w:t>
      </w:r>
      <w:r w:rsidRPr="00E8545F">
        <w:rPr>
          <w:lang w:val="es-MX"/>
        </w:rPr>
        <w:t xml:space="preserve">a </w:t>
      </w:r>
      <w:r w:rsidRPr="00E8545F">
        <w:rPr>
          <w:b/>
          <w:lang w:val="es-MX"/>
        </w:rPr>
        <w:t>6</w:t>
      </w:r>
      <w:r>
        <w:rPr>
          <w:b/>
          <w:lang w:val="es-MX"/>
        </w:rPr>
        <w:tab/>
      </w:r>
    </w:p>
    <w:p w14:paraId="348AACDF" w14:textId="77777777" w:rsidR="002E3C60" w:rsidRDefault="002E3C60" w:rsidP="002E3C60">
      <w:pPr>
        <w:pStyle w:val="Texto"/>
        <w:tabs>
          <w:tab w:val="right" w:leader="dot" w:pos="8827"/>
        </w:tabs>
        <w:spacing w:after="84"/>
        <w:ind w:left="288" w:firstLine="0"/>
      </w:pPr>
      <w:r>
        <w:rPr>
          <w:b/>
        </w:rPr>
        <w:lastRenderedPageBreak/>
        <w:tab/>
      </w:r>
    </w:p>
    <w:p w14:paraId="4716BA55" w14:textId="77777777" w:rsidR="002E3C60" w:rsidRDefault="002E3C60" w:rsidP="002E3C60">
      <w:pPr>
        <w:pStyle w:val="Texto"/>
        <w:spacing w:after="84"/>
        <w:rPr>
          <w:color w:val="000000"/>
          <w:szCs w:val="18"/>
        </w:rPr>
      </w:pPr>
      <w:bookmarkStart w:id="6" w:name="N_Hlk164332707"/>
      <w:r w:rsidRPr="00E8545F">
        <w:rPr>
          <w:color w:val="000000"/>
          <w:szCs w:val="18"/>
        </w:rPr>
        <w:t>Atentamente.</w:t>
      </w:r>
    </w:p>
    <w:p w14:paraId="4DF7281E" w14:textId="77777777" w:rsidR="002E3C60" w:rsidRDefault="002E3C60" w:rsidP="002E3C60">
      <w:pPr>
        <w:pStyle w:val="Texto"/>
        <w:spacing w:after="84"/>
        <w:rPr>
          <w:szCs w:val="18"/>
        </w:rPr>
      </w:pPr>
      <w:r w:rsidRPr="00E8545F">
        <w:rPr>
          <w:color w:val="000000"/>
          <w:szCs w:val="18"/>
        </w:rPr>
        <w:t>Ciudad de México, a 23 de mayo de 2024.</w:t>
      </w:r>
      <w:r>
        <w:rPr>
          <w:color w:val="000000"/>
          <w:szCs w:val="18"/>
        </w:rPr>
        <w:t xml:space="preserve">- </w:t>
      </w:r>
      <w:r w:rsidRPr="00E8545F">
        <w:rPr>
          <w:szCs w:val="18"/>
        </w:rPr>
        <w:t xml:space="preserve">En suplencia por ausencia del Jefe del Servicio de Administración Tributaria, con fundamento en el artículo 4, primer párrafo del Reglamento Interior del Servicio de Administración Tributaria, firma el </w:t>
      </w:r>
      <w:r>
        <w:rPr>
          <w:szCs w:val="18"/>
        </w:rPr>
        <w:t xml:space="preserve">Administrador General Jurídico, </w:t>
      </w:r>
      <w:r w:rsidRPr="00E8545F">
        <w:rPr>
          <w:szCs w:val="18"/>
        </w:rPr>
        <w:t xml:space="preserve">Lic. </w:t>
      </w:r>
      <w:r w:rsidRPr="00E8545F">
        <w:rPr>
          <w:b/>
          <w:szCs w:val="18"/>
        </w:rPr>
        <w:t>Ricardo Carrasco</w:t>
      </w:r>
      <w:r>
        <w:rPr>
          <w:b/>
          <w:szCs w:val="18"/>
        </w:rPr>
        <w:t xml:space="preserve"> </w:t>
      </w:r>
      <w:proofErr w:type="gramStart"/>
      <w:r w:rsidRPr="00E8545F">
        <w:rPr>
          <w:b/>
          <w:szCs w:val="18"/>
        </w:rPr>
        <w:t>Varona</w:t>
      </w:r>
      <w:bookmarkEnd w:id="6"/>
      <w:r>
        <w:rPr>
          <w:szCs w:val="18"/>
        </w:rPr>
        <w:t>.-</w:t>
      </w:r>
      <w:proofErr w:type="gramEnd"/>
      <w:r>
        <w:rPr>
          <w:szCs w:val="18"/>
        </w:rPr>
        <w:t xml:space="preserve"> Rúbrica.</w:t>
      </w:r>
    </w:p>
    <w:p w14:paraId="6A3C5403" w14:textId="77777777" w:rsidR="00F15B7A" w:rsidRDefault="00F15B7A"/>
    <w:sectPr w:rsidR="00F15B7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E1BB" w14:textId="77777777" w:rsidR="00491548" w:rsidRDefault="00491548" w:rsidP="002E3C60">
      <w:r>
        <w:separator/>
      </w:r>
    </w:p>
  </w:endnote>
  <w:endnote w:type="continuationSeparator" w:id="0">
    <w:p w14:paraId="325C5414" w14:textId="77777777" w:rsidR="00491548" w:rsidRDefault="00491548" w:rsidP="002E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B631" w14:textId="77777777" w:rsidR="002E3C60" w:rsidRDefault="002E3C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8A48" w14:textId="77777777" w:rsidR="002E3C60" w:rsidRDefault="002E3C6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59BA" w14:textId="77777777" w:rsidR="002E3C60" w:rsidRDefault="002E3C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5906" w14:textId="77777777" w:rsidR="00491548" w:rsidRDefault="00491548" w:rsidP="002E3C60">
      <w:r>
        <w:separator/>
      </w:r>
    </w:p>
  </w:footnote>
  <w:footnote w:type="continuationSeparator" w:id="0">
    <w:p w14:paraId="736CE3B0" w14:textId="77777777" w:rsidR="00491548" w:rsidRDefault="00491548" w:rsidP="002E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F223" w14:textId="77777777" w:rsidR="002E3C60" w:rsidRDefault="002E3C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095B" w14:textId="530635C1" w:rsidR="002E3C60" w:rsidRPr="002E3C60" w:rsidRDefault="002E3C60">
    <w:pPr>
      <w:pStyle w:val="Encabezado"/>
      <w:rPr>
        <w:lang w:val="es-ES_tradnl"/>
      </w:rPr>
    </w:pPr>
    <w:hyperlink r:id="rId1" w:history="1">
      <w:r w:rsidRPr="004441CB">
        <w:rPr>
          <w:rStyle w:val="Hipervnculo"/>
          <w:lang w:val="es-ES_tradnl"/>
        </w:rPr>
        <w:t>www.amcp.mx</w:t>
      </w:r>
    </w:hyperlink>
    <w:r>
      <w:rPr>
        <w:lang w:val="es-ES_tradnl"/>
      </w:rPr>
      <w:t xml:space="preserve">                                                              DOF </w:t>
    </w:r>
    <w:r>
      <w:rPr>
        <w:lang w:val="es-ES_tradnl"/>
      </w:rPr>
      <w:t>4/06/2024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BFB5" w14:textId="77777777" w:rsidR="002E3C60" w:rsidRDefault="002E3C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60"/>
    <w:rsid w:val="002E3C60"/>
    <w:rsid w:val="00491548"/>
    <w:rsid w:val="006012A0"/>
    <w:rsid w:val="00802ABF"/>
    <w:rsid w:val="00F15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21EB"/>
  <w15:chartTrackingRefBased/>
  <w15:docId w15:val="{2FB3186C-EC16-474D-B72A-DB2E13E3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2E3C6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E3C60"/>
    <w:rPr>
      <w:rFonts w:ascii="Arial" w:eastAsia="Times New Roman" w:hAnsi="Arial" w:cs="Arial"/>
      <w:sz w:val="18"/>
      <w:szCs w:val="20"/>
      <w:lang w:val="es-ES" w:eastAsia="es-ES"/>
    </w:rPr>
  </w:style>
  <w:style w:type="paragraph" w:customStyle="1" w:styleId="ANOTACION">
    <w:name w:val="ANOTACION"/>
    <w:basedOn w:val="Normal"/>
    <w:link w:val="ANOTACIONCar"/>
    <w:rsid w:val="002E3C60"/>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2E3C60"/>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2E3C60"/>
    <w:pPr>
      <w:tabs>
        <w:tab w:val="center" w:pos="4419"/>
        <w:tab w:val="right" w:pos="8838"/>
      </w:tabs>
    </w:pPr>
  </w:style>
  <w:style w:type="character" w:customStyle="1" w:styleId="EncabezadoCar">
    <w:name w:val="Encabezado Car"/>
    <w:basedOn w:val="Fuentedeprrafopredeter"/>
    <w:link w:val="Encabezado"/>
    <w:uiPriority w:val="99"/>
    <w:rsid w:val="002E3C60"/>
  </w:style>
  <w:style w:type="paragraph" w:styleId="Piedepgina">
    <w:name w:val="footer"/>
    <w:basedOn w:val="Normal"/>
    <w:link w:val="PiedepginaCar"/>
    <w:uiPriority w:val="99"/>
    <w:unhideWhenUsed/>
    <w:rsid w:val="002E3C60"/>
    <w:pPr>
      <w:tabs>
        <w:tab w:val="center" w:pos="4419"/>
        <w:tab w:val="right" w:pos="8838"/>
      </w:tabs>
    </w:pPr>
  </w:style>
  <w:style w:type="character" w:customStyle="1" w:styleId="PiedepginaCar">
    <w:name w:val="Pie de página Car"/>
    <w:basedOn w:val="Fuentedeprrafopredeter"/>
    <w:link w:val="Piedepgina"/>
    <w:uiPriority w:val="99"/>
    <w:rsid w:val="002E3C60"/>
  </w:style>
  <w:style w:type="character" w:styleId="Hipervnculo">
    <w:name w:val="Hyperlink"/>
    <w:basedOn w:val="Fuentedeprrafopredeter"/>
    <w:uiPriority w:val="99"/>
    <w:unhideWhenUsed/>
    <w:rsid w:val="002E3C60"/>
    <w:rPr>
      <w:color w:val="0563C1" w:themeColor="hyperlink"/>
      <w:u w:val="single"/>
    </w:rPr>
  </w:style>
  <w:style w:type="character" w:styleId="Mencinsinresolver">
    <w:name w:val="Unresolved Mention"/>
    <w:basedOn w:val="Fuentedeprrafopredeter"/>
    <w:uiPriority w:val="99"/>
    <w:semiHidden/>
    <w:unhideWhenUsed/>
    <w:rsid w:val="002E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2555</Words>
  <Characters>14057</Characters>
  <Application>Microsoft Office Word</Application>
  <DocSecurity>0</DocSecurity>
  <Lines>117</Lines>
  <Paragraphs>33</Paragraphs>
  <ScaleCrop>false</ScaleCrop>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2024-06-06T01:45:00Z</dcterms:created>
  <dcterms:modified xsi:type="dcterms:W3CDTF">2024-06-06T01:47:00Z</dcterms:modified>
</cp:coreProperties>
</file>