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06"/>
        <w:ind w:left="259" w:firstLine="0"/>
        <w:rPr>
          <w:rFonts w:ascii="Times New Roman" w:hAnsi="Times New Roman"/>
        </w:rPr>
      </w:pPr>
      <w:r>
        <w:rPr>
          <w:rFonts w:ascii="Times New Roman" w:hAnsi="Times New Roman"/>
          <w:color w:val="0B0B0B"/>
        </w:rPr>
        <w:t>ANEXOS</w:t>
      </w:r>
      <w:r>
        <w:rPr>
          <w:rFonts w:ascii="Times New Roman" w:hAnsi="Times New Roman"/>
          <w:color w:val="0B0B0B"/>
          <w:spacing w:val="-1"/>
        </w:rPr>
        <w:t> </w:t>
      </w:r>
      <w:r>
        <w:rPr>
          <w:rFonts w:ascii="Times New Roman" w:hAnsi="Times New Roman"/>
          <w:color w:val="0B0B0B"/>
        </w:rPr>
        <w:t>3, 7,</w:t>
      </w:r>
      <w:r>
        <w:rPr>
          <w:rFonts w:ascii="Times New Roman" w:hAnsi="Times New Roman"/>
          <w:color w:val="0B0B0B"/>
          <w:spacing w:val="-1"/>
        </w:rPr>
        <w:t> </w:t>
      </w:r>
      <w:r>
        <w:rPr>
          <w:rFonts w:ascii="Times New Roman" w:hAnsi="Times New Roman"/>
          <w:color w:val="0B0B0B"/>
        </w:rPr>
        <w:t>10, 11,</w:t>
      </w:r>
      <w:r>
        <w:rPr>
          <w:rFonts w:ascii="Times New Roman" w:hAnsi="Times New Roman"/>
          <w:color w:val="0B0B0B"/>
          <w:spacing w:val="-1"/>
        </w:rPr>
        <w:t> </w:t>
      </w:r>
      <w:r>
        <w:rPr>
          <w:rFonts w:ascii="Times New Roman" w:hAnsi="Times New Roman"/>
          <w:color w:val="0B0B0B"/>
        </w:rPr>
        <w:t>12,</w:t>
      </w:r>
      <w:r>
        <w:rPr>
          <w:rFonts w:ascii="Times New Roman" w:hAnsi="Times New Roman"/>
          <w:color w:val="0B0B0B"/>
          <w:spacing w:val="-1"/>
        </w:rPr>
        <w:t> </w:t>
      </w:r>
      <w:r>
        <w:rPr>
          <w:rFonts w:ascii="Times New Roman" w:hAnsi="Times New Roman"/>
          <w:color w:val="0B0B0B"/>
        </w:rPr>
        <w:t>13,</w:t>
      </w:r>
      <w:r>
        <w:rPr>
          <w:rFonts w:ascii="Times New Roman" w:hAnsi="Times New Roman"/>
          <w:color w:val="0B0B0B"/>
          <w:spacing w:val="-1"/>
        </w:rPr>
        <w:t> </w:t>
      </w:r>
      <w:r>
        <w:rPr>
          <w:rFonts w:ascii="Times New Roman" w:hAnsi="Times New Roman"/>
          <w:color w:val="0B0B0B"/>
        </w:rPr>
        <w:t>14, 16</w:t>
      </w:r>
      <w:r>
        <w:rPr>
          <w:rFonts w:ascii="Times New Roman" w:hAnsi="Times New Roman"/>
          <w:color w:val="0B0B0B"/>
          <w:spacing w:val="-2"/>
        </w:rPr>
        <w:t> </w:t>
      </w:r>
      <w:r>
        <w:rPr>
          <w:rFonts w:ascii="Times New Roman" w:hAnsi="Times New Roman"/>
          <w:color w:val="0B0B0B"/>
        </w:rPr>
        <w:t>y</w:t>
      </w:r>
      <w:r>
        <w:rPr>
          <w:rFonts w:ascii="Times New Roman" w:hAnsi="Times New Roman"/>
          <w:color w:val="0B0B0B"/>
          <w:spacing w:val="-1"/>
        </w:rPr>
        <w:t> </w:t>
      </w:r>
      <w:r>
        <w:rPr>
          <w:rFonts w:ascii="Times New Roman" w:hAnsi="Times New Roman"/>
          <w:color w:val="0B0B0B"/>
        </w:rPr>
        <w:t>29</w:t>
      </w:r>
      <w:r>
        <w:rPr>
          <w:rFonts w:ascii="Times New Roman" w:hAnsi="Times New Roman"/>
          <w:color w:val="0B0B0B"/>
          <w:spacing w:val="-1"/>
        </w:rPr>
        <w:t> </w:t>
      </w:r>
      <w:r>
        <w:rPr>
          <w:rFonts w:ascii="Times New Roman" w:hAnsi="Times New Roman"/>
          <w:color w:val="0B0B0B"/>
        </w:rPr>
        <w:t>de la</w:t>
      </w:r>
      <w:r>
        <w:rPr>
          <w:rFonts w:ascii="Times New Roman" w:hAnsi="Times New Roman"/>
          <w:color w:val="0B0B0B"/>
          <w:spacing w:val="-2"/>
        </w:rPr>
        <w:t> </w:t>
      </w:r>
      <w:r>
        <w:rPr>
          <w:rFonts w:ascii="Times New Roman" w:hAnsi="Times New Roman"/>
          <w:color w:val="0B0B0B"/>
        </w:rPr>
        <w:t>Resolución</w:t>
      </w:r>
      <w:r>
        <w:rPr>
          <w:rFonts w:ascii="Times New Roman" w:hAnsi="Times New Roman"/>
          <w:color w:val="0B0B0B"/>
          <w:spacing w:val="-4"/>
        </w:rPr>
        <w:t> </w:t>
      </w:r>
      <w:r>
        <w:rPr>
          <w:rFonts w:ascii="Times New Roman" w:hAnsi="Times New Roman"/>
          <w:color w:val="0B0B0B"/>
        </w:rPr>
        <w:t>Miscelánea</w:t>
      </w:r>
      <w:r>
        <w:rPr>
          <w:rFonts w:ascii="Times New Roman" w:hAnsi="Times New Roman"/>
          <w:color w:val="0B0B0B"/>
          <w:spacing w:val="-1"/>
        </w:rPr>
        <w:t> </w:t>
      </w:r>
      <w:r>
        <w:rPr>
          <w:rFonts w:ascii="Times New Roman" w:hAnsi="Times New Roman"/>
          <w:color w:val="0B0B0B"/>
        </w:rPr>
        <w:t>Fiscal</w:t>
      </w:r>
      <w:r>
        <w:rPr>
          <w:rFonts w:ascii="Times New Roman" w:hAnsi="Times New Roman"/>
          <w:color w:val="0B0B0B"/>
          <w:spacing w:val="-1"/>
        </w:rPr>
        <w:t> </w:t>
      </w:r>
      <w:r>
        <w:rPr>
          <w:rFonts w:ascii="Times New Roman" w:hAnsi="Times New Roman"/>
          <w:color w:val="0B0B0B"/>
        </w:rPr>
        <w:t>para</w:t>
      </w:r>
      <w:r>
        <w:rPr>
          <w:rFonts w:ascii="Times New Roman" w:hAnsi="Times New Roman"/>
          <w:color w:val="0B0B0B"/>
          <w:spacing w:val="-1"/>
        </w:rPr>
        <w:t> </w:t>
      </w:r>
      <w:r>
        <w:rPr>
          <w:rFonts w:ascii="Times New Roman" w:hAnsi="Times New Roman"/>
          <w:color w:val="0B0B0B"/>
        </w:rPr>
        <w:t>2026,</w:t>
      </w:r>
      <w:r>
        <w:rPr>
          <w:rFonts w:ascii="Times New Roman" w:hAnsi="Times New Roman"/>
          <w:color w:val="0B0B0B"/>
          <w:spacing w:val="-3"/>
        </w:rPr>
        <w:t> </w:t>
      </w:r>
      <w:r>
        <w:rPr>
          <w:rFonts w:ascii="Times New Roman" w:hAnsi="Times New Roman"/>
          <w:color w:val="0B0B0B"/>
        </w:rPr>
        <w:t>publicada el</w:t>
      </w:r>
      <w:r>
        <w:rPr>
          <w:rFonts w:ascii="Times New Roman" w:hAnsi="Times New Roman"/>
          <w:color w:val="0B0B0B"/>
          <w:spacing w:val="-1"/>
        </w:rPr>
        <w:t> </w:t>
      </w:r>
      <w:r>
        <w:rPr>
          <w:rFonts w:ascii="Times New Roman" w:hAnsi="Times New Roman"/>
          <w:color w:val="0B0B0B"/>
        </w:rPr>
        <w:t>28</w:t>
      </w:r>
      <w:r>
        <w:rPr>
          <w:rFonts w:ascii="Times New Roman" w:hAnsi="Times New Roman"/>
          <w:color w:val="0B0B0B"/>
          <w:spacing w:val="-1"/>
        </w:rPr>
        <w:t> </w:t>
      </w:r>
      <w:r>
        <w:rPr>
          <w:rFonts w:ascii="Times New Roman" w:hAnsi="Times New Roman"/>
          <w:color w:val="0B0B0B"/>
        </w:rPr>
        <w:t>de</w:t>
      </w:r>
      <w:r>
        <w:rPr>
          <w:rFonts w:ascii="Times New Roman" w:hAnsi="Times New Roman"/>
          <w:color w:val="0B0B0B"/>
          <w:spacing w:val="-1"/>
        </w:rPr>
        <w:t> </w:t>
      </w:r>
      <w:r>
        <w:rPr>
          <w:rFonts w:ascii="Times New Roman" w:hAnsi="Times New Roman"/>
          <w:color w:val="0B0B0B"/>
          <w:spacing w:val="-2"/>
        </w:rPr>
        <w:t>diciembre</w:t>
      </w:r>
    </w:p>
    <w:p>
      <w:pPr>
        <w:spacing w:before="1"/>
        <w:ind w:left="259" w:right="0" w:firstLine="0"/>
        <w:jc w:val="left"/>
        <w:rPr>
          <w:rFonts w:ascii="Times New Roman"/>
          <w:b/>
          <w:sz w:val="18"/>
        </w:rPr>
      </w:pPr>
      <w:r>
        <w:rPr>
          <w:rFonts w:ascii="Times New Roman"/>
          <w:b/>
          <w:sz w:val="18"/>
        </w:rPr>
        <mc:AlternateContent>
          <mc:Choice Requires="wps">
            <w:drawing>
              <wp:anchor distT="0" distB="0" distL="0" distR="0" allowOverlap="1" layoutInCell="1" locked="0" behindDoc="1" simplePos="0" relativeHeight="487587840">
                <wp:simplePos x="0" y="0"/>
                <wp:positionH relativeFrom="page">
                  <wp:posOffset>1059942</wp:posOffset>
                </wp:positionH>
                <wp:positionV relativeFrom="paragraph">
                  <wp:posOffset>145603</wp:posOffset>
                </wp:positionV>
                <wp:extent cx="5652770" cy="4699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52770" cy="46990"/>
                        </a:xfrm>
                        <a:custGeom>
                          <a:avLst/>
                          <a:gdLst/>
                          <a:ahLst/>
                          <a:cxnLst/>
                          <a:rect l="l" t="t" r="r" b="b"/>
                          <a:pathLst>
                            <a:path w="5652770" h="46990">
                              <a:moveTo>
                                <a:pt x="5652528" y="37350"/>
                              </a:moveTo>
                              <a:lnTo>
                                <a:pt x="0" y="37350"/>
                              </a:lnTo>
                              <a:lnTo>
                                <a:pt x="0" y="46482"/>
                              </a:lnTo>
                              <a:lnTo>
                                <a:pt x="5652528" y="46482"/>
                              </a:lnTo>
                              <a:lnTo>
                                <a:pt x="5652528" y="37350"/>
                              </a:lnTo>
                              <a:close/>
                            </a:path>
                            <a:path w="5652770" h="46990">
                              <a:moveTo>
                                <a:pt x="5652528" y="0"/>
                              </a:moveTo>
                              <a:lnTo>
                                <a:pt x="0" y="0"/>
                              </a:lnTo>
                              <a:lnTo>
                                <a:pt x="0" y="19050"/>
                              </a:lnTo>
                              <a:lnTo>
                                <a:pt x="0" y="28194"/>
                              </a:lnTo>
                              <a:lnTo>
                                <a:pt x="5652528" y="28194"/>
                              </a:lnTo>
                              <a:lnTo>
                                <a:pt x="5652528" y="19050"/>
                              </a:lnTo>
                              <a:lnTo>
                                <a:pt x="5652528"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83.460007pt;margin-top:11.464845pt;width:445.1pt;height:3.7pt;mso-position-horizontal-relative:page;mso-position-vertical-relative:paragraph;z-index:-15728640;mso-wrap-distance-left:0;mso-wrap-distance-right:0" id="docshape5" coordorigin="1669,229" coordsize="8902,74" path="m10571,288l1669,288,1669,302,10571,302,10571,288xm10571,229l1669,229,1669,259,1669,274,10571,274,10571,259,10571,229xe" filled="true" fillcolor="#0b0b0b" stroked="false">
                <v:path arrowok="t"/>
                <v:fill type="solid"/>
                <w10:wrap type="topAndBottom"/>
              </v:shape>
            </w:pict>
          </mc:Fallback>
        </mc:AlternateContent>
      </w:r>
      <w:r>
        <w:rPr>
          <w:rFonts w:ascii="Times New Roman"/>
          <w:b/>
          <w:color w:val="0B0B0B"/>
          <w:sz w:val="18"/>
        </w:rPr>
        <w:t>de </w:t>
      </w:r>
      <w:r>
        <w:rPr>
          <w:rFonts w:ascii="Times New Roman"/>
          <w:b/>
          <w:color w:val="0B0B0B"/>
          <w:spacing w:val="-2"/>
          <w:sz w:val="18"/>
        </w:rPr>
        <w:t>2025.</w:t>
      </w:r>
    </w:p>
    <w:p>
      <w:pPr>
        <w:pStyle w:val="BodyText"/>
        <w:spacing w:before="19"/>
        <w:ind w:left="259" w:right="257"/>
        <w:jc w:val="left"/>
      </w:pPr>
      <w:r>
        <w:rPr>
          <w:color w:val="0B0B0B"/>
        </w:rPr>
        <w:t>Al margen un sello con el Escudo Nacional, que dice: Estados Unidos Mexicanos.- Hacienda.- Secretaría de Hacienda y Crédito Público.- Servicio de Administración Tributaria.</w:t>
      </w:r>
    </w:p>
    <w:p>
      <w:pPr>
        <w:spacing w:before="128"/>
        <w:ind w:left="547" w:right="0" w:firstLine="0"/>
        <w:jc w:val="left"/>
        <w:rPr>
          <w:sz w:val="16"/>
        </w:rPr>
      </w:pPr>
      <w:r>
        <w:rPr>
          <w:color w:val="0B0B0B"/>
          <w:sz w:val="16"/>
        </w:rPr>
        <w:t>ANEXO</w:t>
      </w:r>
      <w:r>
        <w:rPr>
          <w:color w:val="0B0B0B"/>
          <w:spacing w:val="-6"/>
          <w:sz w:val="16"/>
        </w:rPr>
        <w:t> </w:t>
      </w:r>
      <w:r>
        <w:rPr>
          <w:color w:val="0B0B0B"/>
          <w:sz w:val="16"/>
        </w:rPr>
        <w:t>3</w:t>
      </w:r>
      <w:r>
        <w:rPr>
          <w:color w:val="0B0B0B"/>
          <w:spacing w:val="-5"/>
          <w:sz w:val="16"/>
        </w:rPr>
        <w:t> </w:t>
      </w:r>
      <w:r>
        <w:rPr>
          <w:color w:val="0B0B0B"/>
          <w:sz w:val="16"/>
        </w:rPr>
        <w:t>DE</w:t>
      </w:r>
      <w:r>
        <w:rPr>
          <w:color w:val="0B0B0B"/>
          <w:spacing w:val="-5"/>
          <w:sz w:val="16"/>
        </w:rPr>
        <w:t> </w:t>
      </w:r>
      <w:r>
        <w:rPr>
          <w:color w:val="0B0B0B"/>
          <w:sz w:val="16"/>
        </w:rPr>
        <w:t>LA</w:t>
      </w:r>
      <w:r>
        <w:rPr>
          <w:color w:val="0B0B0B"/>
          <w:spacing w:val="-4"/>
          <w:sz w:val="16"/>
        </w:rPr>
        <w:t> </w:t>
      </w:r>
      <w:r>
        <w:rPr>
          <w:color w:val="0B0B0B"/>
          <w:sz w:val="16"/>
        </w:rPr>
        <w:t>RESOLUCIÓN</w:t>
      </w:r>
      <w:r>
        <w:rPr>
          <w:color w:val="0B0B0B"/>
          <w:spacing w:val="-4"/>
          <w:sz w:val="16"/>
        </w:rPr>
        <w:t> </w:t>
      </w:r>
      <w:r>
        <w:rPr>
          <w:color w:val="0B0B0B"/>
          <w:sz w:val="16"/>
        </w:rPr>
        <w:t>MISCELÁNEA</w:t>
      </w:r>
      <w:r>
        <w:rPr>
          <w:color w:val="0B0B0B"/>
          <w:spacing w:val="-5"/>
          <w:sz w:val="16"/>
        </w:rPr>
        <w:t> </w:t>
      </w:r>
      <w:r>
        <w:rPr>
          <w:color w:val="0B0B0B"/>
          <w:sz w:val="16"/>
        </w:rPr>
        <w:t>FISCAL</w:t>
      </w:r>
      <w:r>
        <w:rPr>
          <w:color w:val="0B0B0B"/>
          <w:spacing w:val="-5"/>
          <w:sz w:val="16"/>
        </w:rPr>
        <w:t> </w:t>
      </w:r>
      <w:r>
        <w:rPr>
          <w:color w:val="0B0B0B"/>
          <w:sz w:val="16"/>
        </w:rPr>
        <w:t>PARA</w:t>
      </w:r>
      <w:r>
        <w:rPr>
          <w:color w:val="0B0B0B"/>
          <w:spacing w:val="-5"/>
          <w:sz w:val="16"/>
        </w:rPr>
        <w:t> </w:t>
      </w:r>
      <w:r>
        <w:rPr>
          <w:color w:val="0B0B0B"/>
          <w:spacing w:val="-4"/>
          <w:sz w:val="16"/>
        </w:rPr>
        <w:t>2026</w:t>
      </w:r>
    </w:p>
    <w:p>
      <w:pPr>
        <w:pStyle w:val="Heading1"/>
        <w:spacing w:before="118"/>
        <w:ind w:left="0" w:firstLine="0"/>
        <w:jc w:val="center"/>
      </w:pPr>
      <w:r>
        <w:rPr>
          <w:color w:val="0B0B0B"/>
        </w:rPr>
        <w:t>Compilación</w:t>
      </w:r>
      <w:r>
        <w:rPr>
          <w:color w:val="0B0B0B"/>
          <w:spacing w:val="-9"/>
        </w:rPr>
        <w:t> </w:t>
      </w:r>
      <w:r>
        <w:rPr>
          <w:color w:val="0B0B0B"/>
        </w:rPr>
        <w:t>de</w:t>
      </w:r>
      <w:r>
        <w:rPr>
          <w:color w:val="0B0B0B"/>
          <w:spacing w:val="-7"/>
        </w:rPr>
        <w:t> </w:t>
      </w:r>
      <w:r>
        <w:rPr>
          <w:color w:val="0B0B0B"/>
        </w:rPr>
        <w:t>criterios</w:t>
      </w:r>
      <w:r>
        <w:rPr>
          <w:color w:val="0B0B0B"/>
          <w:spacing w:val="-8"/>
        </w:rPr>
        <w:t> </w:t>
      </w:r>
      <w:r>
        <w:rPr>
          <w:color w:val="0B0B0B"/>
        </w:rPr>
        <w:t>sobre</w:t>
      </w:r>
      <w:r>
        <w:rPr>
          <w:color w:val="0B0B0B"/>
          <w:spacing w:val="-7"/>
        </w:rPr>
        <w:t> </w:t>
      </w:r>
      <w:r>
        <w:rPr>
          <w:color w:val="0B0B0B"/>
        </w:rPr>
        <w:t>prácticas</w:t>
      </w:r>
      <w:r>
        <w:rPr>
          <w:color w:val="0B0B0B"/>
          <w:spacing w:val="-7"/>
        </w:rPr>
        <w:t> </w:t>
      </w:r>
      <w:r>
        <w:rPr>
          <w:color w:val="0B0B0B"/>
        </w:rPr>
        <w:t>fiscales</w:t>
      </w:r>
      <w:r>
        <w:rPr>
          <w:color w:val="0B0B0B"/>
          <w:spacing w:val="-8"/>
        </w:rPr>
        <w:t> </w:t>
      </w:r>
      <w:r>
        <w:rPr>
          <w:color w:val="0B0B0B"/>
          <w:spacing w:val="-2"/>
        </w:rPr>
        <w:t>indebidas</w:t>
      </w:r>
    </w:p>
    <w:p>
      <w:pPr>
        <w:pStyle w:val="BodyText"/>
        <w:spacing w:line="254" w:lineRule="auto" w:before="112"/>
        <w:ind w:left="259" w:right="257" w:firstLine="287"/>
        <w:jc w:val="left"/>
      </w:pPr>
      <w:r>
        <w:rPr>
          <w:color w:val="0B0B0B"/>
        </w:rPr>
        <w:t>Para los efectos del artículo 33, fracción I, inciso h) del CFF, en relación con la regla 1.4., fracción III, se dan a conocer los criterios no vinculativos de las disposiciones fiscales conforme a lo siguiente:</w:t>
      </w:r>
    </w:p>
    <w:p>
      <w:pPr>
        <w:spacing w:before="100"/>
        <w:ind w:left="0" w:right="0" w:firstLine="0"/>
        <w:jc w:val="center"/>
        <w:rPr>
          <w:rFonts w:ascii="Arial"/>
          <w:b/>
          <w:sz w:val="18"/>
        </w:rPr>
      </w:pPr>
      <w:r>
        <w:rPr>
          <w:rFonts w:ascii="Arial"/>
          <w:b/>
          <w:color w:val="0B0B0B"/>
          <w:spacing w:val="-2"/>
          <w:sz w:val="18"/>
        </w:rPr>
        <w:t>Contenido</w:t>
      </w:r>
    </w:p>
    <w:p>
      <w:pPr>
        <w:pStyle w:val="BodyText"/>
        <w:spacing w:before="4"/>
        <w:ind w:left="0"/>
        <w:jc w:val="left"/>
        <w:rPr>
          <w:rFonts w:ascii="Arial"/>
          <w:b/>
          <w:sz w:val="9"/>
        </w:rPr>
      </w:pPr>
    </w:p>
    <w:tbl>
      <w:tblPr>
        <w:tblW w:w="0" w:type="auto"/>
        <w:jc w:val="left"/>
        <w:tblInd w:w="187"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320" w:hRule="atLeast"/>
        </w:trPr>
        <w:tc>
          <w:tcPr>
            <w:tcW w:w="8986" w:type="dxa"/>
            <w:shd w:val="clear" w:color="auto" w:fill="BCBCBC"/>
          </w:tcPr>
          <w:p>
            <w:pPr>
              <w:pStyle w:val="TableParagraph"/>
              <w:tabs>
                <w:tab w:pos="503" w:val="left" w:leader="none"/>
              </w:tabs>
              <w:spacing w:before="6"/>
              <w:rPr>
                <w:rFonts w:ascii="Arial"/>
                <w:b/>
                <w:sz w:val="18"/>
              </w:rPr>
            </w:pPr>
            <w:r>
              <w:rPr>
                <w:rFonts w:ascii="Arial"/>
                <w:b/>
                <w:color w:val="0B0B0B"/>
                <w:spacing w:val="-5"/>
                <w:sz w:val="18"/>
              </w:rPr>
              <w:t>A.</w:t>
            </w:r>
            <w:r>
              <w:rPr>
                <w:rFonts w:ascii="Arial"/>
                <w:b/>
                <w:color w:val="0B0B0B"/>
                <w:sz w:val="18"/>
              </w:rPr>
              <w:tab/>
            </w:r>
            <w:r>
              <w:rPr>
                <w:rFonts w:ascii="Arial"/>
                <w:b/>
                <w:color w:val="0B0B0B"/>
                <w:spacing w:val="-2"/>
                <w:sz w:val="18"/>
              </w:rPr>
              <w:t>Vigentes</w:t>
            </w:r>
          </w:p>
        </w:tc>
      </w:tr>
      <w:tr>
        <w:trPr>
          <w:trHeight w:val="320" w:hRule="atLeast"/>
        </w:trPr>
        <w:tc>
          <w:tcPr>
            <w:tcW w:w="8986" w:type="dxa"/>
            <w:shd w:val="clear" w:color="auto" w:fill="BCBCBC"/>
          </w:tcPr>
          <w:p>
            <w:pPr>
              <w:pStyle w:val="TableParagraph"/>
              <w:tabs>
                <w:tab w:pos="935" w:val="left" w:leader="none"/>
              </w:tabs>
              <w:spacing w:before="6"/>
              <w:ind w:left="503"/>
              <w:rPr>
                <w:rFonts w:ascii="Arial"/>
                <w:b/>
                <w:sz w:val="18"/>
              </w:rPr>
            </w:pPr>
            <w:r>
              <w:rPr>
                <w:rFonts w:ascii="Arial"/>
                <w:b/>
                <w:color w:val="0B0B0B"/>
                <w:spacing w:val="-5"/>
                <w:sz w:val="18"/>
              </w:rPr>
              <w:t>I.</w:t>
            </w:r>
            <w:r>
              <w:rPr>
                <w:rFonts w:ascii="Arial"/>
                <w:b/>
                <w:color w:val="0B0B0B"/>
                <w:sz w:val="18"/>
              </w:rPr>
              <w:tab/>
              <w:t>Criterios del </w:t>
            </w:r>
            <w:r>
              <w:rPr>
                <w:rFonts w:ascii="Arial"/>
                <w:b/>
                <w:color w:val="0B0B0B"/>
                <w:spacing w:val="-5"/>
                <w:sz w:val="18"/>
              </w:rPr>
              <w:t>CFF</w:t>
            </w:r>
          </w:p>
        </w:tc>
      </w:tr>
      <w:tr>
        <w:trPr>
          <w:trHeight w:val="2211" w:hRule="atLeast"/>
        </w:trPr>
        <w:tc>
          <w:tcPr>
            <w:tcW w:w="8986" w:type="dxa"/>
          </w:tcPr>
          <w:p>
            <w:pPr>
              <w:pStyle w:val="TableParagraph"/>
              <w:spacing w:line="266" w:lineRule="auto" w:before="14"/>
              <w:ind w:left="1972" w:right="63" w:hanging="1008"/>
              <w:jc w:val="both"/>
              <w:rPr>
                <w:sz w:val="18"/>
              </w:rPr>
            </w:pPr>
            <w:r>
              <w:rPr>
                <w:rFonts w:ascii="Arial" w:hAnsi="Arial"/>
                <w:b/>
                <w:color w:val="0B0B0B"/>
                <w:sz w:val="18"/>
              </w:rPr>
              <w:t>1/CFF/PI</w:t>
            </w:r>
            <w:r>
              <w:rPr>
                <w:rFonts w:ascii="Arial" w:hAnsi="Arial"/>
                <w:b/>
                <w:color w:val="0B0B0B"/>
                <w:spacing w:val="80"/>
                <w:w w:val="150"/>
                <w:sz w:val="18"/>
              </w:rPr>
              <w:t> </w:t>
            </w:r>
            <w:r>
              <w:rPr>
                <w:color w:val="0B0B0B"/>
                <w:sz w:val="18"/>
              </w:rPr>
              <w:t>Entrega o puesta a disposición del CFDI. No se cumple con la obligación cuando el emisor únicamente remite a una página de Internet.</w:t>
            </w:r>
          </w:p>
          <w:p>
            <w:pPr>
              <w:pStyle w:val="TableParagraph"/>
              <w:spacing w:line="266" w:lineRule="auto" w:before="102"/>
              <w:ind w:left="1972" w:right="62" w:hanging="1008"/>
              <w:jc w:val="both"/>
              <w:rPr>
                <w:sz w:val="18"/>
              </w:rPr>
            </w:pPr>
            <w:r>
              <w:rPr>
                <w:rFonts w:ascii="Arial" w:hAnsi="Arial"/>
                <w:b/>
                <w:color w:val="0B0B0B"/>
                <w:sz w:val="18"/>
              </w:rPr>
              <w:t>2/CFF/PI</w:t>
            </w:r>
            <w:r>
              <w:rPr>
                <w:rFonts w:ascii="Arial" w:hAnsi="Arial"/>
                <w:b/>
                <w:color w:val="0B0B0B"/>
                <w:spacing w:val="80"/>
                <w:sz w:val="18"/>
              </w:rPr>
              <w:t> </w:t>
            </w:r>
            <w:r>
              <w:rPr>
                <w:color w:val="0B0B0B"/>
                <w:sz w:val="18"/>
              </w:rPr>
              <w:t>Revelación de esquemas reportables generalizados.</w:t>
            </w:r>
            <w:r>
              <w:rPr>
                <w:color w:val="0B0B0B"/>
                <w:sz w:val="18"/>
              </w:rPr>
              <w:t> Hacer</w:t>
            </w:r>
            <w:r>
              <w:rPr>
                <w:color w:val="0B0B0B"/>
                <w:sz w:val="18"/>
              </w:rPr>
              <w:t> aparentar que tienen el carácter</w:t>
            </w:r>
            <w:r>
              <w:rPr>
                <w:color w:val="0B0B0B"/>
                <w:spacing w:val="-3"/>
                <w:sz w:val="18"/>
              </w:rPr>
              <w:t> </w:t>
            </w:r>
            <w:r>
              <w:rPr>
                <w:color w:val="0B0B0B"/>
                <w:sz w:val="18"/>
              </w:rPr>
              <w:t>de</w:t>
            </w:r>
            <w:r>
              <w:rPr>
                <w:color w:val="0B0B0B"/>
                <w:spacing w:val="-3"/>
                <w:sz w:val="18"/>
              </w:rPr>
              <w:t> </w:t>
            </w:r>
            <w:r>
              <w:rPr>
                <w:color w:val="0B0B0B"/>
                <w:sz w:val="18"/>
              </w:rPr>
              <w:t>esquemas</w:t>
            </w:r>
            <w:r>
              <w:rPr>
                <w:color w:val="0B0B0B"/>
                <w:spacing w:val="-3"/>
                <w:sz w:val="18"/>
              </w:rPr>
              <w:t> </w:t>
            </w:r>
            <w:r>
              <w:rPr>
                <w:color w:val="0B0B0B"/>
                <w:sz w:val="18"/>
              </w:rPr>
              <w:t>reportables</w:t>
            </w:r>
            <w:r>
              <w:rPr>
                <w:color w:val="0B0B0B"/>
                <w:spacing w:val="-3"/>
                <w:sz w:val="18"/>
              </w:rPr>
              <w:t> </w:t>
            </w:r>
            <w:r>
              <w:rPr>
                <w:color w:val="0B0B0B"/>
                <w:sz w:val="18"/>
              </w:rPr>
              <w:t>personalizados,</w:t>
            </w:r>
            <w:r>
              <w:rPr>
                <w:color w:val="0B0B0B"/>
                <w:spacing w:val="-3"/>
                <w:sz w:val="18"/>
              </w:rPr>
              <w:t> </w:t>
            </w:r>
            <w:r>
              <w:rPr>
                <w:color w:val="0B0B0B"/>
                <w:sz w:val="18"/>
              </w:rPr>
              <w:t>es</w:t>
            </w:r>
            <w:r>
              <w:rPr>
                <w:color w:val="0B0B0B"/>
                <w:spacing w:val="-3"/>
                <w:sz w:val="18"/>
              </w:rPr>
              <w:t> </w:t>
            </w:r>
            <w:r>
              <w:rPr>
                <w:color w:val="0B0B0B"/>
                <w:sz w:val="18"/>
              </w:rPr>
              <w:t>contrario</w:t>
            </w:r>
            <w:r>
              <w:rPr>
                <w:color w:val="0B0B0B"/>
                <w:spacing w:val="-2"/>
                <w:sz w:val="18"/>
              </w:rPr>
              <w:t> </w:t>
            </w:r>
            <w:r>
              <w:rPr>
                <w:color w:val="0B0B0B"/>
                <w:sz w:val="18"/>
              </w:rPr>
              <w:t>a</w:t>
            </w:r>
            <w:r>
              <w:rPr>
                <w:color w:val="0B0B0B"/>
                <w:spacing w:val="-3"/>
                <w:sz w:val="18"/>
              </w:rPr>
              <w:t> </w:t>
            </w:r>
            <w:r>
              <w:rPr>
                <w:color w:val="0B0B0B"/>
                <w:sz w:val="18"/>
              </w:rPr>
              <w:t>lo</w:t>
            </w:r>
            <w:r>
              <w:rPr>
                <w:color w:val="0B0B0B"/>
                <w:spacing w:val="-2"/>
                <w:sz w:val="18"/>
              </w:rPr>
              <w:t> </w:t>
            </w:r>
            <w:r>
              <w:rPr>
                <w:color w:val="0B0B0B"/>
                <w:sz w:val="18"/>
              </w:rPr>
              <w:t>establecido</w:t>
            </w:r>
            <w:r>
              <w:rPr>
                <w:color w:val="0B0B0B"/>
                <w:spacing w:val="-3"/>
                <w:sz w:val="18"/>
              </w:rPr>
              <w:t> </w:t>
            </w:r>
            <w:r>
              <w:rPr>
                <w:color w:val="0B0B0B"/>
                <w:sz w:val="18"/>
              </w:rPr>
              <w:t>por</w:t>
            </w:r>
            <w:r>
              <w:rPr>
                <w:color w:val="0B0B0B"/>
                <w:spacing w:val="-2"/>
                <w:sz w:val="18"/>
              </w:rPr>
              <w:t> </w:t>
            </w:r>
            <w:r>
              <w:rPr>
                <w:color w:val="0B0B0B"/>
                <w:sz w:val="18"/>
              </w:rPr>
              <w:t>las disposiciones legales aplicables.</w:t>
            </w:r>
          </w:p>
          <w:p>
            <w:pPr>
              <w:pStyle w:val="TableParagraph"/>
              <w:spacing w:before="94"/>
              <w:ind w:left="958"/>
              <w:jc w:val="both"/>
              <w:rPr>
                <w:sz w:val="18"/>
              </w:rPr>
            </w:pPr>
            <w:r>
              <w:rPr>
                <w:rFonts w:ascii="Arial" w:hAnsi="Arial"/>
                <w:b/>
                <w:color w:val="0B0B0B"/>
                <w:sz w:val="18"/>
              </w:rPr>
              <w:t>3/CFF/PI</w:t>
            </w:r>
            <w:r>
              <w:rPr>
                <w:rFonts w:ascii="Arial" w:hAnsi="Arial"/>
                <w:b/>
                <w:color w:val="0B0B0B"/>
                <w:spacing w:val="56"/>
                <w:w w:val="150"/>
                <w:sz w:val="18"/>
              </w:rPr>
              <w:t>  </w:t>
            </w:r>
            <w:r>
              <w:rPr>
                <w:color w:val="0B0B0B"/>
                <w:sz w:val="18"/>
              </w:rPr>
              <w:t>Elusión</w:t>
            </w:r>
            <w:r>
              <w:rPr>
                <w:color w:val="0B0B0B"/>
                <w:spacing w:val="-4"/>
                <w:sz w:val="18"/>
              </w:rPr>
              <w:t> </w:t>
            </w:r>
            <w:r>
              <w:rPr>
                <w:color w:val="0B0B0B"/>
                <w:sz w:val="18"/>
              </w:rPr>
              <w:t>de</w:t>
            </w:r>
            <w:r>
              <w:rPr>
                <w:color w:val="0B0B0B"/>
                <w:spacing w:val="-5"/>
                <w:sz w:val="18"/>
              </w:rPr>
              <w:t> </w:t>
            </w:r>
            <w:r>
              <w:rPr>
                <w:color w:val="0B0B0B"/>
                <w:sz w:val="18"/>
              </w:rPr>
              <w:t>los</w:t>
            </w:r>
            <w:r>
              <w:rPr>
                <w:color w:val="0B0B0B"/>
                <w:spacing w:val="-3"/>
                <w:sz w:val="18"/>
              </w:rPr>
              <w:t> </w:t>
            </w:r>
            <w:r>
              <w:rPr>
                <w:color w:val="0B0B0B"/>
                <w:sz w:val="18"/>
              </w:rPr>
              <w:t>efectos</w:t>
            </w:r>
            <w:r>
              <w:rPr>
                <w:color w:val="0B0B0B"/>
                <w:spacing w:val="-4"/>
                <w:sz w:val="18"/>
              </w:rPr>
              <w:t> </w:t>
            </w:r>
            <w:r>
              <w:rPr>
                <w:color w:val="0B0B0B"/>
                <w:sz w:val="18"/>
              </w:rPr>
              <w:t>de</w:t>
            </w:r>
            <w:r>
              <w:rPr>
                <w:color w:val="0B0B0B"/>
                <w:spacing w:val="-4"/>
                <w:sz w:val="18"/>
              </w:rPr>
              <w:t> </w:t>
            </w:r>
            <w:r>
              <w:rPr>
                <w:color w:val="0B0B0B"/>
                <w:sz w:val="18"/>
              </w:rPr>
              <w:t>la</w:t>
            </w:r>
            <w:r>
              <w:rPr>
                <w:color w:val="0B0B0B"/>
                <w:spacing w:val="-6"/>
                <w:sz w:val="18"/>
              </w:rPr>
              <w:t> </w:t>
            </w:r>
            <w:r>
              <w:rPr>
                <w:color w:val="0B0B0B"/>
                <w:sz w:val="18"/>
              </w:rPr>
              <w:t>restricción</w:t>
            </w:r>
            <w:r>
              <w:rPr>
                <w:color w:val="0B0B0B"/>
                <w:spacing w:val="-4"/>
                <w:sz w:val="18"/>
              </w:rPr>
              <w:t> </w:t>
            </w:r>
            <w:r>
              <w:rPr>
                <w:color w:val="0B0B0B"/>
                <w:sz w:val="18"/>
              </w:rPr>
              <w:t>temporal</w:t>
            </w:r>
            <w:r>
              <w:rPr>
                <w:color w:val="0B0B0B"/>
                <w:spacing w:val="-4"/>
                <w:sz w:val="18"/>
              </w:rPr>
              <w:t> </w:t>
            </w:r>
            <w:r>
              <w:rPr>
                <w:color w:val="0B0B0B"/>
                <w:sz w:val="18"/>
              </w:rPr>
              <w:t>o</w:t>
            </w:r>
            <w:r>
              <w:rPr>
                <w:color w:val="0B0B0B"/>
                <w:spacing w:val="-4"/>
                <w:sz w:val="18"/>
              </w:rPr>
              <w:t> </w:t>
            </w:r>
            <w:r>
              <w:rPr>
                <w:color w:val="0B0B0B"/>
                <w:sz w:val="18"/>
              </w:rPr>
              <w:t>cancelación</w:t>
            </w:r>
            <w:r>
              <w:rPr>
                <w:color w:val="0B0B0B"/>
                <w:spacing w:val="-5"/>
                <w:sz w:val="18"/>
              </w:rPr>
              <w:t> </w:t>
            </w:r>
            <w:r>
              <w:rPr>
                <w:color w:val="0B0B0B"/>
                <w:sz w:val="18"/>
              </w:rPr>
              <w:t>del</w:t>
            </w:r>
            <w:r>
              <w:rPr>
                <w:color w:val="0B0B0B"/>
                <w:spacing w:val="-4"/>
                <w:sz w:val="18"/>
              </w:rPr>
              <w:t> </w:t>
            </w:r>
            <w:r>
              <w:rPr>
                <w:color w:val="0B0B0B"/>
                <w:sz w:val="18"/>
              </w:rPr>
              <w:t>uso</w:t>
            </w:r>
            <w:r>
              <w:rPr>
                <w:color w:val="0B0B0B"/>
                <w:spacing w:val="-4"/>
                <w:sz w:val="18"/>
              </w:rPr>
              <w:t> </w:t>
            </w:r>
            <w:r>
              <w:rPr>
                <w:color w:val="0B0B0B"/>
                <w:sz w:val="18"/>
              </w:rPr>
              <w:t>del</w:t>
            </w:r>
            <w:r>
              <w:rPr>
                <w:color w:val="0B0B0B"/>
                <w:spacing w:val="-4"/>
                <w:sz w:val="18"/>
              </w:rPr>
              <w:t> CSD.</w:t>
            </w:r>
          </w:p>
          <w:p>
            <w:pPr>
              <w:pStyle w:val="TableParagraph"/>
              <w:spacing w:line="254" w:lineRule="auto" w:before="113"/>
              <w:ind w:left="1966" w:right="63" w:hanging="1008"/>
              <w:jc w:val="both"/>
              <w:rPr>
                <w:sz w:val="18"/>
              </w:rPr>
            </w:pPr>
            <w:r>
              <w:rPr>
                <w:rFonts w:ascii="Arial" w:hAnsi="Arial"/>
                <w:b/>
                <w:color w:val="0B0B0B"/>
                <w:sz w:val="18"/>
              </w:rPr>
              <w:t>4/CFF/PI</w:t>
            </w:r>
            <w:r>
              <w:rPr>
                <w:rFonts w:ascii="Arial" w:hAnsi="Arial"/>
                <w:b/>
                <w:color w:val="0B0B0B"/>
                <w:spacing w:val="80"/>
                <w:sz w:val="18"/>
              </w:rPr>
              <w:t> </w:t>
            </w:r>
            <w:r>
              <w:rPr>
                <w:color w:val="0B0B0B"/>
                <w:sz w:val="18"/>
              </w:rPr>
              <w:t>Aplicación</w:t>
            </w:r>
            <w:r>
              <w:rPr>
                <w:color w:val="0B0B0B"/>
                <w:spacing w:val="40"/>
                <w:sz w:val="18"/>
              </w:rPr>
              <w:t> </w:t>
            </w:r>
            <w:r>
              <w:rPr>
                <w:color w:val="0B0B0B"/>
                <w:sz w:val="18"/>
              </w:rPr>
              <w:t>indebida</w:t>
            </w:r>
            <w:r>
              <w:rPr>
                <w:color w:val="0B0B0B"/>
                <w:spacing w:val="40"/>
                <w:sz w:val="18"/>
              </w:rPr>
              <w:t> </w:t>
            </w:r>
            <w:r>
              <w:rPr>
                <w:color w:val="0B0B0B"/>
                <w:sz w:val="18"/>
              </w:rPr>
              <w:t>de</w:t>
            </w:r>
            <w:r>
              <w:rPr>
                <w:color w:val="0B0B0B"/>
                <w:spacing w:val="40"/>
                <w:sz w:val="18"/>
              </w:rPr>
              <w:t> </w:t>
            </w:r>
            <w:r>
              <w:rPr>
                <w:color w:val="0B0B0B"/>
                <w:sz w:val="18"/>
              </w:rPr>
              <w:t>estímulos</w:t>
            </w:r>
            <w:r>
              <w:rPr>
                <w:color w:val="0B0B0B"/>
                <w:spacing w:val="40"/>
                <w:sz w:val="18"/>
              </w:rPr>
              <w:t> </w:t>
            </w:r>
            <w:r>
              <w:rPr>
                <w:color w:val="0B0B0B"/>
                <w:sz w:val="18"/>
              </w:rPr>
              <w:t>fiscales,</w:t>
            </w:r>
            <w:r>
              <w:rPr>
                <w:color w:val="0B0B0B"/>
                <w:spacing w:val="40"/>
                <w:sz w:val="18"/>
              </w:rPr>
              <w:t> </w:t>
            </w:r>
            <w:r>
              <w:rPr>
                <w:color w:val="0B0B0B"/>
                <w:sz w:val="18"/>
              </w:rPr>
              <w:t>bajo</w:t>
            </w:r>
            <w:r>
              <w:rPr>
                <w:color w:val="0B0B0B"/>
                <w:spacing w:val="40"/>
                <w:sz w:val="18"/>
              </w:rPr>
              <w:t> </w:t>
            </w:r>
            <w:r>
              <w:rPr>
                <w:color w:val="0B0B0B"/>
                <w:sz w:val="18"/>
              </w:rPr>
              <w:t>la</w:t>
            </w:r>
            <w:r>
              <w:rPr>
                <w:color w:val="0B0B0B"/>
                <w:spacing w:val="40"/>
                <w:sz w:val="18"/>
              </w:rPr>
              <w:t> </w:t>
            </w:r>
            <w:r>
              <w:rPr>
                <w:color w:val="0B0B0B"/>
                <w:sz w:val="18"/>
              </w:rPr>
              <w:t>figura</w:t>
            </w:r>
            <w:r>
              <w:rPr>
                <w:color w:val="0B0B0B"/>
                <w:spacing w:val="40"/>
                <w:sz w:val="18"/>
              </w:rPr>
              <w:t> </w:t>
            </w:r>
            <w:r>
              <w:rPr>
                <w:color w:val="0B0B0B"/>
                <w:sz w:val="18"/>
              </w:rPr>
              <w:t>de</w:t>
            </w:r>
            <w:r>
              <w:rPr>
                <w:color w:val="0B0B0B"/>
                <w:spacing w:val="40"/>
                <w:sz w:val="18"/>
              </w:rPr>
              <w:t> </w:t>
            </w:r>
            <w:r>
              <w:rPr>
                <w:color w:val="0B0B0B"/>
                <w:sz w:val="18"/>
              </w:rPr>
              <w:t>asunción</w:t>
            </w:r>
            <w:r>
              <w:rPr>
                <w:color w:val="0B0B0B"/>
                <w:spacing w:val="40"/>
                <w:sz w:val="18"/>
              </w:rPr>
              <w:t> </w:t>
            </w:r>
            <w:r>
              <w:rPr>
                <w:color w:val="0B0B0B"/>
                <w:sz w:val="18"/>
              </w:rPr>
              <w:t>de responsabilidad solidaria.</w:t>
            </w:r>
          </w:p>
        </w:tc>
      </w:tr>
      <w:tr>
        <w:trPr>
          <w:trHeight w:val="320" w:hRule="atLeast"/>
        </w:trPr>
        <w:tc>
          <w:tcPr>
            <w:tcW w:w="8986" w:type="dxa"/>
            <w:shd w:val="clear" w:color="auto" w:fill="BCBCBC"/>
          </w:tcPr>
          <w:p>
            <w:pPr>
              <w:pStyle w:val="TableParagraph"/>
              <w:tabs>
                <w:tab w:pos="934" w:val="left" w:leader="none"/>
              </w:tabs>
              <w:spacing w:before="6"/>
              <w:ind w:left="503"/>
              <w:rPr>
                <w:rFonts w:ascii="Arial"/>
                <w:b/>
                <w:sz w:val="18"/>
              </w:rPr>
            </w:pPr>
            <w:r>
              <w:rPr>
                <w:rFonts w:ascii="Arial"/>
                <w:b/>
                <w:color w:val="0B0B0B"/>
                <w:spacing w:val="-5"/>
                <w:sz w:val="18"/>
              </w:rPr>
              <w:t>II.</w:t>
            </w:r>
            <w:r>
              <w:rPr>
                <w:rFonts w:ascii="Arial"/>
                <w:b/>
                <w:color w:val="0B0B0B"/>
                <w:sz w:val="18"/>
              </w:rPr>
              <w:tab/>
              <w:t>Criterios de la Ley</w:t>
            </w:r>
            <w:r>
              <w:rPr>
                <w:rFonts w:ascii="Arial"/>
                <w:b/>
                <w:color w:val="0B0B0B"/>
                <w:spacing w:val="-2"/>
                <w:sz w:val="18"/>
              </w:rPr>
              <w:t> </w:t>
            </w:r>
            <w:r>
              <w:rPr>
                <w:rFonts w:ascii="Arial"/>
                <w:b/>
                <w:color w:val="0B0B0B"/>
                <w:sz w:val="18"/>
              </w:rPr>
              <w:t>del </w:t>
            </w:r>
            <w:r>
              <w:rPr>
                <w:rFonts w:ascii="Arial"/>
                <w:b/>
                <w:color w:val="0B0B0B"/>
                <w:spacing w:val="-5"/>
                <w:sz w:val="18"/>
              </w:rPr>
              <w:t>ISR</w:t>
            </w:r>
          </w:p>
        </w:tc>
      </w:tr>
      <w:tr>
        <w:trPr>
          <w:trHeight w:val="7536" w:hRule="atLeast"/>
        </w:trPr>
        <w:tc>
          <w:tcPr>
            <w:tcW w:w="8986" w:type="dxa"/>
          </w:tcPr>
          <w:p>
            <w:pPr>
              <w:pStyle w:val="TableParagraph"/>
              <w:tabs>
                <w:tab w:pos="1972" w:val="left" w:leader="none"/>
              </w:tabs>
              <w:spacing w:before="6"/>
              <w:ind w:left="964"/>
              <w:rPr>
                <w:sz w:val="18"/>
              </w:rPr>
            </w:pPr>
            <w:r>
              <w:rPr>
                <w:rFonts w:ascii="Arial"/>
                <w:b/>
                <w:color w:val="0B0B0B"/>
                <w:spacing w:val="-2"/>
                <w:sz w:val="18"/>
              </w:rPr>
              <w:t>1/ISR/PI</w:t>
            </w:r>
            <w:r>
              <w:rPr>
                <w:rFonts w:ascii="Arial"/>
                <w:b/>
                <w:color w:val="0B0B0B"/>
                <w:sz w:val="18"/>
              </w:rPr>
              <w:tab/>
            </w:r>
            <w:r>
              <w:rPr>
                <w:color w:val="0B0B0B"/>
                <w:spacing w:val="-2"/>
                <w:sz w:val="18"/>
              </w:rPr>
              <w:t>Establecimiento</w:t>
            </w:r>
            <w:r>
              <w:rPr>
                <w:color w:val="0B0B0B"/>
                <w:spacing w:val="6"/>
                <w:sz w:val="18"/>
              </w:rPr>
              <w:t> </w:t>
            </w:r>
            <w:r>
              <w:rPr>
                <w:color w:val="0B0B0B"/>
                <w:spacing w:val="-2"/>
                <w:sz w:val="18"/>
              </w:rPr>
              <w:t>permanente.</w:t>
            </w:r>
          </w:p>
          <w:p>
            <w:pPr>
              <w:pStyle w:val="TableParagraph"/>
              <w:tabs>
                <w:tab w:pos="1972" w:val="left" w:leader="none"/>
              </w:tabs>
              <w:spacing w:before="122"/>
              <w:ind w:left="964"/>
              <w:rPr>
                <w:sz w:val="18"/>
              </w:rPr>
            </w:pPr>
            <w:r>
              <w:rPr>
                <w:rFonts w:ascii="Arial" w:hAnsi="Arial"/>
                <w:b/>
                <w:color w:val="0B0B0B"/>
                <w:spacing w:val="-2"/>
                <w:sz w:val="18"/>
              </w:rPr>
              <w:t>2/ISR/PI</w:t>
            </w:r>
            <w:r>
              <w:rPr>
                <w:rFonts w:ascii="Arial" w:hAnsi="Arial"/>
                <w:b/>
                <w:color w:val="0B0B0B"/>
                <w:sz w:val="18"/>
              </w:rPr>
              <w:tab/>
            </w:r>
            <w:r>
              <w:rPr>
                <w:color w:val="0B0B0B"/>
                <w:sz w:val="18"/>
              </w:rPr>
              <w:t>Enajenación</w:t>
            </w:r>
            <w:r>
              <w:rPr>
                <w:color w:val="0B0B0B"/>
                <w:spacing w:val="-8"/>
                <w:sz w:val="18"/>
              </w:rPr>
              <w:t> </w:t>
            </w:r>
            <w:r>
              <w:rPr>
                <w:color w:val="0B0B0B"/>
                <w:sz w:val="18"/>
              </w:rPr>
              <w:t>de</w:t>
            </w:r>
            <w:r>
              <w:rPr>
                <w:color w:val="0B0B0B"/>
                <w:spacing w:val="-9"/>
                <w:sz w:val="18"/>
              </w:rPr>
              <w:t> </w:t>
            </w:r>
            <w:r>
              <w:rPr>
                <w:color w:val="0B0B0B"/>
                <w:sz w:val="18"/>
              </w:rPr>
              <w:t>bienes</w:t>
            </w:r>
            <w:r>
              <w:rPr>
                <w:color w:val="0B0B0B"/>
                <w:spacing w:val="-8"/>
                <w:sz w:val="18"/>
              </w:rPr>
              <w:t> </w:t>
            </w:r>
            <w:r>
              <w:rPr>
                <w:color w:val="0B0B0B"/>
                <w:sz w:val="18"/>
              </w:rPr>
              <w:t>de</w:t>
            </w:r>
            <w:r>
              <w:rPr>
                <w:color w:val="0B0B0B"/>
                <w:spacing w:val="-9"/>
                <w:sz w:val="18"/>
              </w:rPr>
              <w:t> </w:t>
            </w:r>
            <w:r>
              <w:rPr>
                <w:color w:val="0B0B0B"/>
                <w:sz w:val="18"/>
              </w:rPr>
              <w:t>activo</w:t>
            </w:r>
            <w:r>
              <w:rPr>
                <w:color w:val="0B0B0B"/>
                <w:spacing w:val="-7"/>
                <w:sz w:val="18"/>
              </w:rPr>
              <w:t> </w:t>
            </w:r>
            <w:r>
              <w:rPr>
                <w:color w:val="0B0B0B"/>
                <w:spacing w:val="-2"/>
                <w:sz w:val="18"/>
              </w:rPr>
              <w:t>fijo.</w:t>
            </w:r>
          </w:p>
          <w:p>
            <w:pPr>
              <w:pStyle w:val="TableParagraph"/>
              <w:tabs>
                <w:tab w:pos="1972" w:val="left" w:leader="none"/>
              </w:tabs>
              <w:spacing w:line="273" w:lineRule="auto" w:before="129"/>
              <w:ind w:left="1972" w:right="64" w:hanging="1008"/>
              <w:rPr>
                <w:sz w:val="18"/>
              </w:rPr>
            </w:pPr>
            <w:r>
              <w:rPr>
                <w:rFonts w:ascii="Arial" w:hAnsi="Arial"/>
                <w:b/>
                <w:color w:val="0B0B0B"/>
                <w:spacing w:val="-2"/>
                <w:sz w:val="18"/>
              </w:rPr>
              <w:t>3/ISR/PI</w:t>
            </w:r>
            <w:r>
              <w:rPr>
                <w:rFonts w:ascii="Arial" w:hAnsi="Arial"/>
                <w:b/>
                <w:color w:val="0B0B0B"/>
                <w:sz w:val="18"/>
              </w:rPr>
              <w:tab/>
            </w:r>
            <w:r>
              <w:rPr>
                <w:color w:val="0B0B0B"/>
                <w:sz w:val="18"/>
              </w:rPr>
              <w:t>Reservas para fondos de pensiones o jubilaciones.</w:t>
            </w:r>
            <w:r>
              <w:rPr>
                <w:color w:val="0B0B0B"/>
                <w:sz w:val="18"/>
              </w:rPr>
              <w:t> No son deducibles los intereses</w:t>
            </w:r>
            <w:r>
              <w:rPr>
                <w:color w:val="0B0B0B"/>
                <w:spacing w:val="40"/>
                <w:sz w:val="18"/>
              </w:rPr>
              <w:t> </w:t>
            </w:r>
            <w:r>
              <w:rPr>
                <w:color w:val="0B0B0B"/>
                <w:sz w:val="18"/>
              </w:rPr>
              <w:t>derivados de la inversión o reinversión de los fondos.</w:t>
            </w:r>
          </w:p>
          <w:p>
            <w:pPr>
              <w:pStyle w:val="TableParagraph"/>
              <w:tabs>
                <w:tab w:pos="1972" w:val="left" w:leader="none"/>
              </w:tabs>
              <w:spacing w:line="273" w:lineRule="auto" w:before="100"/>
              <w:ind w:left="1972" w:right="64" w:hanging="1008"/>
              <w:rPr>
                <w:sz w:val="18"/>
              </w:rPr>
            </w:pPr>
            <w:r>
              <w:rPr>
                <w:rFonts w:ascii="Arial" w:hAnsi="Arial"/>
                <w:b/>
                <w:color w:val="0B0B0B"/>
                <w:spacing w:val="-2"/>
                <w:sz w:val="18"/>
              </w:rPr>
              <w:t>4/ISR/PI</w:t>
            </w:r>
            <w:r>
              <w:rPr>
                <w:rFonts w:ascii="Arial" w:hAnsi="Arial"/>
                <w:b/>
                <w:color w:val="0B0B0B"/>
                <w:sz w:val="18"/>
              </w:rPr>
              <w:tab/>
            </w:r>
            <w:r>
              <w:rPr>
                <w:color w:val="0B0B0B"/>
                <w:sz w:val="18"/>
              </w:rPr>
              <w:t>Regalías por activos intangibles originados en México, pagadas a partes relacionadas residentes en el extranjero.</w:t>
            </w:r>
          </w:p>
          <w:p>
            <w:pPr>
              <w:pStyle w:val="TableParagraph"/>
              <w:tabs>
                <w:tab w:pos="1972" w:val="left" w:leader="none"/>
              </w:tabs>
              <w:spacing w:before="102"/>
              <w:ind w:left="964"/>
              <w:rPr>
                <w:sz w:val="18"/>
              </w:rPr>
            </w:pPr>
            <w:r>
              <w:rPr>
                <w:rFonts w:ascii="Arial"/>
                <w:b/>
                <w:color w:val="0B0B0B"/>
                <w:spacing w:val="-2"/>
                <w:sz w:val="18"/>
              </w:rPr>
              <w:t>5/ISR/PI</w:t>
            </w:r>
            <w:r>
              <w:rPr>
                <w:rFonts w:ascii="Arial"/>
                <w:b/>
                <w:color w:val="0B0B0B"/>
                <w:sz w:val="18"/>
              </w:rPr>
              <w:tab/>
            </w:r>
            <w:r>
              <w:rPr>
                <w:color w:val="0B0B0B"/>
                <w:sz w:val="18"/>
              </w:rPr>
              <w:t>Instituciones</w:t>
            </w:r>
            <w:r>
              <w:rPr>
                <w:color w:val="0B0B0B"/>
                <w:spacing w:val="-4"/>
                <w:sz w:val="18"/>
              </w:rPr>
              <w:t> </w:t>
            </w:r>
            <w:r>
              <w:rPr>
                <w:color w:val="0B0B0B"/>
                <w:sz w:val="18"/>
              </w:rPr>
              <w:t>de</w:t>
            </w:r>
            <w:r>
              <w:rPr>
                <w:color w:val="0B0B0B"/>
                <w:spacing w:val="-4"/>
                <w:sz w:val="18"/>
              </w:rPr>
              <w:t> </w:t>
            </w:r>
            <w:r>
              <w:rPr>
                <w:color w:val="0B0B0B"/>
                <w:sz w:val="18"/>
              </w:rPr>
              <w:t>fianzas.</w:t>
            </w:r>
            <w:r>
              <w:rPr>
                <w:color w:val="0B0B0B"/>
                <w:spacing w:val="-4"/>
                <w:sz w:val="18"/>
              </w:rPr>
              <w:t> </w:t>
            </w:r>
            <w:r>
              <w:rPr>
                <w:color w:val="0B0B0B"/>
                <w:sz w:val="18"/>
              </w:rPr>
              <w:t>Pagos</w:t>
            </w:r>
            <w:r>
              <w:rPr>
                <w:color w:val="0B0B0B"/>
                <w:spacing w:val="-4"/>
                <w:sz w:val="18"/>
              </w:rPr>
              <w:t> </w:t>
            </w:r>
            <w:r>
              <w:rPr>
                <w:color w:val="0B0B0B"/>
                <w:sz w:val="18"/>
              </w:rPr>
              <w:t>por</w:t>
            </w:r>
            <w:r>
              <w:rPr>
                <w:color w:val="0B0B0B"/>
                <w:spacing w:val="-4"/>
                <w:sz w:val="18"/>
              </w:rPr>
              <w:t> </w:t>
            </w:r>
            <w:r>
              <w:rPr>
                <w:color w:val="0B0B0B"/>
                <w:spacing w:val="-2"/>
                <w:sz w:val="18"/>
              </w:rPr>
              <w:t>reclamaciones.</w:t>
            </w:r>
          </w:p>
          <w:p>
            <w:pPr>
              <w:pStyle w:val="TableParagraph"/>
              <w:spacing w:line="273" w:lineRule="auto" w:before="130"/>
              <w:ind w:left="1972" w:right="62" w:hanging="1008"/>
              <w:jc w:val="both"/>
              <w:rPr>
                <w:sz w:val="18"/>
              </w:rPr>
            </w:pPr>
            <w:r>
              <w:rPr>
                <w:rFonts w:ascii="Arial" w:hAnsi="Arial"/>
                <w:b/>
                <w:color w:val="0B0B0B"/>
                <w:sz w:val="18"/>
              </w:rPr>
              <w:t>6/ISR/PI</w:t>
            </w:r>
            <w:r>
              <w:rPr>
                <w:rFonts w:ascii="Arial" w:hAnsi="Arial"/>
                <w:b/>
                <w:color w:val="0B0B0B"/>
                <w:spacing w:val="80"/>
                <w:w w:val="150"/>
                <w:sz w:val="18"/>
              </w:rPr>
              <w:t> </w:t>
            </w:r>
            <w:r>
              <w:rPr>
                <w:color w:val="0B0B0B"/>
                <w:sz w:val="18"/>
              </w:rPr>
              <w:t>Gastos a favor de tercero. No son deducibles aquellos que se realicen a favor de personas con las cuales no se tenga una relación laboral ni presten servicios </w:t>
            </w:r>
            <w:r>
              <w:rPr>
                <w:color w:val="0B0B0B"/>
                <w:spacing w:val="-2"/>
                <w:sz w:val="18"/>
              </w:rPr>
              <w:t>profesionales.</w:t>
            </w:r>
          </w:p>
          <w:p>
            <w:pPr>
              <w:pStyle w:val="TableParagraph"/>
              <w:spacing w:before="101"/>
              <w:ind w:left="964"/>
              <w:jc w:val="both"/>
              <w:rPr>
                <w:sz w:val="18"/>
              </w:rPr>
            </w:pPr>
            <w:r>
              <w:rPr>
                <w:rFonts w:ascii="Arial" w:hAnsi="Arial"/>
                <w:b/>
                <w:color w:val="0B0B0B"/>
                <w:sz w:val="18"/>
              </w:rPr>
              <w:t>7/ISR/PI</w:t>
            </w:r>
            <w:r>
              <w:rPr>
                <w:rFonts w:ascii="Arial" w:hAnsi="Arial"/>
                <w:b/>
                <w:color w:val="0B0B0B"/>
                <w:spacing w:val="78"/>
                <w:w w:val="150"/>
                <w:sz w:val="18"/>
              </w:rPr>
              <w:t>  </w:t>
            </w:r>
            <w:r>
              <w:rPr>
                <w:color w:val="0B0B0B"/>
                <w:sz w:val="18"/>
              </w:rPr>
              <w:t>Deducción</w:t>
            </w:r>
            <w:r>
              <w:rPr>
                <w:color w:val="0B0B0B"/>
                <w:spacing w:val="-4"/>
                <w:sz w:val="18"/>
              </w:rPr>
              <w:t> </w:t>
            </w:r>
            <w:r>
              <w:rPr>
                <w:color w:val="0B0B0B"/>
                <w:sz w:val="18"/>
              </w:rPr>
              <w:t>de</w:t>
            </w:r>
            <w:r>
              <w:rPr>
                <w:color w:val="0B0B0B"/>
                <w:spacing w:val="-5"/>
                <w:sz w:val="18"/>
              </w:rPr>
              <w:t> </w:t>
            </w:r>
            <w:r>
              <w:rPr>
                <w:color w:val="0B0B0B"/>
                <w:sz w:val="18"/>
              </w:rPr>
              <w:t>inversiones</w:t>
            </w:r>
            <w:r>
              <w:rPr>
                <w:color w:val="0B0B0B"/>
                <w:spacing w:val="-4"/>
                <w:sz w:val="18"/>
              </w:rPr>
              <w:t> </w:t>
            </w:r>
            <w:r>
              <w:rPr>
                <w:color w:val="0B0B0B"/>
                <w:sz w:val="18"/>
              </w:rPr>
              <w:t>tratándose</w:t>
            </w:r>
            <w:r>
              <w:rPr>
                <w:color w:val="0B0B0B"/>
                <w:spacing w:val="-5"/>
                <w:sz w:val="18"/>
              </w:rPr>
              <w:t> </w:t>
            </w:r>
            <w:r>
              <w:rPr>
                <w:color w:val="0B0B0B"/>
                <w:sz w:val="18"/>
              </w:rPr>
              <w:t>de</w:t>
            </w:r>
            <w:r>
              <w:rPr>
                <w:color w:val="0B0B0B"/>
                <w:spacing w:val="-5"/>
                <w:sz w:val="18"/>
              </w:rPr>
              <w:t> </w:t>
            </w:r>
            <w:r>
              <w:rPr>
                <w:color w:val="0B0B0B"/>
                <w:sz w:val="18"/>
              </w:rPr>
              <w:t>activos</w:t>
            </w:r>
            <w:r>
              <w:rPr>
                <w:color w:val="0B0B0B"/>
                <w:spacing w:val="-4"/>
                <w:sz w:val="18"/>
              </w:rPr>
              <w:t> </w:t>
            </w:r>
            <w:r>
              <w:rPr>
                <w:color w:val="0B0B0B"/>
                <w:spacing w:val="-2"/>
                <w:sz w:val="18"/>
              </w:rPr>
              <w:t>fijos.</w:t>
            </w:r>
          </w:p>
          <w:p>
            <w:pPr>
              <w:pStyle w:val="TableParagraph"/>
              <w:spacing w:before="130"/>
              <w:ind w:left="964"/>
              <w:jc w:val="both"/>
              <w:rPr>
                <w:sz w:val="18"/>
              </w:rPr>
            </w:pPr>
            <w:r>
              <w:rPr>
                <w:rFonts w:ascii="Arial" w:hAnsi="Arial"/>
                <w:b/>
                <w:color w:val="0B0B0B"/>
                <w:sz w:val="18"/>
              </w:rPr>
              <w:t>8/ISR/PI</w:t>
            </w:r>
            <w:r>
              <w:rPr>
                <w:rFonts w:ascii="Arial" w:hAnsi="Arial"/>
                <w:b/>
                <w:color w:val="0B0B0B"/>
                <w:spacing w:val="76"/>
                <w:w w:val="150"/>
                <w:sz w:val="18"/>
              </w:rPr>
              <w:t>  </w:t>
            </w:r>
            <w:r>
              <w:rPr>
                <w:color w:val="0B0B0B"/>
                <w:sz w:val="18"/>
              </w:rPr>
              <w:t>Instituciones</w:t>
            </w:r>
            <w:r>
              <w:rPr>
                <w:color w:val="0B0B0B"/>
                <w:spacing w:val="-4"/>
                <w:sz w:val="18"/>
              </w:rPr>
              <w:t> </w:t>
            </w:r>
            <w:r>
              <w:rPr>
                <w:color w:val="0B0B0B"/>
                <w:sz w:val="18"/>
              </w:rPr>
              <w:t>del</w:t>
            </w:r>
            <w:r>
              <w:rPr>
                <w:color w:val="0B0B0B"/>
                <w:spacing w:val="-5"/>
                <w:sz w:val="18"/>
              </w:rPr>
              <w:t> </w:t>
            </w:r>
            <w:r>
              <w:rPr>
                <w:color w:val="0B0B0B"/>
                <w:sz w:val="18"/>
              </w:rPr>
              <w:t>sistema</w:t>
            </w:r>
            <w:r>
              <w:rPr>
                <w:color w:val="0B0B0B"/>
                <w:spacing w:val="-5"/>
                <w:sz w:val="18"/>
              </w:rPr>
              <w:t> </w:t>
            </w:r>
            <w:r>
              <w:rPr>
                <w:color w:val="0B0B0B"/>
                <w:sz w:val="18"/>
              </w:rPr>
              <w:t>financiero.</w:t>
            </w:r>
            <w:r>
              <w:rPr>
                <w:color w:val="0B0B0B"/>
                <w:spacing w:val="-3"/>
                <w:sz w:val="18"/>
              </w:rPr>
              <w:t> </w:t>
            </w:r>
            <w:r>
              <w:rPr>
                <w:color w:val="0B0B0B"/>
                <w:sz w:val="18"/>
              </w:rPr>
              <w:t>Retención</w:t>
            </w:r>
            <w:r>
              <w:rPr>
                <w:color w:val="0B0B0B"/>
                <w:spacing w:val="-5"/>
                <w:sz w:val="18"/>
              </w:rPr>
              <w:t> </w:t>
            </w:r>
            <w:r>
              <w:rPr>
                <w:color w:val="0B0B0B"/>
                <w:sz w:val="18"/>
              </w:rPr>
              <w:t>del</w:t>
            </w:r>
            <w:r>
              <w:rPr>
                <w:color w:val="0B0B0B"/>
                <w:spacing w:val="-5"/>
                <w:sz w:val="18"/>
              </w:rPr>
              <w:t> </w:t>
            </w:r>
            <w:r>
              <w:rPr>
                <w:color w:val="0B0B0B"/>
                <w:sz w:val="18"/>
              </w:rPr>
              <w:t>ISR</w:t>
            </w:r>
            <w:r>
              <w:rPr>
                <w:color w:val="0B0B0B"/>
                <w:spacing w:val="-5"/>
                <w:sz w:val="18"/>
              </w:rPr>
              <w:t> </w:t>
            </w:r>
            <w:r>
              <w:rPr>
                <w:color w:val="0B0B0B"/>
                <w:sz w:val="18"/>
              </w:rPr>
              <w:t>por</w:t>
            </w:r>
            <w:r>
              <w:rPr>
                <w:color w:val="0B0B0B"/>
                <w:spacing w:val="-4"/>
                <w:sz w:val="18"/>
              </w:rPr>
              <w:t> </w:t>
            </w:r>
            <w:r>
              <w:rPr>
                <w:color w:val="0B0B0B"/>
                <w:spacing w:val="-2"/>
                <w:sz w:val="18"/>
              </w:rPr>
              <w:t>intereses.</w:t>
            </w:r>
          </w:p>
          <w:p>
            <w:pPr>
              <w:pStyle w:val="TableParagraph"/>
              <w:spacing w:before="124"/>
              <w:ind w:left="964"/>
              <w:jc w:val="both"/>
              <w:rPr>
                <w:sz w:val="18"/>
              </w:rPr>
            </w:pPr>
            <w:r>
              <w:rPr>
                <w:rFonts w:ascii="Arial" w:hAnsi="Arial"/>
                <w:b/>
                <w:color w:val="0B0B0B"/>
                <w:sz w:val="18"/>
              </w:rPr>
              <w:t>9/ISR/PI</w:t>
            </w:r>
            <w:r>
              <w:rPr>
                <w:rFonts w:ascii="Arial" w:hAnsi="Arial"/>
                <w:b/>
                <w:color w:val="0B0B0B"/>
                <w:spacing w:val="79"/>
                <w:w w:val="150"/>
                <w:sz w:val="18"/>
              </w:rPr>
              <w:t>  </w:t>
            </w:r>
            <w:r>
              <w:rPr>
                <w:color w:val="0B0B0B"/>
                <w:sz w:val="18"/>
              </w:rPr>
              <w:t>Desincorporación</w:t>
            </w:r>
            <w:r>
              <w:rPr>
                <w:color w:val="0B0B0B"/>
                <w:spacing w:val="-3"/>
                <w:sz w:val="18"/>
              </w:rPr>
              <w:t> </w:t>
            </w:r>
            <w:r>
              <w:rPr>
                <w:color w:val="0B0B0B"/>
                <w:sz w:val="18"/>
              </w:rPr>
              <w:t>de</w:t>
            </w:r>
            <w:r>
              <w:rPr>
                <w:color w:val="0B0B0B"/>
                <w:spacing w:val="-4"/>
                <w:sz w:val="18"/>
              </w:rPr>
              <w:t> </w:t>
            </w:r>
            <w:r>
              <w:rPr>
                <w:color w:val="0B0B0B"/>
                <w:sz w:val="18"/>
              </w:rPr>
              <w:t>sociedades</w:t>
            </w:r>
            <w:r>
              <w:rPr>
                <w:color w:val="0B0B0B"/>
                <w:spacing w:val="-4"/>
                <w:sz w:val="18"/>
              </w:rPr>
              <w:t> </w:t>
            </w:r>
            <w:r>
              <w:rPr>
                <w:color w:val="0B0B0B"/>
                <w:spacing w:val="-2"/>
                <w:sz w:val="18"/>
              </w:rPr>
              <w:t>controladas.</w:t>
            </w:r>
          </w:p>
          <w:p>
            <w:pPr>
              <w:pStyle w:val="TableParagraph"/>
              <w:spacing w:line="266" w:lineRule="auto" w:before="125"/>
              <w:ind w:left="1972" w:right="61" w:hanging="1008"/>
              <w:jc w:val="both"/>
              <w:rPr>
                <w:sz w:val="18"/>
              </w:rPr>
            </w:pPr>
            <w:r>
              <w:rPr>
                <w:rFonts w:ascii="Arial" w:hAnsi="Arial"/>
                <w:b/>
                <w:color w:val="0B0B0B"/>
                <w:sz w:val="18"/>
              </w:rPr>
              <w:t>10/ISR/PI</w:t>
            </w:r>
            <w:r>
              <w:rPr>
                <w:rFonts w:ascii="Arial" w:hAnsi="Arial"/>
                <w:b/>
                <w:color w:val="0B0B0B"/>
                <w:spacing w:val="40"/>
                <w:sz w:val="18"/>
              </w:rPr>
              <w:t> </w:t>
            </w:r>
            <w:r>
              <w:rPr>
                <w:color w:val="0B0B0B"/>
                <w:sz w:val="18"/>
              </w:rPr>
              <w:t>Rendimientos de bienes entregados en fideicomiso, que únicamente se destinen a financiar la educación.</w:t>
            </w:r>
          </w:p>
          <w:p>
            <w:pPr>
              <w:pStyle w:val="TableParagraph"/>
              <w:spacing w:before="111"/>
              <w:ind w:left="964"/>
              <w:jc w:val="both"/>
              <w:rPr>
                <w:sz w:val="18"/>
              </w:rPr>
            </w:pPr>
            <w:r>
              <w:rPr>
                <w:rFonts w:ascii="Arial"/>
                <w:b/>
                <w:color w:val="0B0B0B"/>
                <w:sz w:val="18"/>
              </w:rPr>
              <w:t>11/ISR/PI</w:t>
            </w:r>
            <w:r>
              <w:rPr>
                <w:rFonts w:ascii="Arial"/>
                <w:b/>
                <w:color w:val="0B0B0B"/>
                <w:spacing w:val="54"/>
                <w:sz w:val="18"/>
              </w:rPr>
              <w:t>  </w:t>
            </w:r>
            <w:r>
              <w:rPr>
                <w:color w:val="0B0B0B"/>
                <w:sz w:val="18"/>
              </w:rPr>
              <w:t>Indemnizaciones</w:t>
            </w:r>
            <w:r>
              <w:rPr>
                <w:color w:val="0B0B0B"/>
                <w:spacing w:val="-4"/>
                <w:sz w:val="18"/>
              </w:rPr>
              <w:t> </w:t>
            </w:r>
            <w:r>
              <w:rPr>
                <w:color w:val="0B0B0B"/>
                <w:sz w:val="18"/>
              </w:rPr>
              <w:t>por</w:t>
            </w:r>
            <w:r>
              <w:rPr>
                <w:color w:val="0B0B0B"/>
                <w:spacing w:val="-6"/>
                <w:sz w:val="18"/>
              </w:rPr>
              <w:t> </w:t>
            </w:r>
            <w:r>
              <w:rPr>
                <w:color w:val="0B0B0B"/>
                <w:sz w:val="18"/>
              </w:rPr>
              <w:t>riesgos</w:t>
            </w:r>
            <w:r>
              <w:rPr>
                <w:color w:val="0B0B0B"/>
                <w:spacing w:val="-5"/>
                <w:sz w:val="18"/>
              </w:rPr>
              <w:t> </w:t>
            </w:r>
            <w:r>
              <w:rPr>
                <w:color w:val="0B0B0B"/>
                <w:sz w:val="18"/>
              </w:rPr>
              <w:t>de</w:t>
            </w:r>
            <w:r>
              <w:rPr>
                <w:color w:val="0B0B0B"/>
                <w:spacing w:val="-6"/>
                <w:sz w:val="18"/>
              </w:rPr>
              <w:t> </w:t>
            </w:r>
            <w:r>
              <w:rPr>
                <w:color w:val="0B0B0B"/>
                <w:sz w:val="18"/>
              </w:rPr>
              <w:t>trabajo</w:t>
            </w:r>
            <w:r>
              <w:rPr>
                <w:color w:val="0B0B0B"/>
                <w:spacing w:val="-5"/>
                <w:sz w:val="18"/>
              </w:rPr>
              <w:t> </w:t>
            </w:r>
            <w:r>
              <w:rPr>
                <w:color w:val="0B0B0B"/>
                <w:sz w:val="18"/>
              </w:rPr>
              <w:t>o</w:t>
            </w:r>
            <w:r>
              <w:rPr>
                <w:color w:val="0B0B0B"/>
                <w:spacing w:val="-6"/>
                <w:sz w:val="18"/>
              </w:rPr>
              <w:t> </w:t>
            </w:r>
            <w:r>
              <w:rPr>
                <w:color w:val="0B0B0B"/>
                <w:spacing w:val="-2"/>
                <w:sz w:val="18"/>
              </w:rPr>
              <w:t>enfermedades.</w:t>
            </w:r>
          </w:p>
          <w:p>
            <w:pPr>
              <w:pStyle w:val="TableParagraph"/>
              <w:spacing w:before="134"/>
              <w:ind w:left="964"/>
              <w:jc w:val="both"/>
              <w:rPr>
                <w:sz w:val="18"/>
              </w:rPr>
            </w:pPr>
            <w:r>
              <w:rPr>
                <w:rFonts w:ascii="Arial" w:hAnsi="Arial"/>
                <w:b/>
                <w:color w:val="0B0B0B"/>
                <w:sz w:val="18"/>
              </w:rPr>
              <w:t>12/ISR/PI</w:t>
            </w:r>
            <w:r>
              <w:rPr>
                <w:rFonts w:ascii="Arial" w:hAnsi="Arial"/>
                <w:b/>
                <w:color w:val="0B0B0B"/>
                <w:spacing w:val="54"/>
                <w:sz w:val="18"/>
              </w:rPr>
              <w:t>  </w:t>
            </w:r>
            <w:r>
              <w:rPr>
                <w:color w:val="0B0B0B"/>
                <w:sz w:val="18"/>
              </w:rPr>
              <w:t>Enajenación</w:t>
            </w:r>
            <w:r>
              <w:rPr>
                <w:color w:val="0B0B0B"/>
                <w:spacing w:val="-5"/>
                <w:sz w:val="18"/>
              </w:rPr>
              <w:t> </w:t>
            </w:r>
            <w:r>
              <w:rPr>
                <w:color w:val="0B0B0B"/>
                <w:sz w:val="18"/>
              </w:rPr>
              <w:t>de</w:t>
            </w:r>
            <w:r>
              <w:rPr>
                <w:color w:val="0B0B0B"/>
                <w:spacing w:val="-7"/>
                <w:sz w:val="18"/>
              </w:rPr>
              <w:t> </w:t>
            </w:r>
            <w:r>
              <w:rPr>
                <w:color w:val="0B0B0B"/>
                <w:sz w:val="18"/>
              </w:rPr>
              <w:t>certificados</w:t>
            </w:r>
            <w:r>
              <w:rPr>
                <w:color w:val="0B0B0B"/>
                <w:spacing w:val="-6"/>
                <w:sz w:val="18"/>
              </w:rPr>
              <w:t> </w:t>
            </w:r>
            <w:r>
              <w:rPr>
                <w:color w:val="0B0B0B"/>
                <w:spacing w:val="-2"/>
                <w:sz w:val="18"/>
              </w:rPr>
              <w:t>inmobiliarios.</w:t>
            </w:r>
          </w:p>
          <w:p>
            <w:pPr>
              <w:pStyle w:val="TableParagraph"/>
              <w:spacing w:line="266" w:lineRule="auto" w:before="124"/>
              <w:ind w:left="1972" w:right="62" w:hanging="1008"/>
              <w:jc w:val="both"/>
              <w:rPr>
                <w:sz w:val="18"/>
              </w:rPr>
            </w:pPr>
            <w:r>
              <w:rPr>
                <w:rFonts w:ascii="Arial" w:hAnsi="Arial"/>
                <w:b/>
                <w:color w:val="0B0B0B"/>
                <w:sz w:val="18"/>
              </w:rPr>
              <w:t>13/ISR/PI</w:t>
            </w:r>
            <w:r>
              <w:rPr>
                <w:rFonts w:ascii="Arial" w:hAnsi="Arial"/>
                <w:b/>
                <w:color w:val="0B0B0B"/>
                <w:spacing w:val="80"/>
                <w:w w:val="150"/>
                <w:sz w:val="18"/>
              </w:rPr>
              <w:t> </w:t>
            </w:r>
            <w:r>
              <w:rPr>
                <w:color w:val="0B0B0B"/>
                <w:sz w:val="18"/>
              </w:rPr>
              <w:t>Aplicación de los artículos de los tratados para evitar la doble tributación que México tiene en vigor, relativos a la imposición sobre sucursales.</w:t>
            </w:r>
          </w:p>
          <w:p>
            <w:pPr>
              <w:pStyle w:val="TableParagraph"/>
              <w:spacing w:before="102"/>
              <w:ind w:left="964"/>
              <w:jc w:val="both"/>
              <w:rPr>
                <w:sz w:val="18"/>
              </w:rPr>
            </w:pPr>
            <w:r>
              <w:rPr>
                <w:rFonts w:ascii="Arial" w:hAnsi="Arial"/>
                <w:b/>
                <w:color w:val="0B0B0B"/>
                <w:sz w:val="18"/>
              </w:rPr>
              <w:t>14/ISR/PI</w:t>
            </w:r>
            <w:r>
              <w:rPr>
                <w:rFonts w:ascii="Arial" w:hAnsi="Arial"/>
                <w:b/>
                <w:color w:val="0B0B0B"/>
                <w:spacing w:val="51"/>
                <w:sz w:val="18"/>
              </w:rPr>
              <w:t>  </w:t>
            </w:r>
            <w:r>
              <w:rPr>
                <w:color w:val="0B0B0B"/>
                <w:sz w:val="18"/>
              </w:rPr>
              <w:t>Sociedades</w:t>
            </w:r>
            <w:r>
              <w:rPr>
                <w:color w:val="0B0B0B"/>
                <w:spacing w:val="-8"/>
                <w:sz w:val="18"/>
              </w:rPr>
              <w:t> </w:t>
            </w:r>
            <w:r>
              <w:rPr>
                <w:color w:val="0B0B0B"/>
                <w:sz w:val="18"/>
              </w:rPr>
              <w:t>cooperativas.</w:t>
            </w:r>
            <w:r>
              <w:rPr>
                <w:color w:val="0B0B0B"/>
                <w:spacing w:val="-8"/>
                <w:sz w:val="18"/>
              </w:rPr>
              <w:t> </w:t>
            </w:r>
            <w:r>
              <w:rPr>
                <w:color w:val="0B0B0B"/>
                <w:sz w:val="18"/>
              </w:rPr>
              <w:t>Salarios</w:t>
            </w:r>
            <w:r>
              <w:rPr>
                <w:color w:val="0B0B0B"/>
                <w:spacing w:val="-6"/>
                <w:sz w:val="18"/>
              </w:rPr>
              <w:t> </w:t>
            </w:r>
            <w:r>
              <w:rPr>
                <w:color w:val="0B0B0B"/>
                <w:sz w:val="18"/>
              </w:rPr>
              <w:t>y</w:t>
            </w:r>
            <w:r>
              <w:rPr>
                <w:color w:val="0B0B0B"/>
                <w:spacing w:val="-8"/>
                <w:sz w:val="18"/>
              </w:rPr>
              <w:t> </w:t>
            </w:r>
            <w:r>
              <w:rPr>
                <w:color w:val="0B0B0B"/>
                <w:sz w:val="18"/>
              </w:rPr>
              <w:t>previsión</w:t>
            </w:r>
            <w:r>
              <w:rPr>
                <w:color w:val="0B0B0B"/>
                <w:spacing w:val="-8"/>
                <w:sz w:val="18"/>
              </w:rPr>
              <w:t> </w:t>
            </w:r>
            <w:r>
              <w:rPr>
                <w:color w:val="0B0B0B"/>
                <w:spacing w:val="-2"/>
                <w:sz w:val="18"/>
              </w:rPr>
              <w:t>social.</w:t>
            </w:r>
          </w:p>
          <w:p>
            <w:pPr>
              <w:pStyle w:val="TableParagraph"/>
              <w:tabs>
                <w:tab w:pos="1972" w:val="left" w:leader="none"/>
              </w:tabs>
              <w:spacing w:line="266" w:lineRule="auto" w:before="124"/>
              <w:ind w:left="1972" w:right="64" w:hanging="1008"/>
              <w:rPr>
                <w:sz w:val="18"/>
              </w:rPr>
            </w:pPr>
            <w:r>
              <w:rPr>
                <w:rFonts w:ascii="Arial" w:hAnsi="Arial"/>
                <w:b/>
                <w:color w:val="0B0B0B"/>
                <w:spacing w:val="-2"/>
                <w:sz w:val="18"/>
              </w:rPr>
              <w:t>15/ISR/PI</w:t>
            </w:r>
            <w:r>
              <w:rPr>
                <w:rFonts w:ascii="Arial" w:hAnsi="Arial"/>
                <w:b/>
                <w:color w:val="0B0B0B"/>
                <w:sz w:val="18"/>
              </w:rPr>
              <w:tab/>
            </w:r>
            <w:r>
              <w:rPr>
                <w:color w:val="0B0B0B"/>
                <w:sz w:val="18"/>
              </w:rPr>
              <w:t>Indebida deducción de pérdidas por la enajenación de la nuda propiedad de bienes</w:t>
            </w:r>
            <w:r>
              <w:rPr>
                <w:color w:val="0B0B0B"/>
                <w:spacing w:val="80"/>
                <w:sz w:val="18"/>
              </w:rPr>
              <w:t> </w:t>
            </w:r>
            <w:r>
              <w:rPr>
                <w:color w:val="0B0B0B"/>
                <w:sz w:val="18"/>
              </w:rPr>
              <w:t>otorgados en usufructo.</w:t>
            </w:r>
          </w:p>
          <w:p>
            <w:pPr>
              <w:pStyle w:val="TableParagraph"/>
              <w:tabs>
                <w:tab w:pos="1972" w:val="left" w:leader="none"/>
              </w:tabs>
              <w:spacing w:line="266" w:lineRule="auto" w:before="102"/>
              <w:ind w:left="1972" w:right="64" w:hanging="1008"/>
              <w:rPr>
                <w:sz w:val="18"/>
              </w:rPr>
            </w:pPr>
            <w:r>
              <w:rPr>
                <w:rFonts w:ascii="Arial" w:hAnsi="Arial"/>
                <w:b/>
                <w:color w:val="0B0B0B"/>
                <w:spacing w:val="-2"/>
                <w:sz w:val="18"/>
              </w:rPr>
              <w:t>16/ISR/PI</w:t>
            </w:r>
            <w:r>
              <w:rPr>
                <w:rFonts w:ascii="Arial" w:hAnsi="Arial"/>
                <w:b/>
                <w:color w:val="0B0B0B"/>
                <w:sz w:val="18"/>
              </w:rPr>
              <w:tab/>
            </w:r>
            <w:r>
              <w:rPr>
                <w:color w:val="0B0B0B"/>
                <w:sz w:val="18"/>
              </w:rPr>
              <w:t>Ganancias</w:t>
            </w:r>
            <w:r>
              <w:rPr>
                <w:color w:val="0B0B0B"/>
                <w:spacing w:val="23"/>
                <w:sz w:val="18"/>
              </w:rPr>
              <w:t> </w:t>
            </w:r>
            <w:r>
              <w:rPr>
                <w:color w:val="0B0B0B"/>
                <w:sz w:val="18"/>
              </w:rPr>
              <w:t>obtenidas</w:t>
            </w:r>
            <w:r>
              <w:rPr>
                <w:color w:val="0B0B0B"/>
                <w:spacing w:val="23"/>
                <w:sz w:val="18"/>
              </w:rPr>
              <w:t> </w:t>
            </w:r>
            <w:r>
              <w:rPr>
                <w:color w:val="0B0B0B"/>
                <w:sz w:val="18"/>
              </w:rPr>
              <w:t>por residentes</w:t>
            </w:r>
            <w:r>
              <w:rPr>
                <w:color w:val="0B0B0B"/>
                <w:sz w:val="18"/>
              </w:rPr>
              <w:t> en el</w:t>
            </w:r>
            <w:r>
              <w:rPr>
                <w:color w:val="0B0B0B"/>
                <w:spacing w:val="23"/>
                <w:sz w:val="18"/>
              </w:rPr>
              <w:t> </w:t>
            </w:r>
            <w:r>
              <w:rPr>
                <w:color w:val="0B0B0B"/>
                <w:sz w:val="18"/>
              </w:rPr>
              <w:t>extranjero</w:t>
            </w:r>
            <w:r>
              <w:rPr>
                <w:color w:val="0B0B0B"/>
                <w:spacing w:val="23"/>
                <w:sz w:val="18"/>
              </w:rPr>
              <w:t> </w:t>
            </w:r>
            <w:r>
              <w:rPr>
                <w:color w:val="0B0B0B"/>
                <w:sz w:val="18"/>
              </w:rPr>
              <w:t>en la enajenación</w:t>
            </w:r>
            <w:r>
              <w:rPr>
                <w:color w:val="0B0B0B"/>
                <w:spacing w:val="23"/>
                <w:sz w:val="18"/>
              </w:rPr>
              <w:t> </w:t>
            </w:r>
            <w:r>
              <w:rPr>
                <w:color w:val="0B0B0B"/>
                <w:sz w:val="18"/>
              </w:rPr>
              <w:t>de acciones </w:t>
            </w:r>
            <w:r>
              <w:rPr>
                <w:color w:val="0B0B0B"/>
                <w:spacing w:val="-2"/>
                <w:sz w:val="18"/>
              </w:rPr>
              <w:t>inmobiliarias.</w:t>
            </w:r>
          </w:p>
          <w:p>
            <w:pPr>
              <w:pStyle w:val="TableParagraph"/>
              <w:tabs>
                <w:tab w:pos="1972" w:val="left" w:leader="none"/>
              </w:tabs>
              <w:spacing w:before="101"/>
              <w:ind w:left="964"/>
              <w:rPr>
                <w:sz w:val="18"/>
              </w:rPr>
            </w:pPr>
            <w:r>
              <w:rPr>
                <w:rFonts w:ascii="Arial" w:hAnsi="Arial"/>
                <w:b/>
                <w:color w:val="0B0B0B"/>
                <w:spacing w:val="-2"/>
                <w:sz w:val="18"/>
              </w:rPr>
              <w:t>17/ISR/PI</w:t>
            </w:r>
            <w:r>
              <w:rPr>
                <w:rFonts w:ascii="Arial" w:hAnsi="Arial"/>
                <w:b/>
                <w:color w:val="0B0B0B"/>
                <w:sz w:val="18"/>
              </w:rPr>
              <w:tab/>
            </w:r>
            <w:r>
              <w:rPr>
                <w:color w:val="0B0B0B"/>
                <w:spacing w:val="-2"/>
                <w:sz w:val="18"/>
              </w:rPr>
              <w:t>Subcontratación.</w:t>
            </w:r>
            <w:r>
              <w:rPr>
                <w:color w:val="0B0B0B"/>
                <w:spacing w:val="2"/>
                <w:sz w:val="18"/>
              </w:rPr>
              <w:t> </w:t>
            </w:r>
            <w:r>
              <w:rPr>
                <w:color w:val="0B0B0B"/>
                <w:spacing w:val="-2"/>
                <w:sz w:val="18"/>
              </w:rPr>
              <w:t>Retención</w:t>
            </w:r>
            <w:r>
              <w:rPr>
                <w:color w:val="0B0B0B"/>
                <w:spacing w:val="3"/>
                <w:sz w:val="18"/>
              </w:rPr>
              <w:t> </w:t>
            </w:r>
            <w:r>
              <w:rPr>
                <w:color w:val="0B0B0B"/>
                <w:spacing w:val="-2"/>
                <w:sz w:val="18"/>
              </w:rPr>
              <w:t>de</w:t>
            </w:r>
            <w:r>
              <w:rPr>
                <w:color w:val="0B0B0B"/>
                <w:spacing w:val="3"/>
                <w:sz w:val="18"/>
              </w:rPr>
              <w:t> </w:t>
            </w:r>
            <w:r>
              <w:rPr>
                <w:color w:val="0B0B0B"/>
                <w:spacing w:val="-2"/>
                <w:sz w:val="18"/>
              </w:rPr>
              <w:t>salarios.</w:t>
            </w:r>
          </w:p>
        </w:tc>
      </w:tr>
    </w:tbl>
    <w:p>
      <w:pPr>
        <w:pStyle w:val="TableParagraph"/>
        <w:spacing w:after="0"/>
        <w:rPr>
          <w:sz w:val="18"/>
        </w:rPr>
        <w:sectPr>
          <w:headerReference w:type="default" r:id="rId5"/>
          <w:type w:val="continuous"/>
          <w:pgSz w:w="12240" w:h="15840"/>
          <w:pgMar w:header="690" w:footer="0" w:top="1040" w:bottom="280" w:left="1440" w:right="1440"/>
          <w:pgNumType w:start="1"/>
        </w:sectPr>
      </w:pPr>
    </w:p>
    <w:p>
      <w:pPr>
        <w:pStyle w:val="BodyText"/>
        <w:spacing w:before="4"/>
        <w:ind w:left="0"/>
        <w:jc w:val="left"/>
        <w:rPr>
          <w:rFonts w:ascii="Arial"/>
          <w:b/>
          <w:sz w:val="9"/>
        </w:rPr>
      </w:pPr>
    </w:p>
    <w:tbl>
      <w:tblPr>
        <w:tblW w:w="0" w:type="auto"/>
        <w:jc w:val="left"/>
        <w:tblInd w:w="187"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13308" w:hRule="atLeast"/>
        </w:trPr>
        <w:tc>
          <w:tcPr>
            <w:tcW w:w="8986" w:type="dxa"/>
          </w:tcPr>
          <w:p>
            <w:pPr>
              <w:pStyle w:val="TableParagraph"/>
              <w:tabs>
                <w:tab w:pos="1972" w:val="left" w:leader="none"/>
              </w:tabs>
              <w:spacing w:before="14"/>
              <w:ind w:left="964"/>
              <w:rPr>
                <w:sz w:val="18"/>
              </w:rPr>
            </w:pPr>
            <w:r>
              <w:rPr>
                <w:rFonts w:ascii="Arial" w:hAnsi="Arial"/>
                <w:b/>
                <w:color w:val="0B0B0B"/>
                <w:spacing w:val="-2"/>
                <w:sz w:val="18"/>
              </w:rPr>
              <w:t>18/ISR/PI</w:t>
            </w:r>
            <w:r>
              <w:rPr>
                <w:rFonts w:ascii="Arial" w:hAnsi="Arial"/>
                <w:b/>
                <w:color w:val="0B0B0B"/>
                <w:sz w:val="18"/>
              </w:rPr>
              <w:tab/>
            </w:r>
            <w:r>
              <w:rPr>
                <w:color w:val="0B0B0B"/>
                <w:sz w:val="18"/>
              </w:rPr>
              <w:t>Simulación</w:t>
            </w:r>
            <w:r>
              <w:rPr>
                <w:color w:val="0B0B0B"/>
                <w:spacing w:val="-9"/>
                <w:sz w:val="18"/>
              </w:rPr>
              <w:t> </w:t>
            </w:r>
            <w:r>
              <w:rPr>
                <w:color w:val="0B0B0B"/>
                <w:sz w:val="18"/>
              </w:rPr>
              <w:t>de</w:t>
            </w:r>
            <w:r>
              <w:rPr>
                <w:color w:val="0B0B0B"/>
                <w:spacing w:val="-8"/>
                <w:sz w:val="18"/>
              </w:rPr>
              <w:t> </w:t>
            </w:r>
            <w:r>
              <w:rPr>
                <w:color w:val="0B0B0B"/>
                <w:spacing w:val="-2"/>
                <w:sz w:val="18"/>
              </w:rPr>
              <w:t>constancias.</w:t>
            </w:r>
          </w:p>
          <w:p>
            <w:pPr>
              <w:pStyle w:val="TableParagraph"/>
              <w:tabs>
                <w:tab w:pos="1972" w:val="left" w:leader="none"/>
              </w:tabs>
              <w:spacing w:before="124"/>
              <w:ind w:left="964"/>
              <w:rPr>
                <w:sz w:val="18"/>
              </w:rPr>
            </w:pPr>
            <w:r>
              <w:rPr>
                <w:rFonts w:ascii="Arial" w:hAnsi="Arial"/>
                <w:b/>
                <w:color w:val="0B0B0B"/>
                <w:spacing w:val="-2"/>
                <w:sz w:val="18"/>
              </w:rPr>
              <w:t>19/ISR/PI</w:t>
            </w:r>
            <w:r>
              <w:rPr>
                <w:rFonts w:ascii="Arial" w:hAnsi="Arial"/>
                <w:b/>
                <w:color w:val="0B0B0B"/>
                <w:sz w:val="18"/>
              </w:rPr>
              <w:tab/>
            </w:r>
            <w:r>
              <w:rPr>
                <w:color w:val="0B0B0B"/>
                <w:sz w:val="18"/>
              </w:rPr>
              <w:t>Deducción</w:t>
            </w:r>
            <w:r>
              <w:rPr>
                <w:color w:val="0B0B0B"/>
                <w:spacing w:val="-8"/>
                <w:sz w:val="18"/>
              </w:rPr>
              <w:t> </w:t>
            </w:r>
            <w:r>
              <w:rPr>
                <w:color w:val="0B0B0B"/>
                <w:sz w:val="18"/>
              </w:rPr>
              <w:t>de</w:t>
            </w:r>
            <w:r>
              <w:rPr>
                <w:color w:val="0B0B0B"/>
                <w:spacing w:val="-6"/>
                <w:sz w:val="18"/>
              </w:rPr>
              <w:t> </w:t>
            </w:r>
            <w:r>
              <w:rPr>
                <w:color w:val="0B0B0B"/>
                <w:sz w:val="18"/>
              </w:rPr>
              <w:t>pagos</w:t>
            </w:r>
            <w:r>
              <w:rPr>
                <w:color w:val="0B0B0B"/>
                <w:spacing w:val="-8"/>
                <w:sz w:val="18"/>
              </w:rPr>
              <w:t> </w:t>
            </w:r>
            <w:r>
              <w:rPr>
                <w:color w:val="0B0B0B"/>
                <w:sz w:val="18"/>
              </w:rPr>
              <w:t>a</w:t>
            </w:r>
            <w:r>
              <w:rPr>
                <w:color w:val="0B0B0B"/>
                <w:spacing w:val="-7"/>
                <w:sz w:val="18"/>
              </w:rPr>
              <w:t> </w:t>
            </w:r>
            <w:r>
              <w:rPr>
                <w:color w:val="0B0B0B"/>
                <w:spacing w:val="-2"/>
                <w:sz w:val="18"/>
              </w:rPr>
              <w:t>sindicatos.</w:t>
            </w:r>
          </w:p>
          <w:p>
            <w:pPr>
              <w:pStyle w:val="TableParagraph"/>
              <w:spacing w:line="254" w:lineRule="auto" w:before="118"/>
              <w:ind w:left="1972" w:right="62" w:hanging="1008"/>
              <w:jc w:val="both"/>
              <w:rPr>
                <w:sz w:val="18"/>
              </w:rPr>
            </w:pPr>
            <w:r>
              <w:rPr>
                <w:rFonts w:ascii="Arial" w:hAnsi="Arial"/>
                <w:b/>
                <w:color w:val="0B0B0B"/>
                <w:sz w:val="18"/>
              </w:rPr>
              <w:t>20/ISR/PI</w:t>
            </w:r>
            <w:r>
              <w:rPr>
                <w:rFonts w:ascii="Arial" w:hAnsi="Arial"/>
                <w:b/>
                <w:color w:val="0B0B0B"/>
                <w:spacing w:val="80"/>
                <w:sz w:val="18"/>
              </w:rPr>
              <w:t> </w:t>
            </w:r>
            <w:r>
              <w:rPr>
                <w:color w:val="0B0B0B"/>
                <w:sz w:val="18"/>
              </w:rPr>
              <w:t>Pérdidas por enajenación de acciones. Obligación de las sociedades controladoras de pagar</w:t>
            </w:r>
            <w:r>
              <w:rPr>
                <w:color w:val="0B0B0B"/>
                <w:spacing w:val="-2"/>
                <w:sz w:val="18"/>
              </w:rPr>
              <w:t> </w:t>
            </w:r>
            <w:r>
              <w:rPr>
                <w:color w:val="0B0B0B"/>
                <w:sz w:val="18"/>
              </w:rPr>
              <w:t>el</w:t>
            </w:r>
            <w:r>
              <w:rPr>
                <w:color w:val="0B0B0B"/>
                <w:spacing w:val="-2"/>
                <w:sz w:val="18"/>
              </w:rPr>
              <w:t> </w:t>
            </w:r>
            <w:r>
              <w:rPr>
                <w:color w:val="0B0B0B"/>
                <w:sz w:val="18"/>
              </w:rPr>
              <w:t>ISR</w:t>
            </w:r>
            <w:r>
              <w:rPr>
                <w:color w:val="0B0B0B"/>
                <w:spacing w:val="-1"/>
                <w:sz w:val="18"/>
              </w:rPr>
              <w:t> </w:t>
            </w:r>
            <w:r>
              <w:rPr>
                <w:color w:val="0B0B0B"/>
                <w:sz w:val="18"/>
              </w:rPr>
              <w:t>que</w:t>
            </w:r>
            <w:r>
              <w:rPr>
                <w:color w:val="0B0B0B"/>
                <w:spacing w:val="-2"/>
                <w:sz w:val="18"/>
              </w:rPr>
              <w:t> </w:t>
            </w:r>
            <w:r>
              <w:rPr>
                <w:color w:val="0B0B0B"/>
                <w:sz w:val="18"/>
              </w:rPr>
              <w:t>se</w:t>
            </w:r>
            <w:r>
              <w:rPr>
                <w:color w:val="0B0B0B"/>
                <w:spacing w:val="-2"/>
                <w:sz w:val="18"/>
              </w:rPr>
              <w:t> </w:t>
            </w:r>
            <w:r>
              <w:rPr>
                <w:color w:val="0B0B0B"/>
                <w:sz w:val="18"/>
              </w:rPr>
              <w:t>hubiere</w:t>
            </w:r>
            <w:r>
              <w:rPr>
                <w:color w:val="0B0B0B"/>
                <w:spacing w:val="-1"/>
                <w:sz w:val="18"/>
              </w:rPr>
              <w:t> </w:t>
            </w:r>
            <w:r>
              <w:rPr>
                <w:color w:val="0B0B0B"/>
                <w:sz w:val="18"/>
              </w:rPr>
              <w:t>diferido</w:t>
            </w:r>
            <w:r>
              <w:rPr>
                <w:color w:val="0B0B0B"/>
                <w:spacing w:val="-2"/>
                <w:sz w:val="18"/>
              </w:rPr>
              <w:t> </w:t>
            </w:r>
            <w:r>
              <w:rPr>
                <w:color w:val="0B0B0B"/>
                <w:sz w:val="18"/>
              </w:rPr>
              <w:t>con</w:t>
            </w:r>
            <w:r>
              <w:rPr>
                <w:color w:val="0B0B0B"/>
                <w:spacing w:val="-2"/>
                <w:sz w:val="18"/>
              </w:rPr>
              <w:t> </w:t>
            </w:r>
            <w:r>
              <w:rPr>
                <w:color w:val="0B0B0B"/>
                <w:sz w:val="18"/>
              </w:rPr>
              <w:t>motivo</w:t>
            </w:r>
            <w:r>
              <w:rPr>
                <w:color w:val="0B0B0B"/>
                <w:spacing w:val="-1"/>
                <w:sz w:val="18"/>
              </w:rPr>
              <w:t> </w:t>
            </w:r>
            <w:r>
              <w:rPr>
                <w:color w:val="0B0B0B"/>
                <w:sz w:val="18"/>
              </w:rPr>
              <w:t>de</w:t>
            </w:r>
            <w:r>
              <w:rPr>
                <w:color w:val="0B0B0B"/>
                <w:spacing w:val="-2"/>
                <w:sz w:val="18"/>
              </w:rPr>
              <w:t> </w:t>
            </w:r>
            <w:r>
              <w:rPr>
                <w:color w:val="0B0B0B"/>
                <w:sz w:val="18"/>
              </w:rPr>
              <w:t>su</w:t>
            </w:r>
            <w:r>
              <w:rPr>
                <w:color w:val="0B0B0B"/>
                <w:spacing w:val="-2"/>
                <w:sz w:val="18"/>
              </w:rPr>
              <w:t> </w:t>
            </w:r>
            <w:r>
              <w:rPr>
                <w:color w:val="0B0B0B"/>
                <w:sz w:val="18"/>
              </w:rPr>
              <w:t>disminución</w:t>
            </w:r>
            <w:r>
              <w:rPr>
                <w:color w:val="0B0B0B"/>
                <w:spacing w:val="-1"/>
                <w:sz w:val="18"/>
              </w:rPr>
              <w:t> </w:t>
            </w:r>
            <w:r>
              <w:rPr>
                <w:color w:val="0B0B0B"/>
                <w:sz w:val="18"/>
              </w:rPr>
              <w:t>en</w:t>
            </w:r>
            <w:r>
              <w:rPr>
                <w:color w:val="0B0B0B"/>
                <w:spacing w:val="-1"/>
                <w:sz w:val="18"/>
              </w:rPr>
              <w:t> </w:t>
            </w:r>
            <w:r>
              <w:rPr>
                <w:color w:val="0B0B0B"/>
                <w:sz w:val="18"/>
              </w:rPr>
              <w:t>la determinación del resultado fiscal consolidado.</w:t>
            </w:r>
          </w:p>
          <w:p>
            <w:pPr>
              <w:pStyle w:val="TableParagraph"/>
              <w:spacing w:line="256" w:lineRule="auto" w:before="102"/>
              <w:ind w:left="1972" w:right="62" w:hanging="1008"/>
              <w:jc w:val="both"/>
              <w:rPr>
                <w:sz w:val="18"/>
              </w:rPr>
            </w:pPr>
            <w:r>
              <w:rPr>
                <w:rFonts w:ascii="Arial" w:hAnsi="Arial"/>
                <w:b/>
                <w:color w:val="0B0B0B"/>
                <w:sz w:val="18"/>
              </w:rPr>
              <w:t>21/ISR/PI</w:t>
            </w:r>
            <w:r>
              <w:rPr>
                <w:rFonts w:ascii="Arial" w:hAnsi="Arial"/>
                <w:b/>
                <w:color w:val="0B0B0B"/>
                <w:spacing w:val="80"/>
                <w:sz w:val="18"/>
              </w:rPr>
              <w:t> </w:t>
            </w:r>
            <w:r>
              <w:rPr>
                <w:color w:val="0B0B0B"/>
                <w:sz w:val="18"/>
              </w:rPr>
              <w:t>Previsión social para efectos de la determinación del ISR. No puede otorgarse en efectivo o en otros medios equivalentes.</w:t>
            </w:r>
          </w:p>
          <w:p>
            <w:pPr>
              <w:pStyle w:val="TableParagraph"/>
              <w:spacing w:line="254" w:lineRule="auto" w:before="98"/>
              <w:ind w:left="1972" w:right="62" w:hanging="1008"/>
              <w:jc w:val="both"/>
              <w:rPr>
                <w:sz w:val="18"/>
              </w:rPr>
            </w:pPr>
            <w:r>
              <w:rPr>
                <w:rFonts w:ascii="Arial" w:hAnsi="Arial"/>
                <w:b/>
                <w:color w:val="0B0B0B"/>
                <w:sz w:val="18"/>
              </w:rPr>
              <w:t>22/ISR/PI</w:t>
            </w:r>
            <w:r>
              <w:rPr>
                <w:rFonts w:ascii="Arial" w:hAnsi="Arial"/>
                <w:b/>
                <w:color w:val="0B0B0B"/>
                <w:spacing w:val="80"/>
                <w:sz w:val="18"/>
              </w:rPr>
              <w:t> </w:t>
            </w:r>
            <w:r>
              <w:rPr>
                <w:color w:val="0B0B0B"/>
                <w:sz w:val="18"/>
              </w:rPr>
              <w:t>Inversiones en automóviles. No son deducibles cuando correspondan a automóviles otorgados en comodato y que no son utilizados para la realización de las actividades propias del contribuyente.</w:t>
            </w:r>
          </w:p>
          <w:p>
            <w:pPr>
              <w:pStyle w:val="TableParagraph"/>
              <w:spacing w:line="256" w:lineRule="auto" w:before="103"/>
              <w:ind w:left="1972" w:right="60" w:hanging="1008"/>
              <w:jc w:val="both"/>
              <w:rPr>
                <w:sz w:val="18"/>
              </w:rPr>
            </w:pPr>
            <w:r>
              <w:rPr>
                <w:rFonts w:ascii="Arial" w:hAnsi="Arial"/>
                <w:b/>
                <w:color w:val="0B0B0B"/>
                <w:sz w:val="18"/>
              </w:rPr>
              <w:t>23/ISR/PI</w:t>
            </w:r>
            <w:r>
              <w:rPr>
                <w:rFonts w:ascii="Arial" w:hAnsi="Arial"/>
                <w:b/>
                <w:color w:val="0B0B0B"/>
                <w:spacing w:val="80"/>
                <w:sz w:val="18"/>
              </w:rPr>
              <w:t> </w:t>
            </w:r>
            <w:r>
              <w:rPr>
                <w:color w:val="0B0B0B"/>
                <w:sz w:val="18"/>
              </w:rPr>
              <w:t>Medios de pago en gastos médicos, dentales, por servicios en materia de psicología, nutrición u hospitalarios.</w:t>
            </w:r>
          </w:p>
          <w:p>
            <w:pPr>
              <w:pStyle w:val="TableParagraph"/>
              <w:spacing w:line="254" w:lineRule="auto" w:before="98"/>
              <w:ind w:left="1972" w:right="62" w:hanging="1008"/>
              <w:jc w:val="both"/>
              <w:rPr>
                <w:sz w:val="18"/>
              </w:rPr>
            </w:pPr>
            <w:r>
              <w:rPr>
                <w:rFonts w:ascii="Arial" w:hAnsi="Arial"/>
                <w:b/>
                <w:color w:val="0B0B0B"/>
                <w:sz w:val="18"/>
              </w:rPr>
              <w:t>24/ISR/PI</w:t>
            </w:r>
            <w:r>
              <w:rPr>
                <w:rFonts w:ascii="Arial" w:hAnsi="Arial"/>
                <w:b/>
                <w:color w:val="0B0B0B"/>
                <w:spacing w:val="40"/>
                <w:sz w:val="18"/>
              </w:rPr>
              <w:t> </w:t>
            </w:r>
            <w:r>
              <w:rPr>
                <w:color w:val="0B0B0B"/>
                <w:sz w:val="18"/>
              </w:rPr>
              <w:t>Entrega de donativos a instituciones de enseñanza cuando no son onerosos,</w:t>
            </w:r>
            <w:r>
              <w:rPr>
                <w:color w:val="0B0B0B"/>
                <w:sz w:val="18"/>
              </w:rPr>
              <w:t> ni </w:t>
            </w:r>
            <w:r>
              <w:rPr>
                <w:color w:val="0B0B0B"/>
                <w:spacing w:val="-2"/>
                <w:sz w:val="18"/>
              </w:rPr>
              <w:t>remunerativos.</w:t>
            </w:r>
          </w:p>
          <w:p>
            <w:pPr>
              <w:pStyle w:val="TableParagraph"/>
              <w:spacing w:line="254" w:lineRule="auto" w:before="103"/>
              <w:ind w:left="1972" w:right="62" w:hanging="1008"/>
              <w:jc w:val="both"/>
              <w:rPr>
                <w:sz w:val="18"/>
              </w:rPr>
            </w:pPr>
            <w:r>
              <w:rPr>
                <w:rFonts w:ascii="Arial" w:hAnsi="Arial"/>
                <w:b/>
                <w:color w:val="0B0B0B"/>
                <w:sz w:val="18"/>
              </w:rPr>
              <w:t>25/ISR/PI</w:t>
            </w:r>
            <w:r>
              <w:rPr>
                <w:rFonts w:ascii="Arial" w:hAnsi="Arial"/>
                <w:b/>
                <w:color w:val="0B0B0B"/>
                <w:spacing w:val="80"/>
                <w:sz w:val="18"/>
              </w:rPr>
              <w:t> </w:t>
            </w:r>
            <w:r>
              <w:rPr>
                <w:color w:val="0B0B0B"/>
                <w:sz w:val="18"/>
              </w:rPr>
              <w:t>Costo</w:t>
            </w:r>
            <w:r>
              <w:rPr>
                <w:color w:val="0B0B0B"/>
                <w:spacing w:val="40"/>
                <w:sz w:val="18"/>
              </w:rPr>
              <w:t> </w:t>
            </w:r>
            <w:r>
              <w:rPr>
                <w:color w:val="0B0B0B"/>
                <w:sz w:val="18"/>
              </w:rPr>
              <w:t>de</w:t>
            </w:r>
            <w:r>
              <w:rPr>
                <w:color w:val="0B0B0B"/>
                <w:spacing w:val="40"/>
                <w:sz w:val="18"/>
              </w:rPr>
              <w:t> </w:t>
            </w:r>
            <w:r>
              <w:rPr>
                <w:color w:val="0B0B0B"/>
                <w:sz w:val="18"/>
              </w:rPr>
              <w:t>lo</w:t>
            </w:r>
            <w:r>
              <w:rPr>
                <w:color w:val="0B0B0B"/>
                <w:spacing w:val="40"/>
                <w:sz w:val="18"/>
              </w:rPr>
              <w:t> </w:t>
            </w:r>
            <w:r>
              <w:rPr>
                <w:color w:val="0B0B0B"/>
                <w:sz w:val="18"/>
              </w:rPr>
              <w:t>vendido.</w:t>
            </w:r>
            <w:r>
              <w:rPr>
                <w:color w:val="0B0B0B"/>
                <w:spacing w:val="40"/>
                <w:sz w:val="18"/>
              </w:rPr>
              <w:t> </w:t>
            </w:r>
            <w:r>
              <w:rPr>
                <w:color w:val="0B0B0B"/>
                <w:sz w:val="18"/>
              </w:rPr>
              <w:t>Tratándose</w:t>
            </w:r>
            <w:r>
              <w:rPr>
                <w:color w:val="0B0B0B"/>
                <w:spacing w:val="40"/>
                <w:sz w:val="18"/>
              </w:rPr>
              <w:t> </w:t>
            </w:r>
            <w:r>
              <w:rPr>
                <w:color w:val="0B0B0B"/>
                <w:sz w:val="18"/>
              </w:rPr>
              <w:t>de</w:t>
            </w:r>
            <w:r>
              <w:rPr>
                <w:color w:val="0B0B0B"/>
                <w:spacing w:val="40"/>
                <w:sz w:val="18"/>
              </w:rPr>
              <w:t> </w:t>
            </w:r>
            <w:r>
              <w:rPr>
                <w:color w:val="0B0B0B"/>
                <w:sz w:val="18"/>
              </w:rPr>
              <w:t>servicios</w:t>
            </w:r>
            <w:r>
              <w:rPr>
                <w:color w:val="0B0B0B"/>
                <w:spacing w:val="40"/>
                <w:sz w:val="18"/>
              </w:rPr>
              <w:t> </w:t>
            </w:r>
            <w:r>
              <w:rPr>
                <w:color w:val="0B0B0B"/>
                <w:sz w:val="18"/>
              </w:rPr>
              <w:t>derivados</w:t>
            </w:r>
            <w:r>
              <w:rPr>
                <w:color w:val="0B0B0B"/>
                <w:spacing w:val="40"/>
                <w:sz w:val="18"/>
              </w:rPr>
              <w:t> </w:t>
            </w:r>
            <w:r>
              <w:rPr>
                <w:color w:val="0B0B0B"/>
                <w:sz w:val="18"/>
              </w:rPr>
              <w:t>de</w:t>
            </w:r>
            <w:r>
              <w:rPr>
                <w:color w:val="0B0B0B"/>
                <w:spacing w:val="40"/>
                <w:sz w:val="18"/>
              </w:rPr>
              <w:t> </w:t>
            </w:r>
            <w:r>
              <w:rPr>
                <w:color w:val="0B0B0B"/>
                <w:sz w:val="18"/>
              </w:rPr>
              <w:t>contratos</w:t>
            </w:r>
            <w:r>
              <w:rPr>
                <w:color w:val="0B0B0B"/>
                <w:spacing w:val="40"/>
                <w:sz w:val="18"/>
              </w:rPr>
              <w:t> </w:t>
            </w:r>
            <w:r>
              <w:rPr>
                <w:color w:val="0B0B0B"/>
                <w:sz w:val="18"/>
              </w:rPr>
              <w:t>de</w:t>
            </w:r>
            <w:r>
              <w:rPr>
                <w:color w:val="0B0B0B"/>
                <w:spacing w:val="40"/>
                <w:sz w:val="18"/>
              </w:rPr>
              <w:t> </w:t>
            </w:r>
            <w:r>
              <w:rPr>
                <w:color w:val="0B0B0B"/>
                <w:sz w:val="18"/>
              </w:rPr>
              <w:t>obra inmueble, no son deducibles los costos correspondientes a ingresos no acumulados</w:t>
            </w:r>
            <w:r>
              <w:rPr>
                <w:color w:val="0B0B0B"/>
                <w:spacing w:val="40"/>
                <w:sz w:val="18"/>
              </w:rPr>
              <w:t> </w:t>
            </w:r>
            <w:r>
              <w:rPr>
                <w:color w:val="0B0B0B"/>
                <w:sz w:val="18"/>
              </w:rPr>
              <w:t>en el ejercicio.</w:t>
            </w:r>
          </w:p>
          <w:p>
            <w:pPr>
              <w:pStyle w:val="TableParagraph"/>
              <w:spacing w:line="254" w:lineRule="auto" w:before="102"/>
              <w:ind w:left="1972" w:right="59" w:hanging="1008"/>
              <w:jc w:val="both"/>
              <w:rPr>
                <w:sz w:val="18"/>
              </w:rPr>
            </w:pPr>
            <w:r>
              <w:rPr>
                <w:rFonts w:ascii="Arial" w:hAnsi="Arial"/>
                <w:b/>
                <w:color w:val="0B0B0B"/>
                <w:sz w:val="18"/>
              </w:rPr>
              <w:t>26/ISR/PI</w:t>
            </w:r>
            <w:r>
              <w:rPr>
                <w:rFonts w:ascii="Arial" w:hAnsi="Arial"/>
                <w:b/>
                <w:color w:val="0B0B0B"/>
                <w:spacing w:val="80"/>
                <w:w w:val="150"/>
                <w:sz w:val="18"/>
              </w:rPr>
              <w:t> </w:t>
            </w:r>
            <w:r>
              <w:rPr>
                <w:color w:val="0B0B0B"/>
                <w:sz w:val="18"/>
              </w:rPr>
              <w:t>Pago</w:t>
            </w:r>
            <w:r>
              <w:rPr>
                <w:color w:val="0B0B0B"/>
                <w:spacing w:val="-1"/>
                <w:sz w:val="18"/>
              </w:rPr>
              <w:t> </w:t>
            </w:r>
            <w:r>
              <w:rPr>
                <w:color w:val="0B0B0B"/>
                <w:sz w:val="18"/>
              </w:rPr>
              <w:t>de</w:t>
            </w:r>
            <w:r>
              <w:rPr>
                <w:color w:val="0B0B0B"/>
                <w:spacing w:val="-2"/>
                <w:sz w:val="18"/>
              </w:rPr>
              <w:t> </w:t>
            </w:r>
            <w:r>
              <w:rPr>
                <w:color w:val="0B0B0B"/>
                <w:sz w:val="18"/>
              </w:rPr>
              <w:t>sueldos,</w:t>
            </w:r>
            <w:r>
              <w:rPr>
                <w:color w:val="0B0B0B"/>
                <w:spacing w:val="-2"/>
                <w:sz w:val="18"/>
              </w:rPr>
              <w:t> </w:t>
            </w:r>
            <w:r>
              <w:rPr>
                <w:color w:val="0B0B0B"/>
                <w:sz w:val="18"/>
              </w:rPr>
              <w:t>salarios</w:t>
            </w:r>
            <w:r>
              <w:rPr>
                <w:color w:val="0B0B0B"/>
                <w:spacing w:val="-1"/>
                <w:sz w:val="18"/>
              </w:rPr>
              <w:t> </w:t>
            </w:r>
            <w:r>
              <w:rPr>
                <w:color w:val="0B0B0B"/>
                <w:sz w:val="18"/>
              </w:rPr>
              <w:t>o</w:t>
            </w:r>
            <w:r>
              <w:rPr>
                <w:color w:val="0B0B0B"/>
                <w:spacing w:val="-2"/>
                <w:sz w:val="18"/>
              </w:rPr>
              <w:t> </w:t>
            </w:r>
            <w:r>
              <w:rPr>
                <w:color w:val="0B0B0B"/>
                <w:sz w:val="18"/>
              </w:rPr>
              <w:t>asimilados</w:t>
            </w:r>
            <w:r>
              <w:rPr>
                <w:color w:val="0B0B0B"/>
                <w:spacing w:val="-1"/>
                <w:sz w:val="18"/>
              </w:rPr>
              <w:t> </w:t>
            </w:r>
            <w:r>
              <w:rPr>
                <w:color w:val="0B0B0B"/>
                <w:sz w:val="18"/>
              </w:rPr>
              <w:t>a</w:t>
            </w:r>
            <w:r>
              <w:rPr>
                <w:color w:val="0B0B0B"/>
                <w:spacing w:val="-2"/>
                <w:sz w:val="18"/>
              </w:rPr>
              <w:t> </w:t>
            </w:r>
            <w:r>
              <w:rPr>
                <w:color w:val="0B0B0B"/>
                <w:sz w:val="18"/>
              </w:rPr>
              <w:t>estos</w:t>
            </w:r>
            <w:r>
              <w:rPr>
                <w:color w:val="0B0B0B"/>
                <w:spacing w:val="-2"/>
                <w:sz w:val="18"/>
              </w:rPr>
              <w:t> </w:t>
            </w:r>
            <w:r>
              <w:rPr>
                <w:color w:val="0B0B0B"/>
                <w:sz w:val="18"/>
              </w:rPr>
              <w:t>a</w:t>
            </w:r>
            <w:r>
              <w:rPr>
                <w:color w:val="0B0B0B"/>
                <w:spacing w:val="-2"/>
                <w:sz w:val="18"/>
              </w:rPr>
              <w:t> </w:t>
            </w:r>
            <w:r>
              <w:rPr>
                <w:color w:val="0B0B0B"/>
                <w:sz w:val="18"/>
              </w:rPr>
              <w:t>través</w:t>
            </w:r>
            <w:r>
              <w:rPr>
                <w:color w:val="0B0B0B"/>
                <w:spacing w:val="-1"/>
                <w:sz w:val="18"/>
              </w:rPr>
              <w:t> </w:t>
            </w:r>
            <w:r>
              <w:rPr>
                <w:color w:val="0B0B0B"/>
                <w:sz w:val="18"/>
              </w:rPr>
              <w:t>de sindicatos</w:t>
            </w:r>
            <w:r>
              <w:rPr>
                <w:color w:val="0B0B0B"/>
                <w:spacing w:val="-2"/>
                <w:sz w:val="18"/>
              </w:rPr>
              <w:t> </w:t>
            </w:r>
            <w:r>
              <w:rPr>
                <w:color w:val="0B0B0B"/>
                <w:sz w:val="18"/>
              </w:rPr>
              <w:t>o</w:t>
            </w:r>
            <w:r>
              <w:rPr>
                <w:color w:val="0B0B0B"/>
                <w:spacing w:val="-2"/>
                <w:sz w:val="18"/>
              </w:rPr>
              <w:t> </w:t>
            </w:r>
            <w:r>
              <w:rPr>
                <w:color w:val="0B0B0B"/>
                <w:sz w:val="18"/>
              </w:rPr>
              <w:t>prestadoras</w:t>
            </w:r>
            <w:r>
              <w:rPr>
                <w:color w:val="0B0B0B"/>
                <w:spacing w:val="-2"/>
                <w:sz w:val="18"/>
              </w:rPr>
              <w:t> </w:t>
            </w:r>
            <w:r>
              <w:rPr>
                <w:color w:val="0B0B0B"/>
                <w:sz w:val="18"/>
              </w:rPr>
              <w:t>de servicios de subcontratación laboral.</w:t>
            </w:r>
          </w:p>
          <w:p>
            <w:pPr>
              <w:pStyle w:val="TableParagraph"/>
              <w:spacing w:before="103"/>
              <w:ind w:left="964"/>
              <w:jc w:val="both"/>
              <w:rPr>
                <w:sz w:val="18"/>
              </w:rPr>
            </w:pPr>
            <w:r>
              <w:rPr>
                <w:rFonts w:ascii="Arial" w:hAnsi="Arial"/>
                <w:b/>
                <w:color w:val="0B0B0B"/>
                <w:sz w:val="18"/>
              </w:rPr>
              <w:t>27/ISR/PI</w:t>
            </w:r>
            <w:r>
              <w:rPr>
                <w:rFonts w:ascii="Arial" w:hAnsi="Arial"/>
                <w:b/>
                <w:color w:val="0B0B0B"/>
                <w:spacing w:val="55"/>
                <w:sz w:val="18"/>
              </w:rPr>
              <w:t>  </w:t>
            </w:r>
            <w:r>
              <w:rPr>
                <w:color w:val="0B0B0B"/>
                <w:sz w:val="18"/>
              </w:rPr>
              <w:t>Deducción</w:t>
            </w:r>
            <w:r>
              <w:rPr>
                <w:color w:val="0B0B0B"/>
                <w:spacing w:val="-5"/>
                <w:sz w:val="18"/>
              </w:rPr>
              <w:t> </w:t>
            </w:r>
            <w:r>
              <w:rPr>
                <w:color w:val="0B0B0B"/>
                <w:sz w:val="18"/>
              </w:rPr>
              <w:t>de</w:t>
            </w:r>
            <w:r>
              <w:rPr>
                <w:color w:val="0B0B0B"/>
                <w:spacing w:val="-4"/>
                <w:sz w:val="18"/>
              </w:rPr>
              <w:t> </w:t>
            </w:r>
            <w:r>
              <w:rPr>
                <w:color w:val="0B0B0B"/>
                <w:sz w:val="18"/>
              </w:rPr>
              <w:t>bienes</w:t>
            </w:r>
            <w:r>
              <w:rPr>
                <w:color w:val="0B0B0B"/>
                <w:spacing w:val="-6"/>
                <w:sz w:val="18"/>
              </w:rPr>
              <w:t> </w:t>
            </w:r>
            <w:r>
              <w:rPr>
                <w:color w:val="0B0B0B"/>
                <w:sz w:val="18"/>
              </w:rPr>
              <w:t>de</w:t>
            </w:r>
            <w:r>
              <w:rPr>
                <w:color w:val="0B0B0B"/>
                <w:spacing w:val="-6"/>
                <w:sz w:val="18"/>
              </w:rPr>
              <w:t> </w:t>
            </w:r>
            <w:r>
              <w:rPr>
                <w:color w:val="0B0B0B"/>
                <w:sz w:val="18"/>
              </w:rPr>
              <w:t>activo</w:t>
            </w:r>
            <w:r>
              <w:rPr>
                <w:color w:val="0B0B0B"/>
                <w:spacing w:val="-6"/>
                <w:sz w:val="18"/>
              </w:rPr>
              <w:t> </w:t>
            </w:r>
            <w:r>
              <w:rPr>
                <w:color w:val="0B0B0B"/>
                <w:sz w:val="18"/>
              </w:rPr>
              <w:t>fijo</w:t>
            </w:r>
            <w:r>
              <w:rPr>
                <w:color w:val="0B0B0B"/>
                <w:spacing w:val="-5"/>
                <w:sz w:val="18"/>
              </w:rPr>
              <w:t> </w:t>
            </w:r>
            <w:r>
              <w:rPr>
                <w:color w:val="0B0B0B"/>
                <w:sz w:val="18"/>
              </w:rPr>
              <w:t>objeto</w:t>
            </w:r>
            <w:r>
              <w:rPr>
                <w:color w:val="0B0B0B"/>
                <w:spacing w:val="-6"/>
                <w:sz w:val="18"/>
              </w:rPr>
              <w:t> </w:t>
            </w:r>
            <w:r>
              <w:rPr>
                <w:color w:val="0B0B0B"/>
                <w:sz w:val="18"/>
              </w:rPr>
              <w:t>de</w:t>
            </w:r>
            <w:r>
              <w:rPr>
                <w:color w:val="0B0B0B"/>
                <w:spacing w:val="-6"/>
                <w:sz w:val="18"/>
              </w:rPr>
              <w:t> </w:t>
            </w:r>
            <w:r>
              <w:rPr>
                <w:color w:val="0B0B0B"/>
                <w:sz w:val="18"/>
              </w:rPr>
              <w:t>un</w:t>
            </w:r>
            <w:r>
              <w:rPr>
                <w:color w:val="0B0B0B"/>
                <w:spacing w:val="-5"/>
                <w:sz w:val="18"/>
              </w:rPr>
              <w:t> </w:t>
            </w:r>
            <w:r>
              <w:rPr>
                <w:color w:val="0B0B0B"/>
                <w:sz w:val="18"/>
              </w:rPr>
              <w:t>contrato</w:t>
            </w:r>
            <w:r>
              <w:rPr>
                <w:color w:val="0B0B0B"/>
                <w:spacing w:val="-5"/>
                <w:sz w:val="18"/>
              </w:rPr>
              <w:t> </w:t>
            </w:r>
            <w:r>
              <w:rPr>
                <w:color w:val="0B0B0B"/>
                <w:sz w:val="18"/>
              </w:rPr>
              <w:t>de</w:t>
            </w:r>
            <w:r>
              <w:rPr>
                <w:color w:val="0B0B0B"/>
                <w:spacing w:val="-5"/>
                <w:sz w:val="18"/>
              </w:rPr>
              <w:t> </w:t>
            </w:r>
            <w:r>
              <w:rPr>
                <w:color w:val="0B0B0B"/>
                <w:sz w:val="18"/>
              </w:rPr>
              <w:t>arrendamiento</w:t>
            </w:r>
            <w:r>
              <w:rPr>
                <w:color w:val="0B0B0B"/>
                <w:spacing w:val="-4"/>
                <w:sz w:val="18"/>
              </w:rPr>
              <w:t> </w:t>
            </w:r>
            <w:r>
              <w:rPr>
                <w:color w:val="0B0B0B"/>
                <w:spacing w:val="-2"/>
                <w:sz w:val="18"/>
              </w:rPr>
              <w:t>financiero.</w:t>
            </w:r>
          </w:p>
          <w:p>
            <w:pPr>
              <w:pStyle w:val="TableParagraph"/>
              <w:spacing w:line="256" w:lineRule="auto" w:before="113"/>
              <w:ind w:left="1972" w:right="62" w:hanging="1008"/>
              <w:jc w:val="both"/>
              <w:rPr>
                <w:sz w:val="18"/>
              </w:rPr>
            </w:pPr>
            <w:r>
              <w:rPr>
                <w:rFonts w:ascii="Arial" w:hAnsi="Arial"/>
                <w:b/>
                <w:color w:val="0B0B0B"/>
                <w:sz w:val="18"/>
              </w:rPr>
              <w:t>28/ISR/PI</w:t>
            </w:r>
            <w:r>
              <w:rPr>
                <w:rFonts w:ascii="Arial" w:hAnsi="Arial"/>
                <w:b/>
                <w:color w:val="0B0B0B"/>
                <w:spacing w:val="80"/>
                <w:sz w:val="18"/>
              </w:rPr>
              <w:t> </w:t>
            </w:r>
            <w:r>
              <w:rPr>
                <w:color w:val="0B0B0B"/>
                <w:sz w:val="18"/>
              </w:rPr>
              <w:t>Derechos federativos de los deportistas. Su adquisición constituye una inversión en la modalidad de gasto diferido.</w:t>
            </w:r>
          </w:p>
          <w:p>
            <w:pPr>
              <w:pStyle w:val="TableParagraph"/>
              <w:spacing w:line="273" w:lineRule="auto" w:before="108"/>
              <w:ind w:left="1972" w:right="64" w:hanging="1008"/>
              <w:jc w:val="both"/>
              <w:rPr>
                <w:sz w:val="18"/>
              </w:rPr>
            </w:pPr>
            <w:r>
              <w:rPr>
                <w:rFonts w:ascii="Arial" w:hAnsi="Arial"/>
                <w:b/>
                <w:color w:val="0B0B0B"/>
                <w:sz w:val="18"/>
              </w:rPr>
              <w:t>29/ISR/PI</w:t>
            </w:r>
            <w:r>
              <w:rPr>
                <w:rFonts w:ascii="Arial" w:hAnsi="Arial"/>
                <w:b/>
                <w:color w:val="0B0B0B"/>
                <w:spacing w:val="80"/>
                <w:sz w:val="18"/>
              </w:rPr>
              <w:t> </w:t>
            </w:r>
            <w:r>
              <w:rPr>
                <w:color w:val="0B0B0B"/>
                <w:sz w:val="18"/>
              </w:rPr>
              <w:t>Inversión de recursos retornados al país en acciones emitidas por personas morales residentes en México.</w:t>
            </w:r>
          </w:p>
          <w:p>
            <w:pPr>
              <w:pStyle w:val="TableParagraph"/>
              <w:spacing w:line="271" w:lineRule="auto" w:before="97"/>
              <w:ind w:left="1972" w:right="62" w:hanging="1008"/>
              <w:jc w:val="both"/>
              <w:rPr>
                <w:sz w:val="18"/>
              </w:rPr>
            </w:pPr>
            <w:r>
              <w:rPr>
                <w:rFonts w:ascii="Arial"/>
                <w:b/>
                <w:color w:val="0B0B0B"/>
                <w:sz w:val="18"/>
              </w:rPr>
              <w:t>30/ISR/PI</w:t>
            </w:r>
            <w:r>
              <w:rPr>
                <w:rFonts w:ascii="Arial"/>
                <w:b/>
                <w:color w:val="0B0B0B"/>
                <w:spacing w:val="80"/>
                <w:sz w:val="18"/>
              </w:rPr>
              <w:t> </w:t>
            </w:r>
            <w:r>
              <w:rPr>
                <w:color w:val="0B0B0B"/>
                <w:sz w:val="18"/>
              </w:rPr>
              <w:t>Ingresos obtenidos por residentes en el extranjero, por arrendamiento o fletamento de embarcaciones o artefactos navales a casco desnudo, con fuente de riqueza en territorio nacional.</w:t>
            </w:r>
          </w:p>
          <w:p>
            <w:pPr>
              <w:pStyle w:val="TableParagraph"/>
              <w:spacing w:before="103"/>
              <w:ind w:left="964"/>
              <w:jc w:val="both"/>
              <w:rPr>
                <w:sz w:val="18"/>
              </w:rPr>
            </w:pPr>
            <w:r>
              <w:rPr>
                <w:rFonts w:ascii="Arial"/>
                <w:b/>
                <w:color w:val="0B0B0B"/>
                <w:sz w:val="18"/>
              </w:rPr>
              <w:t>31/ISR/PI</w:t>
            </w:r>
            <w:r>
              <w:rPr>
                <w:rFonts w:ascii="Arial"/>
                <w:b/>
                <w:color w:val="0B0B0B"/>
                <w:spacing w:val="57"/>
                <w:sz w:val="18"/>
              </w:rPr>
              <w:t>  </w:t>
            </w:r>
            <w:r>
              <w:rPr>
                <w:color w:val="0B0B0B"/>
                <w:sz w:val="18"/>
              </w:rPr>
              <w:t>Asociaciones</w:t>
            </w:r>
            <w:r>
              <w:rPr>
                <w:color w:val="0B0B0B"/>
                <w:spacing w:val="-5"/>
                <w:sz w:val="18"/>
              </w:rPr>
              <w:t> </w:t>
            </w:r>
            <w:r>
              <w:rPr>
                <w:color w:val="0B0B0B"/>
                <w:spacing w:val="-2"/>
                <w:sz w:val="18"/>
              </w:rPr>
              <w:t>Deportivas.</w:t>
            </w:r>
          </w:p>
          <w:p>
            <w:pPr>
              <w:pStyle w:val="TableParagraph"/>
              <w:spacing w:line="273" w:lineRule="auto" w:before="137"/>
              <w:ind w:left="1972" w:right="64" w:hanging="1008"/>
              <w:jc w:val="both"/>
              <w:rPr>
                <w:sz w:val="18"/>
              </w:rPr>
            </w:pPr>
            <w:r>
              <w:rPr>
                <w:rFonts w:ascii="Arial" w:hAnsi="Arial"/>
                <w:b/>
                <w:color w:val="0B0B0B"/>
                <w:sz w:val="18"/>
              </w:rPr>
              <w:t>32/ISR/PI</w:t>
            </w:r>
            <w:r>
              <w:rPr>
                <w:rFonts w:ascii="Arial" w:hAnsi="Arial"/>
                <w:b/>
                <w:color w:val="0B0B0B"/>
                <w:spacing w:val="80"/>
                <w:sz w:val="18"/>
              </w:rPr>
              <w:t> </w:t>
            </w:r>
            <w:r>
              <w:rPr>
                <w:color w:val="0B0B0B"/>
                <w:sz w:val="18"/>
              </w:rPr>
              <w:t>Determinación del costo de lo vendido para contribuyentes que realicen actividades comerciales que consistan en la adquisición y enajenación de mercancías.</w:t>
            </w:r>
          </w:p>
          <w:p>
            <w:pPr>
              <w:pStyle w:val="TableParagraph"/>
              <w:spacing w:line="271" w:lineRule="auto" w:before="96"/>
              <w:ind w:left="1972" w:right="60" w:hanging="1008"/>
              <w:jc w:val="both"/>
              <w:rPr>
                <w:sz w:val="18"/>
              </w:rPr>
            </w:pPr>
            <w:r>
              <w:rPr>
                <w:rFonts w:ascii="Arial" w:hAnsi="Arial"/>
                <w:b/>
                <w:color w:val="0B0B0B"/>
                <w:sz w:val="18"/>
              </w:rPr>
              <w:t>33/ISR/PI</w:t>
            </w:r>
            <w:r>
              <w:rPr>
                <w:rFonts w:ascii="Arial" w:hAnsi="Arial"/>
                <w:b/>
                <w:color w:val="0B0B0B"/>
                <w:spacing w:val="80"/>
                <w:sz w:val="18"/>
              </w:rPr>
              <w:t> </w:t>
            </w:r>
            <w:r>
              <w:rPr>
                <w:color w:val="0B0B0B"/>
                <w:sz w:val="18"/>
              </w:rPr>
              <w:t>Reconocimiento</w:t>
            </w:r>
            <w:r>
              <w:rPr>
                <w:color w:val="0B0B0B"/>
                <w:spacing w:val="40"/>
                <w:sz w:val="18"/>
              </w:rPr>
              <w:t> </w:t>
            </w:r>
            <w:r>
              <w:rPr>
                <w:color w:val="0B0B0B"/>
                <w:sz w:val="18"/>
              </w:rPr>
              <w:t>de</w:t>
            </w:r>
            <w:r>
              <w:rPr>
                <w:color w:val="0B0B0B"/>
                <w:spacing w:val="40"/>
                <w:sz w:val="18"/>
              </w:rPr>
              <w:t> </w:t>
            </w:r>
            <w:r>
              <w:rPr>
                <w:color w:val="0B0B0B"/>
                <w:sz w:val="18"/>
              </w:rPr>
              <w:t>contribuciones</w:t>
            </w:r>
            <w:r>
              <w:rPr>
                <w:color w:val="0B0B0B"/>
                <w:spacing w:val="40"/>
                <w:sz w:val="18"/>
              </w:rPr>
              <w:t> </w:t>
            </w:r>
            <w:r>
              <w:rPr>
                <w:color w:val="0B0B0B"/>
                <w:sz w:val="18"/>
              </w:rPr>
              <w:t>únicas</w:t>
            </w:r>
            <w:r>
              <w:rPr>
                <w:color w:val="0B0B0B"/>
                <w:spacing w:val="40"/>
                <w:sz w:val="18"/>
              </w:rPr>
              <w:t> </w:t>
            </w:r>
            <w:r>
              <w:rPr>
                <w:color w:val="0B0B0B"/>
                <w:sz w:val="18"/>
              </w:rPr>
              <w:t>y</w:t>
            </w:r>
            <w:r>
              <w:rPr>
                <w:color w:val="0B0B0B"/>
                <w:spacing w:val="40"/>
                <w:sz w:val="18"/>
              </w:rPr>
              <w:t> </w:t>
            </w:r>
            <w:r>
              <w:rPr>
                <w:color w:val="0B0B0B"/>
                <w:sz w:val="18"/>
              </w:rPr>
              <w:t>valiosas.</w:t>
            </w:r>
            <w:r>
              <w:rPr>
                <w:color w:val="0B0B0B"/>
                <w:spacing w:val="40"/>
                <w:sz w:val="18"/>
              </w:rPr>
              <w:t> </w:t>
            </w:r>
            <w:r>
              <w:rPr>
                <w:color w:val="0B0B0B"/>
                <w:sz w:val="18"/>
              </w:rPr>
              <w:t>Deben</w:t>
            </w:r>
            <w:r>
              <w:rPr>
                <w:color w:val="0B0B0B"/>
                <w:spacing w:val="40"/>
                <w:sz w:val="18"/>
              </w:rPr>
              <w:t> </w:t>
            </w:r>
            <w:r>
              <w:rPr>
                <w:color w:val="0B0B0B"/>
                <w:sz w:val="18"/>
              </w:rPr>
              <w:t>reconocerse</w:t>
            </w:r>
            <w:r>
              <w:rPr>
                <w:color w:val="0B0B0B"/>
                <w:spacing w:val="40"/>
                <w:sz w:val="18"/>
              </w:rPr>
              <w:t> </w:t>
            </w:r>
            <w:r>
              <w:rPr>
                <w:color w:val="0B0B0B"/>
                <w:sz w:val="18"/>
              </w:rPr>
              <w:t>en</w:t>
            </w:r>
            <w:r>
              <w:rPr>
                <w:color w:val="0B0B0B"/>
                <w:spacing w:val="40"/>
                <w:sz w:val="18"/>
              </w:rPr>
              <w:t> </w:t>
            </w:r>
            <w:r>
              <w:rPr>
                <w:color w:val="0B0B0B"/>
                <w:sz w:val="18"/>
              </w:rPr>
              <w:t>los análisis de precios de transferencia para demostrar que, en operaciones celebradas con partes relacionadas, los ingresos acumulables y deducciones autorizadas fueron determinados considerando para esas operaciones los precios, montos de contraprestaciones o márgenes de utilidad que hubieran utilizado u obtenido con o entre partes independientes en operaciones comparables.</w:t>
            </w:r>
          </w:p>
          <w:p>
            <w:pPr>
              <w:pStyle w:val="TableParagraph"/>
              <w:spacing w:line="273" w:lineRule="auto" w:before="102"/>
              <w:ind w:left="1972" w:right="62" w:hanging="1008"/>
              <w:jc w:val="both"/>
              <w:rPr>
                <w:sz w:val="18"/>
              </w:rPr>
            </w:pPr>
            <w:r>
              <w:rPr>
                <w:rFonts w:ascii="Arial"/>
                <w:b/>
                <w:color w:val="0B0B0B"/>
                <w:sz w:val="18"/>
              </w:rPr>
              <w:t>34/ISR/PI</w:t>
            </w:r>
            <w:r>
              <w:rPr>
                <w:rFonts w:ascii="Arial"/>
                <w:b/>
                <w:color w:val="0B0B0B"/>
                <w:spacing w:val="80"/>
                <w:sz w:val="18"/>
              </w:rPr>
              <w:t> </w:t>
            </w:r>
            <w:r>
              <w:rPr>
                <w:color w:val="0B0B0B"/>
                <w:sz w:val="18"/>
              </w:rPr>
              <w:t>Modificaciones al valor de las operaciones con partes relacionadas dentro del rango </w:t>
            </w:r>
            <w:r>
              <w:rPr>
                <w:color w:val="0B0B0B"/>
                <w:spacing w:val="-2"/>
                <w:sz w:val="18"/>
              </w:rPr>
              <w:t>intercuartil.</w:t>
            </w:r>
          </w:p>
          <w:p>
            <w:pPr>
              <w:pStyle w:val="TableParagraph"/>
              <w:spacing w:line="273" w:lineRule="auto" w:before="98"/>
              <w:ind w:left="1972" w:right="63" w:hanging="1008"/>
              <w:jc w:val="both"/>
              <w:rPr>
                <w:sz w:val="18"/>
              </w:rPr>
            </w:pPr>
            <w:r>
              <w:rPr>
                <w:rFonts w:ascii="Arial" w:hAnsi="Arial"/>
                <w:b/>
                <w:color w:val="0B0B0B"/>
                <w:sz w:val="18"/>
              </w:rPr>
              <w:t>35/ISR/PI</w:t>
            </w:r>
            <w:r>
              <w:rPr>
                <w:rFonts w:ascii="Arial" w:hAnsi="Arial"/>
                <w:b/>
                <w:color w:val="0B0B0B"/>
                <w:spacing w:val="80"/>
                <w:w w:val="150"/>
                <w:sz w:val="18"/>
              </w:rPr>
              <w:t> </w:t>
            </w:r>
            <w:r>
              <w:rPr>
                <w:color w:val="0B0B0B"/>
                <w:sz w:val="18"/>
              </w:rPr>
              <w:t>Servicios</w:t>
            </w:r>
            <w:r>
              <w:rPr>
                <w:color w:val="0B0B0B"/>
                <w:spacing w:val="-1"/>
                <w:sz w:val="18"/>
              </w:rPr>
              <w:t> </w:t>
            </w:r>
            <w:r>
              <w:rPr>
                <w:color w:val="0B0B0B"/>
                <w:sz w:val="18"/>
              </w:rPr>
              <w:t>de</w:t>
            </w:r>
            <w:r>
              <w:rPr>
                <w:color w:val="0B0B0B"/>
                <w:spacing w:val="-1"/>
                <w:sz w:val="18"/>
              </w:rPr>
              <w:t> </w:t>
            </w:r>
            <w:r>
              <w:rPr>
                <w:color w:val="0B0B0B"/>
                <w:sz w:val="18"/>
              </w:rPr>
              <w:t>hospedaje</w:t>
            </w:r>
            <w:r>
              <w:rPr>
                <w:color w:val="0B0B0B"/>
                <w:spacing w:val="-2"/>
                <w:sz w:val="18"/>
              </w:rPr>
              <w:t> </w:t>
            </w:r>
            <w:r>
              <w:rPr>
                <w:color w:val="0B0B0B"/>
                <w:sz w:val="18"/>
              </w:rPr>
              <w:t>a</w:t>
            </w:r>
            <w:r>
              <w:rPr>
                <w:color w:val="0B0B0B"/>
                <w:spacing w:val="-2"/>
                <w:sz w:val="18"/>
              </w:rPr>
              <w:t> </w:t>
            </w:r>
            <w:r>
              <w:rPr>
                <w:color w:val="0B0B0B"/>
                <w:sz w:val="18"/>
              </w:rPr>
              <w:t>través</w:t>
            </w:r>
            <w:r>
              <w:rPr>
                <w:color w:val="0B0B0B"/>
                <w:spacing w:val="-2"/>
                <w:sz w:val="18"/>
              </w:rPr>
              <w:t> </w:t>
            </w:r>
            <w:r>
              <w:rPr>
                <w:color w:val="0B0B0B"/>
                <w:sz w:val="18"/>
              </w:rPr>
              <w:t>de</w:t>
            </w:r>
            <w:r>
              <w:rPr>
                <w:color w:val="0B0B0B"/>
                <w:spacing w:val="-1"/>
                <w:sz w:val="18"/>
              </w:rPr>
              <w:t> </w:t>
            </w:r>
            <w:r>
              <w:rPr>
                <w:color w:val="0B0B0B"/>
                <w:sz w:val="18"/>
              </w:rPr>
              <w:t>plataformas</w:t>
            </w:r>
            <w:r>
              <w:rPr>
                <w:color w:val="0B0B0B"/>
                <w:spacing w:val="-2"/>
                <w:sz w:val="18"/>
              </w:rPr>
              <w:t> </w:t>
            </w:r>
            <w:r>
              <w:rPr>
                <w:color w:val="0B0B0B"/>
                <w:sz w:val="18"/>
              </w:rPr>
              <w:t>tecnológicas.</w:t>
            </w:r>
            <w:r>
              <w:rPr>
                <w:color w:val="0B0B0B"/>
                <w:spacing w:val="-2"/>
                <w:sz w:val="18"/>
              </w:rPr>
              <w:t> </w:t>
            </w:r>
            <w:r>
              <w:rPr>
                <w:color w:val="0B0B0B"/>
                <w:sz w:val="18"/>
              </w:rPr>
              <w:t>Se</w:t>
            </w:r>
            <w:r>
              <w:rPr>
                <w:color w:val="0B0B0B"/>
                <w:spacing w:val="-2"/>
                <w:sz w:val="18"/>
              </w:rPr>
              <w:t> </w:t>
            </w:r>
            <w:r>
              <w:rPr>
                <w:color w:val="0B0B0B"/>
                <w:sz w:val="18"/>
              </w:rPr>
              <w:t>encuentran</w:t>
            </w:r>
            <w:r>
              <w:rPr>
                <w:color w:val="0B0B0B"/>
                <w:spacing w:val="-2"/>
                <w:sz w:val="18"/>
              </w:rPr>
              <w:t> </w:t>
            </w:r>
            <w:r>
              <w:rPr>
                <w:color w:val="0B0B0B"/>
                <w:sz w:val="18"/>
              </w:rPr>
              <w:t>sujetos</w:t>
            </w:r>
            <w:r>
              <w:rPr>
                <w:color w:val="0B0B0B"/>
                <w:spacing w:val="-2"/>
                <w:sz w:val="18"/>
              </w:rPr>
              <w:t> </w:t>
            </w:r>
            <w:r>
              <w:rPr>
                <w:color w:val="0B0B0B"/>
                <w:sz w:val="18"/>
              </w:rPr>
              <w:t>al pago de ISR.</w:t>
            </w:r>
          </w:p>
          <w:p>
            <w:pPr>
              <w:pStyle w:val="TableParagraph"/>
              <w:spacing w:line="273" w:lineRule="auto" w:before="97"/>
              <w:ind w:left="1972" w:right="62" w:hanging="1008"/>
              <w:jc w:val="both"/>
              <w:rPr>
                <w:sz w:val="18"/>
              </w:rPr>
            </w:pPr>
            <w:r>
              <w:rPr>
                <w:rFonts w:ascii="Arial"/>
                <w:b/>
                <w:color w:val="0B0B0B"/>
                <w:sz w:val="18"/>
              </w:rPr>
              <w:t>36/ISR/PI</w:t>
            </w:r>
            <w:r>
              <w:rPr>
                <w:rFonts w:ascii="Arial"/>
                <w:b/>
                <w:color w:val="0B0B0B"/>
                <w:spacing w:val="40"/>
                <w:sz w:val="18"/>
              </w:rPr>
              <w:t> </w:t>
            </w:r>
            <w:r>
              <w:rPr>
                <w:color w:val="0B0B0B"/>
                <w:sz w:val="18"/>
              </w:rPr>
              <w:t>Pago</w:t>
            </w:r>
            <w:r>
              <w:rPr>
                <w:color w:val="0B0B0B"/>
                <w:spacing w:val="40"/>
                <w:sz w:val="18"/>
              </w:rPr>
              <w:t> </w:t>
            </w:r>
            <w:r>
              <w:rPr>
                <w:color w:val="0B0B0B"/>
                <w:sz w:val="18"/>
              </w:rPr>
              <w:t>del</w:t>
            </w:r>
            <w:r>
              <w:rPr>
                <w:color w:val="0B0B0B"/>
                <w:spacing w:val="40"/>
                <w:sz w:val="18"/>
              </w:rPr>
              <w:t> </w:t>
            </w:r>
            <w:r>
              <w:rPr>
                <w:color w:val="0B0B0B"/>
                <w:sz w:val="18"/>
              </w:rPr>
              <w:t>impuesto</w:t>
            </w:r>
            <w:r>
              <w:rPr>
                <w:color w:val="0B0B0B"/>
                <w:spacing w:val="40"/>
                <w:sz w:val="18"/>
              </w:rPr>
              <w:t> </w:t>
            </w:r>
            <w:r>
              <w:rPr>
                <w:color w:val="0B0B0B"/>
                <w:sz w:val="18"/>
              </w:rPr>
              <w:t>sobre</w:t>
            </w:r>
            <w:r>
              <w:rPr>
                <w:color w:val="0B0B0B"/>
                <w:spacing w:val="40"/>
                <w:sz w:val="18"/>
              </w:rPr>
              <w:t> </w:t>
            </w:r>
            <w:r>
              <w:rPr>
                <w:color w:val="0B0B0B"/>
                <w:sz w:val="18"/>
              </w:rPr>
              <w:t>dividendos</w:t>
            </w:r>
            <w:r>
              <w:rPr>
                <w:color w:val="0B0B0B"/>
                <w:spacing w:val="40"/>
                <w:sz w:val="18"/>
              </w:rPr>
              <w:t> </w:t>
            </w:r>
            <w:r>
              <w:rPr>
                <w:color w:val="0B0B0B"/>
                <w:sz w:val="18"/>
              </w:rPr>
              <w:t>distribuidos</w:t>
            </w:r>
            <w:r>
              <w:rPr>
                <w:color w:val="0B0B0B"/>
                <w:spacing w:val="40"/>
                <w:sz w:val="18"/>
              </w:rPr>
              <w:t> </w:t>
            </w:r>
            <w:r>
              <w:rPr>
                <w:color w:val="0B0B0B"/>
                <w:sz w:val="18"/>
              </w:rPr>
              <w:t>en</w:t>
            </w:r>
            <w:r>
              <w:rPr>
                <w:color w:val="0B0B0B"/>
                <w:spacing w:val="40"/>
                <w:sz w:val="18"/>
              </w:rPr>
              <w:t> </w:t>
            </w:r>
            <w:r>
              <w:rPr>
                <w:color w:val="0B0B0B"/>
                <w:sz w:val="18"/>
              </w:rPr>
              <w:t>mercados</w:t>
            </w:r>
            <w:r>
              <w:rPr>
                <w:color w:val="0B0B0B"/>
                <w:spacing w:val="40"/>
                <w:sz w:val="18"/>
              </w:rPr>
              <w:t> </w:t>
            </w:r>
            <w:r>
              <w:rPr>
                <w:color w:val="0B0B0B"/>
                <w:sz w:val="18"/>
              </w:rPr>
              <w:t>reconocidos </w:t>
            </w:r>
            <w:r>
              <w:rPr>
                <w:color w:val="0B0B0B"/>
                <w:spacing w:val="-2"/>
                <w:sz w:val="18"/>
              </w:rPr>
              <w:t>extranjeros.</w:t>
            </w:r>
          </w:p>
          <w:p>
            <w:pPr>
              <w:pStyle w:val="TableParagraph"/>
              <w:spacing w:line="271" w:lineRule="auto" w:before="97"/>
              <w:ind w:left="1972" w:right="62" w:hanging="1008"/>
              <w:jc w:val="both"/>
              <w:rPr>
                <w:sz w:val="18"/>
              </w:rPr>
            </w:pPr>
            <w:r>
              <w:rPr>
                <w:rFonts w:ascii="Arial" w:hAnsi="Arial"/>
                <w:b/>
                <w:color w:val="0B0B0B"/>
                <w:sz w:val="18"/>
              </w:rPr>
              <w:t>37/ISR/PI</w:t>
            </w:r>
            <w:r>
              <w:rPr>
                <w:rFonts w:ascii="Arial" w:hAnsi="Arial"/>
                <w:b/>
                <w:color w:val="0B0B0B"/>
                <w:spacing w:val="80"/>
                <w:sz w:val="18"/>
              </w:rPr>
              <w:t> </w:t>
            </w:r>
            <w:r>
              <w:rPr>
                <w:color w:val="0B0B0B"/>
                <w:sz w:val="18"/>
              </w:rPr>
              <w:t>Resultado fiscal distribuido a los tenedores de los certificados de un fideicomiso dedicado a la adquisición o construcción de inmuebles. La deducción a que se refiere el artículo 115, segundo párrafo de la Ley del ISR no le es aplicable.</w:t>
            </w:r>
          </w:p>
          <w:p>
            <w:pPr>
              <w:pStyle w:val="TableParagraph"/>
              <w:spacing w:line="271" w:lineRule="auto" w:before="101"/>
              <w:ind w:left="1972" w:right="61" w:hanging="1008"/>
              <w:jc w:val="both"/>
              <w:rPr>
                <w:sz w:val="18"/>
              </w:rPr>
            </w:pPr>
            <w:r>
              <w:rPr>
                <w:rFonts w:ascii="Arial" w:hAnsi="Arial"/>
                <w:b/>
                <w:color w:val="0B0B0B"/>
                <w:sz w:val="18"/>
              </w:rPr>
              <w:t>38/ISR/PI</w:t>
            </w:r>
            <w:r>
              <w:rPr>
                <w:rFonts w:ascii="Arial" w:hAnsi="Arial"/>
                <w:b/>
                <w:color w:val="0B0B0B"/>
                <w:spacing w:val="40"/>
                <w:sz w:val="18"/>
              </w:rPr>
              <w:t> </w:t>
            </w:r>
            <w:r>
              <w:rPr>
                <w:color w:val="0B0B0B"/>
                <w:sz w:val="18"/>
              </w:rPr>
              <w:t>Entero del ISR diferido por los fideicomitentes de un fideicomiso dedicado a la adquisición o construcción de inmuebles. La donación de los certificados de participación</w:t>
            </w:r>
            <w:r>
              <w:rPr>
                <w:color w:val="0B0B0B"/>
                <w:spacing w:val="-2"/>
                <w:sz w:val="18"/>
              </w:rPr>
              <w:t> </w:t>
            </w:r>
            <w:r>
              <w:rPr>
                <w:color w:val="0B0B0B"/>
                <w:sz w:val="18"/>
              </w:rPr>
              <w:t>obtenidos</w:t>
            </w:r>
            <w:r>
              <w:rPr>
                <w:color w:val="0B0B0B"/>
                <w:spacing w:val="-2"/>
                <w:sz w:val="18"/>
              </w:rPr>
              <w:t> </w:t>
            </w:r>
            <w:r>
              <w:rPr>
                <w:color w:val="0B0B0B"/>
                <w:sz w:val="18"/>
              </w:rPr>
              <w:t>por</w:t>
            </w:r>
            <w:r>
              <w:rPr>
                <w:color w:val="0B0B0B"/>
                <w:spacing w:val="-2"/>
                <w:sz w:val="18"/>
              </w:rPr>
              <w:t> </w:t>
            </w:r>
            <w:r>
              <w:rPr>
                <w:color w:val="0B0B0B"/>
                <w:sz w:val="18"/>
              </w:rPr>
              <w:t>la</w:t>
            </w:r>
            <w:r>
              <w:rPr>
                <w:color w:val="0B0B0B"/>
                <w:spacing w:val="-1"/>
                <w:sz w:val="18"/>
              </w:rPr>
              <w:t> </w:t>
            </w:r>
            <w:r>
              <w:rPr>
                <w:color w:val="0B0B0B"/>
                <w:sz w:val="18"/>
              </w:rPr>
              <w:t>aportación</w:t>
            </w:r>
            <w:r>
              <w:rPr>
                <w:color w:val="0B0B0B"/>
                <w:spacing w:val="-2"/>
                <w:sz w:val="18"/>
              </w:rPr>
              <w:t> </w:t>
            </w:r>
            <w:r>
              <w:rPr>
                <w:color w:val="0B0B0B"/>
                <w:sz w:val="18"/>
              </w:rPr>
              <w:t>de</w:t>
            </w:r>
            <w:r>
              <w:rPr>
                <w:color w:val="0B0B0B"/>
                <w:spacing w:val="-2"/>
                <w:sz w:val="18"/>
              </w:rPr>
              <w:t> </w:t>
            </w:r>
            <w:r>
              <w:rPr>
                <w:color w:val="0B0B0B"/>
                <w:sz w:val="18"/>
              </w:rPr>
              <w:t>bienes</w:t>
            </w:r>
            <w:r>
              <w:rPr>
                <w:color w:val="0B0B0B"/>
                <w:spacing w:val="-2"/>
                <w:sz w:val="18"/>
              </w:rPr>
              <w:t> </w:t>
            </w:r>
            <w:r>
              <w:rPr>
                <w:color w:val="0B0B0B"/>
                <w:sz w:val="18"/>
              </w:rPr>
              <w:t>inmuebles</w:t>
            </w:r>
            <w:r>
              <w:rPr>
                <w:color w:val="0B0B0B"/>
                <w:spacing w:val="-2"/>
                <w:sz w:val="18"/>
              </w:rPr>
              <w:t> </w:t>
            </w:r>
            <w:r>
              <w:rPr>
                <w:color w:val="0B0B0B"/>
                <w:sz w:val="18"/>
              </w:rPr>
              <w:t>actualiza</w:t>
            </w:r>
            <w:r>
              <w:rPr>
                <w:color w:val="0B0B0B"/>
                <w:spacing w:val="-2"/>
                <w:sz w:val="18"/>
              </w:rPr>
              <w:t> </w:t>
            </w:r>
            <w:r>
              <w:rPr>
                <w:color w:val="0B0B0B"/>
                <w:sz w:val="18"/>
              </w:rPr>
              <w:t>el</w:t>
            </w:r>
            <w:r>
              <w:rPr>
                <w:color w:val="0B0B0B"/>
                <w:spacing w:val="-2"/>
                <w:sz w:val="18"/>
              </w:rPr>
              <w:t> </w:t>
            </w:r>
            <w:r>
              <w:rPr>
                <w:color w:val="0B0B0B"/>
                <w:sz w:val="18"/>
              </w:rPr>
              <w:t>supuesto</w:t>
            </w:r>
            <w:r>
              <w:rPr>
                <w:color w:val="0B0B0B"/>
                <w:spacing w:val="-2"/>
                <w:sz w:val="18"/>
              </w:rPr>
              <w:t> </w:t>
            </w:r>
            <w:r>
              <w:rPr>
                <w:color w:val="0B0B0B"/>
                <w:sz w:val="18"/>
              </w:rPr>
              <w:t>de </w:t>
            </w:r>
            <w:r>
              <w:rPr>
                <w:color w:val="0B0B0B"/>
                <w:spacing w:val="-2"/>
                <w:sz w:val="18"/>
              </w:rPr>
              <w:t>enajenación.</w:t>
            </w:r>
          </w:p>
        </w:tc>
      </w:tr>
    </w:tbl>
    <w:p>
      <w:pPr>
        <w:pStyle w:val="TableParagraph"/>
        <w:spacing w:after="0" w:line="271" w:lineRule="auto"/>
        <w:jc w:val="both"/>
        <w:rPr>
          <w:sz w:val="18"/>
        </w:rPr>
        <w:sectPr>
          <w:headerReference w:type="default" r:id="rId6"/>
          <w:pgSz w:w="12240" w:h="15840"/>
          <w:pgMar w:header="690" w:footer="0" w:top="1040" w:bottom="280" w:left="1440" w:right="1440"/>
        </w:sectPr>
      </w:pPr>
    </w:p>
    <w:p>
      <w:pPr>
        <w:pStyle w:val="BodyText"/>
        <w:spacing w:before="4"/>
        <w:ind w:left="0"/>
        <w:jc w:val="left"/>
        <w:rPr>
          <w:rFonts w:ascii="Arial"/>
          <w:b/>
          <w:sz w:val="9"/>
        </w:rPr>
      </w:pPr>
    </w:p>
    <w:tbl>
      <w:tblPr>
        <w:tblW w:w="0" w:type="auto"/>
        <w:jc w:val="left"/>
        <w:tblInd w:w="187"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4556" w:hRule="atLeast"/>
        </w:trPr>
        <w:tc>
          <w:tcPr>
            <w:tcW w:w="8986" w:type="dxa"/>
          </w:tcPr>
          <w:p>
            <w:pPr>
              <w:pStyle w:val="TableParagraph"/>
              <w:spacing w:line="256" w:lineRule="auto" w:before="7"/>
              <w:ind w:left="1972" w:right="62" w:hanging="1008"/>
              <w:jc w:val="both"/>
              <w:rPr>
                <w:sz w:val="18"/>
              </w:rPr>
            </w:pPr>
            <w:r>
              <w:rPr>
                <w:rFonts w:ascii="Arial" w:hAnsi="Arial"/>
                <w:b/>
                <w:color w:val="0B0B0B"/>
                <w:sz w:val="18"/>
              </w:rPr>
              <w:t>39/ISR/PI</w:t>
            </w:r>
            <w:r>
              <w:rPr>
                <w:rFonts w:ascii="Arial" w:hAnsi="Arial"/>
                <w:b/>
                <w:color w:val="0B0B0B"/>
                <w:spacing w:val="40"/>
                <w:sz w:val="18"/>
              </w:rPr>
              <w:t> </w:t>
            </w:r>
            <w:r>
              <w:rPr>
                <w:color w:val="0B0B0B"/>
                <w:sz w:val="18"/>
              </w:rPr>
              <w:t>Donataria Autorizada. Modificación de los estatutos sociales o del contrato de </w:t>
            </w:r>
            <w:r>
              <w:rPr>
                <w:color w:val="0B0B0B"/>
                <w:spacing w:val="-2"/>
                <w:sz w:val="18"/>
              </w:rPr>
              <w:t>fideicomiso.</w:t>
            </w:r>
          </w:p>
          <w:p>
            <w:pPr>
              <w:pStyle w:val="TableParagraph"/>
              <w:spacing w:line="273" w:lineRule="auto" w:before="108"/>
              <w:ind w:left="1972" w:right="62" w:hanging="1008"/>
              <w:jc w:val="both"/>
              <w:rPr>
                <w:sz w:val="18"/>
              </w:rPr>
            </w:pPr>
            <w:r>
              <w:rPr>
                <w:rFonts w:ascii="Arial" w:hAnsi="Arial"/>
                <w:b/>
                <w:color w:val="0B0B0B"/>
                <w:sz w:val="18"/>
              </w:rPr>
              <w:t>40/ISR/PI</w:t>
            </w:r>
            <w:r>
              <w:rPr>
                <w:rFonts w:ascii="Arial" w:hAnsi="Arial"/>
                <w:b/>
                <w:color w:val="0B0B0B"/>
                <w:spacing w:val="80"/>
                <w:w w:val="150"/>
                <w:sz w:val="18"/>
              </w:rPr>
              <w:t> </w:t>
            </w:r>
            <w:r>
              <w:rPr>
                <w:color w:val="0B0B0B"/>
                <w:sz w:val="18"/>
              </w:rPr>
              <w:t>Para los efectos del artículo 3-B de la LCF. Se entiende como ISR participable, aquel que es enterado en efectivo, cheque o traspaso.</w:t>
            </w:r>
          </w:p>
          <w:p>
            <w:pPr>
              <w:pStyle w:val="TableParagraph"/>
              <w:spacing w:line="273" w:lineRule="auto" w:before="97"/>
              <w:ind w:left="1972" w:right="61" w:hanging="1008"/>
              <w:jc w:val="both"/>
              <w:rPr>
                <w:sz w:val="18"/>
              </w:rPr>
            </w:pPr>
            <w:r>
              <w:rPr>
                <w:rFonts w:ascii="Arial" w:hAnsi="Arial"/>
                <w:b/>
                <w:color w:val="0B0B0B"/>
                <w:sz w:val="18"/>
              </w:rPr>
              <w:t>41/ISR/PI</w:t>
            </w:r>
            <w:r>
              <w:rPr>
                <w:rFonts w:ascii="Arial" w:hAnsi="Arial"/>
                <w:b/>
                <w:color w:val="0B0B0B"/>
                <w:spacing w:val="40"/>
                <w:sz w:val="18"/>
              </w:rPr>
              <w:t>  </w:t>
            </w:r>
            <w:r>
              <w:rPr>
                <w:color w:val="0B0B0B"/>
                <w:sz w:val="18"/>
              </w:rPr>
              <w:t>Mercancía deteriorada o que perdió valor. El importe de la mercancía que se deduzca de los inventarios del contribuyente no constituye un donativo deducible.</w:t>
            </w:r>
          </w:p>
          <w:p>
            <w:pPr>
              <w:pStyle w:val="TableParagraph"/>
              <w:spacing w:line="271" w:lineRule="auto" w:before="98"/>
              <w:ind w:left="1972" w:right="62" w:hanging="1008"/>
              <w:jc w:val="both"/>
              <w:rPr>
                <w:sz w:val="18"/>
              </w:rPr>
            </w:pPr>
            <w:r>
              <w:rPr>
                <w:rFonts w:ascii="Arial" w:hAnsi="Arial"/>
                <w:b/>
                <w:color w:val="0B0B0B"/>
                <w:sz w:val="18"/>
              </w:rPr>
              <w:t>42/ISR/PI</w:t>
            </w:r>
            <w:r>
              <w:rPr>
                <w:rFonts w:ascii="Arial" w:hAnsi="Arial"/>
                <w:b/>
                <w:color w:val="0B0B0B"/>
                <w:spacing w:val="80"/>
                <w:sz w:val="18"/>
              </w:rPr>
              <w:t> </w:t>
            </w:r>
            <w:r>
              <w:rPr>
                <w:color w:val="0B0B0B"/>
                <w:sz w:val="18"/>
              </w:rPr>
              <w:t>Cantidades otorgadas a trabajadores con cargo a planes de pensiones. No tienen el tratamiento de ingreso exento para el trabajador, ni las aportaciones a dichos planes son una deducción para el empleador, cuando constituyen cantidades que forman parte del salario afecto al pago del ISR.</w:t>
            </w:r>
          </w:p>
          <w:p>
            <w:pPr>
              <w:pStyle w:val="TableParagraph"/>
              <w:spacing w:line="271" w:lineRule="auto" w:before="101"/>
              <w:ind w:left="1972" w:right="60" w:hanging="1008"/>
              <w:jc w:val="both"/>
              <w:rPr>
                <w:sz w:val="18"/>
              </w:rPr>
            </w:pPr>
            <w:r>
              <w:rPr>
                <w:rFonts w:ascii="Arial" w:hAnsi="Arial"/>
                <w:b/>
                <w:color w:val="0B0B0B"/>
                <w:sz w:val="18"/>
              </w:rPr>
              <w:t>43/ISR/PI</w:t>
            </w:r>
            <w:r>
              <w:rPr>
                <w:rFonts w:ascii="Arial" w:hAnsi="Arial"/>
                <w:b/>
                <w:color w:val="0B0B0B"/>
                <w:spacing w:val="80"/>
                <w:sz w:val="18"/>
              </w:rPr>
              <w:t> </w:t>
            </w:r>
            <w:r>
              <w:rPr>
                <w:color w:val="0B0B0B"/>
                <w:sz w:val="18"/>
              </w:rPr>
              <w:t>Cantidades</w:t>
            </w:r>
            <w:r>
              <w:rPr>
                <w:color w:val="0B0B0B"/>
                <w:spacing w:val="40"/>
                <w:sz w:val="18"/>
              </w:rPr>
              <w:t> </w:t>
            </w:r>
            <w:r>
              <w:rPr>
                <w:color w:val="0B0B0B"/>
                <w:sz w:val="18"/>
              </w:rPr>
              <w:t>entregadas</w:t>
            </w:r>
            <w:r>
              <w:rPr>
                <w:color w:val="0B0B0B"/>
                <w:spacing w:val="40"/>
                <w:sz w:val="18"/>
              </w:rPr>
              <w:t> </w:t>
            </w:r>
            <w:r>
              <w:rPr>
                <w:color w:val="0B0B0B"/>
                <w:sz w:val="18"/>
              </w:rPr>
              <w:t>a</w:t>
            </w:r>
            <w:r>
              <w:rPr>
                <w:color w:val="0B0B0B"/>
                <w:spacing w:val="40"/>
                <w:sz w:val="18"/>
              </w:rPr>
              <w:t> </w:t>
            </w:r>
            <w:r>
              <w:rPr>
                <w:color w:val="0B0B0B"/>
                <w:sz w:val="18"/>
              </w:rPr>
              <w:t>trabajadores,</w:t>
            </w:r>
            <w:r>
              <w:rPr>
                <w:color w:val="0B0B0B"/>
                <w:spacing w:val="40"/>
                <w:sz w:val="18"/>
              </w:rPr>
              <w:t> </w:t>
            </w:r>
            <w:r>
              <w:rPr>
                <w:color w:val="0B0B0B"/>
                <w:sz w:val="18"/>
              </w:rPr>
              <w:t>socios</w:t>
            </w:r>
            <w:r>
              <w:rPr>
                <w:color w:val="0B0B0B"/>
                <w:spacing w:val="40"/>
                <w:sz w:val="18"/>
              </w:rPr>
              <w:t> </w:t>
            </w:r>
            <w:r>
              <w:rPr>
                <w:color w:val="0B0B0B"/>
                <w:sz w:val="18"/>
              </w:rPr>
              <w:t>o</w:t>
            </w:r>
            <w:r>
              <w:rPr>
                <w:color w:val="0B0B0B"/>
                <w:spacing w:val="40"/>
                <w:sz w:val="18"/>
              </w:rPr>
              <w:t> </w:t>
            </w:r>
            <w:r>
              <w:rPr>
                <w:color w:val="0B0B0B"/>
                <w:sz w:val="18"/>
              </w:rPr>
              <w:t>accionistas</w:t>
            </w:r>
            <w:r>
              <w:rPr>
                <w:color w:val="0B0B0B"/>
                <w:spacing w:val="40"/>
                <w:sz w:val="18"/>
              </w:rPr>
              <w:t> </w:t>
            </w:r>
            <w:r>
              <w:rPr>
                <w:color w:val="0B0B0B"/>
                <w:sz w:val="18"/>
              </w:rPr>
              <w:t>por</w:t>
            </w:r>
            <w:r>
              <w:rPr>
                <w:color w:val="0B0B0B"/>
                <w:spacing w:val="40"/>
                <w:sz w:val="18"/>
              </w:rPr>
              <w:t> </w:t>
            </w:r>
            <w:r>
              <w:rPr>
                <w:color w:val="0B0B0B"/>
                <w:sz w:val="18"/>
              </w:rPr>
              <w:t>concepto</w:t>
            </w:r>
            <w:r>
              <w:rPr>
                <w:color w:val="0B0B0B"/>
                <w:spacing w:val="40"/>
                <w:sz w:val="18"/>
              </w:rPr>
              <w:t> </w:t>
            </w:r>
            <w:r>
              <w:rPr>
                <w:color w:val="0B0B0B"/>
                <w:sz w:val="18"/>
              </w:rPr>
              <w:t>de incentivos laborales, bonos, comisiones o compensaciones complementarias por invención, primas o cualquier otro concepto similar, pagadas a través de terceros. No tienen el tratamiento de ingresos exentos, ni las cantidades pagadas a los terceros</w:t>
            </w:r>
            <w:r>
              <w:rPr>
                <w:color w:val="0B0B0B"/>
                <w:spacing w:val="40"/>
                <w:sz w:val="18"/>
              </w:rPr>
              <w:t> </w:t>
            </w:r>
            <w:r>
              <w:rPr>
                <w:color w:val="0B0B0B"/>
                <w:sz w:val="18"/>
              </w:rPr>
              <w:t>son deducibles, ni es acreditable el IVA que se traslade por dichos pagos.</w:t>
            </w:r>
          </w:p>
          <w:p>
            <w:pPr>
              <w:pStyle w:val="TableParagraph"/>
              <w:spacing w:line="273" w:lineRule="auto" w:before="101"/>
              <w:ind w:left="1972" w:right="61" w:hanging="1008"/>
              <w:jc w:val="both"/>
              <w:rPr>
                <w:sz w:val="18"/>
              </w:rPr>
            </w:pPr>
            <w:r>
              <w:rPr>
                <w:rFonts w:ascii="Arial" w:hAnsi="Arial"/>
                <w:b/>
                <w:color w:val="0B0B0B"/>
                <w:sz w:val="18"/>
              </w:rPr>
              <w:t>44/ISR/PI</w:t>
            </w:r>
            <w:r>
              <w:rPr>
                <w:rFonts w:ascii="Arial" w:hAnsi="Arial"/>
                <w:b/>
                <w:color w:val="0B0B0B"/>
                <w:spacing w:val="40"/>
                <w:sz w:val="18"/>
              </w:rPr>
              <w:t>  </w:t>
            </w:r>
            <w:r>
              <w:rPr>
                <w:color w:val="0B0B0B"/>
                <w:sz w:val="18"/>
              </w:rPr>
              <w:t>Deducción</w:t>
            </w:r>
            <w:r>
              <w:rPr>
                <w:color w:val="0B0B0B"/>
                <w:spacing w:val="-3"/>
                <w:sz w:val="18"/>
              </w:rPr>
              <w:t> </w:t>
            </w:r>
            <w:r>
              <w:rPr>
                <w:color w:val="0B0B0B"/>
                <w:sz w:val="18"/>
              </w:rPr>
              <w:t>de</w:t>
            </w:r>
            <w:r>
              <w:rPr>
                <w:color w:val="0B0B0B"/>
                <w:spacing w:val="-2"/>
                <w:sz w:val="18"/>
              </w:rPr>
              <w:t> </w:t>
            </w:r>
            <w:r>
              <w:rPr>
                <w:color w:val="0B0B0B"/>
                <w:sz w:val="18"/>
              </w:rPr>
              <w:t>erogaciones</w:t>
            </w:r>
            <w:r>
              <w:rPr>
                <w:color w:val="0B0B0B"/>
                <w:spacing w:val="-2"/>
                <w:sz w:val="18"/>
              </w:rPr>
              <w:t> </w:t>
            </w:r>
            <w:r>
              <w:rPr>
                <w:color w:val="0B0B0B"/>
                <w:sz w:val="18"/>
              </w:rPr>
              <w:t>por</w:t>
            </w:r>
            <w:r>
              <w:rPr>
                <w:color w:val="0B0B0B"/>
                <w:spacing w:val="-3"/>
                <w:sz w:val="18"/>
              </w:rPr>
              <w:t> </w:t>
            </w:r>
            <w:r>
              <w:rPr>
                <w:color w:val="0B0B0B"/>
                <w:sz w:val="18"/>
              </w:rPr>
              <w:t>concepto</w:t>
            </w:r>
            <w:r>
              <w:rPr>
                <w:color w:val="0B0B0B"/>
                <w:spacing w:val="-2"/>
                <w:sz w:val="18"/>
              </w:rPr>
              <w:t> </w:t>
            </w:r>
            <w:r>
              <w:rPr>
                <w:color w:val="0B0B0B"/>
                <w:sz w:val="18"/>
              </w:rPr>
              <w:t>de</w:t>
            </w:r>
            <w:r>
              <w:rPr>
                <w:color w:val="0B0B0B"/>
                <w:spacing w:val="-2"/>
                <w:sz w:val="18"/>
              </w:rPr>
              <w:t> </w:t>
            </w:r>
            <w:r>
              <w:rPr>
                <w:color w:val="0B0B0B"/>
                <w:sz w:val="18"/>
              </w:rPr>
              <w:t>prestación</w:t>
            </w:r>
            <w:r>
              <w:rPr>
                <w:color w:val="0B0B0B"/>
                <w:spacing w:val="-2"/>
                <w:sz w:val="18"/>
              </w:rPr>
              <w:t> </w:t>
            </w:r>
            <w:r>
              <w:rPr>
                <w:color w:val="0B0B0B"/>
                <w:sz w:val="18"/>
              </w:rPr>
              <w:t>de</w:t>
            </w:r>
            <w:r>
              <w:rPr>
                <w:color w:val="0B0B0B"/>
                <w:spacing w:val="-2"/>
                <w:sz w:val="18"/>
              </w:rPr>
              <w:t> </w:t>
            </w:r>
            <w:r>
              <w:rPr>
                <w:color w:val="0B0B0B"/>
                <w:sz w:val="18"/>
              </w:rPr>
              <w:t>servicios.</w:t>
            </w:r>
            <w:r>
              <w:rPr>
                <w:color w:val="0B0B0B"/>
                <w:spacing w:val="-2"/>
                <w:sz w:val="18"/>
              </w:rPr>
              <w:t> </w:t>
            </w:r>
            <w:r>
              <w:rPr>
                <w:color w:val="0B0B0B"/>
                <w:sz w:val="18"/>
              </w:rPr>
              <w:t>No</w:t>
            </w:r>
            <w:r>
              <w:rPr>
                <w:color w:val="0B0B0B"/>
                <w:spacing w:val="-3"/>
                <w:sz w:val="18"/>
              </w:rPr>
              <w:t> </w:t>
            </w:r>
            <w:r>
              <w:rPr>
                <w:color w:val="0B0B0B"/>
                <w:sz w:val="18"/>
              </w:rPr>
              <w:t>son</w:t>
            </w:r>
            <w:r>
              <w:rPr>
                <w:color w:val="0B0B0B"/>
                <w:spacing w:val="-3"/>
                <w:sz w:val="18"/>
              </w:rPr>
              <w:t> </w:t>
            </w:r>
            <w:r>
              <w:rPr>
                <w:color w:val="0B0B0B"/>
                <w:sz w:val="18"/>
              </w:rPr>
              <w:t>deducibles si no se acredita que el servicio haya sido efectivamente prestado.</w:t>
            </w:r>
          </w:p>
        </w:tc>
      </w:tr>
      <w:tr>
        <w:trPr>
          <w:trHeight w:val="320" w:hRule="atLeast"/>
        </w:trPr>
        <w:tc>
          <w:tcPr>
            <w:tcW w:w="8986" w:type="dxa"/>
            <w:shd w:val="clear" w:color="auto" w:fill="BCBCBC"/>
          </w:tcPr>
          <w:p>
            <w:pPr>
              <w:pStyle w:val="TableParagraph"/>
              <w:tabs>
                <w:tab w:pos="935" w:val="left" w:leader="none"/>
              </w:tabs>
              <w:spacing w:before="6"/>
              <w:ind w:left="503"/>
              <w:rPr>
                <w:rFonts w:ascii="Arial"/>
                <w:b/>
                <w:sz w:val="18"/>
              </w:rPr>
            </w:pPr>
            <w:r>
              <w:rPr>
                <w:rFonts w:ascii="Arial"/>
                <w:b/>
                <w:color w:val="0B0B0B"/>
                <w:spacing w:val="-4"/>
                <w:sz w:val="18"/>
              </w:rPr>
              <w:t>III.</w:t>
            </w:r>
            <w:r>
              <w:rPr>
                <w:rFonts w:ascii="Arial"/>
                <w:b/>
                <w:color w:val="0B0B0B"/>
                <w:sz w:val="18"/>
              </w:rPr>
              <w:tab/>
              <w:t>Criterios de la Ley</w:t>
            </w:r>
            <w:r>
              <w:rPr>
                <w:rFonts w:ascii="Arial"/>
                <w:b/>
                <w:color w:val="0B0B0B"/>
                <w:spacing w:val="-2"/>
                <w:sz w:val="18"/>
              </w:rPr>
              <w:t> </w:t>
            </w:r>
            <w:r>
              <w:rPr>
                <w:rFonts w:ascii="Arial"/>
                <w:b/>
                <w:color w:val="0B0B0B"/>
                <w:sz w:val="18"/>
              </w:rPr>
              <w:t>del </w:t>
            </w:r>
            <w:r>
              <w:rPr>
                <w:rFonts w:ascii="Arial"/>
                <w:b/>
                <w:color w:val="0B0B0B"/>
                <w:spacing w:val="-5"/>
                <w:sz w:val="18"/>
              </w:rPr>
              <w:t>IVA</w:t>
            </w:r>
          </w:p>
        </w:tc>
      </w:tr>
      <w:tr>
        <w:trPr>
          <w:trHeight w:val="5657" w:hRule="atLeast"/>
        </w:trPr>
        <w:tc>
          <w:tcPr>
            <w:tcW w:w="8986" w:type="dxa"/>
          </w:tcPr>
          <w:p>
            <w:pPr>
              <w:pStyle w:val="TableParagraph"/>
              <w:tabs>
                <w:tab w:pos="1972" w:val="left" w:leader="none"/>
              </w:tabs>
              <w:spacing w:line="273" w:lineRule="auto" w:before="17"/>
              <w:ind w:left="1972" w:right="64" w:hanging="1009"/>
              <w:rPr>
                <w:sz w:val="18"/>
              </w:rPr>
            </w:pPr>
            <w:r>
              <w:rPr>
                <w:rFonts w:ascii="Arial" w:hAnsi="Arial"/>
                <w:b/>
                <w:color w:val="0B0B0B"/>
                <w:spacing w:val="-2"/>
                <w:sz w:val="18"/>
              </w:rPr>
              <w:t>1/IVA/PI</w:t>
            </w:r>
            <w:r>
              <w:rPr>
                <w:rFonts w:ascii="Arial" w:hAnsi="Arial"/>
                <w:b/>
                <w:color w:val="0B0B0B"/>
                <w:sz w:val="18"/>
              </w:rPr>
              <w:tab/>
            </w:r>
            <w:r>
              <w:rPr>
                <w:color w:val="0B0B0B"/>
                <w:sz w:val="18"/>
              </w:rPr>
              <w:t>Alimentos</w:t>
            </w:r>
            <w:r>
              <w:rPr>
                <w:color w:val="0B0B0B"/>
                <w:spacing w:val="40"/>
                <w:sz w:val="18"/>
              </w:rPr>
              <w:t> </w:t>
            </w:r>
            <w:r>
              <w:rPr>
                <w:color w:val="0B0B0B"/>
                <w:sz w:val="18"/>
              </w:rPr>
              <w:t>preparados</w:t>
            </w:r>
            <w:r>
              <w:rPr>
                <w:color w:val="0B0B0B"/>
                <w:spacing w:val="40"/>
                <w:sz w:val="18"/>
              </w:rPr>
              <w:t> </w:t>
            </w:r>
            <w:r>
              <w:rPr>
                <w:color w:val="0B0B0B"/>
                <w:sz w:val="18"/>
              </w:rPr>
              <w:t>para</w:t>
            </w:r>
            <w:r>
              <w:rPr>
                <w:color w:val="0B0B0B"/>
                <w:spacing w:val="40"/>
                <w:sz w:val="18"/>
              </w:rPr>
              <w:t> </w:t>
            </w:r>
            <w:r>
              <w:rPr>
                <w:color w:val="0B0B0B"/>
                <w:sz w:val="18"/>
              </w:rPr>
              <w:t>su</w:t>
            </w:r>
            <w:r>
              <w:rPr>
                <w:color w:val="0B0B0B"/>
                <w:spacing w:val="40"/>
                <w:sz w:val="18"/>
              </w:rPr>
              <w:t> </w:t>
            </w:r>
            <w:r>
              <w:rPr>
                <w:color w:val="0B0B0B"/>
                <w:sz w:val="18"/>
              </w:rPr>
              <w:t>consumo</w:t>
            </w:r>
            <w:r>
              <w:rPr>
                <w:color w:val="0B0B0B"/>
                <w:spacing w:val="40"/>
                <w:sz w:val="18"/>
              </w:rPr>
              <w:t> </w:t>
            </w:r>
            <w:r>
              <w:rPr>
                <w:color w:val="0B0B0B"/>
                <w:sz w:val="18"/>
              </w:rPr>
              <w:t>en</w:t>
            </w:r>
            <w:r>
              <w:rPr>
                <w:color w:val="0B0B0B"/>
                <w:spacing w:val="40"/>
                <w:sz w:val="18"/>
              </w:rPr>
              <w:t> </w:t>
            </w:r>
            <w:r>
              <w:rPr>
                <w:color w:val="0B0B0B"/>
                <w:sz w:val="18"/>
              </w:rPr>
              <w:t>el</w:t>
            </w:r>
            <w:r>
              <w:rPr>
                <w:color w:val="0B0B0B"/>
                <w:spacing w:val="40"/>
                <w:sz w:val="18"/>
              </w:rPr>
              <w:t> </w:t>
            </w:r>
            <w:r>
              <w:rPr>
                <w:color w:val="0B0B0B"/>
                <w:sz w:val="18"/>
              </w:rPr>
              <w:t>lugar</w:t>
            </w:r>
            <w:r>
              <w:rPr>
                <w:color w:val="0B0B0B"/>
                <w:spacing w:val="40"/>
                <w:sz w:val="18"/>
              </w:rPr>
              <w:t> </w:t>
            </w:r>
            <w:r>
              <w:rPr>
                <w:color w:val="0B0B0B"/>
                <w:sz w:val="18"/>
              </w:rPr>
              <w:t>de</w:t>
            </w:r>
            <w:r>
              <w:rPr>
                <w:color w:val="0B0B0B"/>
                <w:spacing w:val="40"/>
                <w:sz w:val="18"/>
              </w:rPr>
              <w:t> </w:t>
            </w:r>
            <w:r>
              <w:rPr>
                <w:color w:val="0B0B0B"/>
                <w:sz w:val="18"/>
              </w:rPr>
              <w:t>su</w:t>
            </w:r>
            <w:r>
              <w:rPr>
                <w:color w:val="0B0B0B"/>
                <w:spacing w:val="40"/>
                <w:sz w:val="18"/>
              </w:rPr>
              <w:t> </w:t>
            </w:r>
            <w:r>
              <w:rPr>
                <w:color w:val="0B0B0B"/>
                <w:sz w:val="18"/>
              </w:rPr>
              <w:t>enajenación</w:t>
            </w:r>
            <w:r>
              <w:rPr>
                <w:color w:val="0B0B0B"/>
                <w:spacing w:val="40"/>
                <w:sz w:val="18"/>
              </w:rPr>
              <w:t> </w:t>
            </w:r>
            <w:r>
              <w:rPr>
                <w:color w:val="0B0B0B"/>
                <w:sz w:val="18"/>
              </w:rPr>
              <w:t>por</w:t>
            </w:r>
            <w:r>
              <w:rPr>
                <w:color w:val="0B0B0B"/>
                <w:spacing w:val="40"/>
                <w:sz w:val="18"/>
              </w:rPr>
              <w:t> </w:t>
            </w:r>
            <w:r>
              <w:rPr>
                <w:color w:val="0B0B0B"/>
                <w:sz w:val="18"/>
              </w:rPr>
              <w:t>las</w:t>
            </w:r>
            <w:r>
              <w:rPr>
                <w:color w:val="0B0B0B"/>
                <w:spacing w:val="40"/>
                <w:sz w:val="18"/>
              </w:rPr>
              <w:t> </w:t>
            </w:r>
            <w:r>
              <w:rPr>
                <w:color w:val="0B0B0B"/>
                <w:sz w:val="18"/>
              </w:rPr>
              <w:t>denominadas tiendas de conveniencia.</w:t>
            </w:r>
          </w:p>
          <w:p>
            <w:pPr>
              <w:pStyle w:val="TableParagraph"/>
              <w:tabs>
                <w:tab w:pos="1972" w:val="left" w:leader="none"/>
              </w:tabs>
              <w:spacing w:before="98"/>
              <w:ind w:left="964"/>
              <w:rPr>
                <w:sz w:val="18"/>
              </w:rPr>
            </w:pPr>
            <w:r>
              <w:rPr>
                <w:rFonts w:ascii="Arial"/>
                <w:b/>
                <w:color w:val="0B0B0B"/>
                <w:spacing w:val="-2"/>
                <w:sz w:val="18"/>
              </w:rPr>
              <w:t>2/IVA/PI</w:t>
            </w:r>
            <w:r>
              <w:rPr>
                <w:rFonts w:ascii="Arial"/>
                <w:b/>
                <w:color w:val="0B0B0B"/>
                <w:sz w:val="18"/>
              </w:rPr>
              <w:tab/>
            </w:r>
            <w:r>
              <w:rPr>
                <w:color w:val="0B0B0B"/>
                <w:spacing w:val="-2"/>
                <w:sz w:val="18"/>
              </w:rPr>
              <w:t>Alimentos</w:t>
            </w:r>
            <w:r>
              <w:rPr>
                <w:color w:val="0B0B0B"/>
                <w:spacing w:val="4"/>
                <w:sz w:val="18"/>
              </w:rPr>
              <w:t> </w:t>
            </w:r>
            <w:r>
              <w:rPr>
                <w:color w:val="0B0B0B"/>
                <w:spacing w:val="-2"/>
                <w:sz w:val="18"/>
              </w:rPr>
              <w:t>preparados.</w:t>
            </w:r>
          </w:p>
          <w:p>
            <w:pPr>
              <w:pStyle w:val="TableParagraph"/>
              <w:tabs>
                <w:tab w:pos="1972" w:val="left" w:leader="none"/>
              </w:tabs>
              <w:spacing w:before="129"/>
              <w:ind w:left="964"/>
              <w:rPr>
                <w:sz w:val="18"/>
              </w:rPr>
            </w:pPr>
            <w:r>
              <w:rPr>
                <w:rFonts w:ascii="Arial"/>
                <w:b/>
                <w:color w:val="0B0B0B"/>
                <w:spacing w:val="-2"/>
                <w:sz w:val="18"/>
              </w:rPr>
              <w:t>3/IVA/PI</w:t>
            </w:r>
            <w:r>
              <w:rPr>
                <w:rFonts w:ascii="Arial"/>
                <w:b/>
                <w:color w:val="0B0B0B"/>
                <w:sz w:val="18"/>
              </w:rPr>
              <w:tab/>
            </w:r>
            <w:r>
              <w:rPr>
                <w:color w:val="0B0B0B"/>
                <w:sz w:val="18"/>
              </w:rPr>
              <w:t>Servicio</w:t>
            </w:r>
            <w:r>
              <w:rPr>
                <w:color w:val="0B0B0B"/>
                <w:spacing w:val="-10"/>
                <w:sz w:val="18"/>
              </w:rPr>
              <w:t> </w:t>
            </w:r>
            <w:r>
              <w:rPr>
                <w:color w:val="0B0B0B"/>
                <w:sz w:val="18"/>
              </w:rPr>
              <w:t>de</w:t>
            </w:r>
            <w:r>
              <w:rPr>
                <w:color w:val="0B0B0B"/>
                <w:spacing w:val="-10"/>
                <w:sz w:val="18"/>
              </w:rPr>
              <w:t> </w:t>
            </w:r>
            <w:r>
              <w:rPr>
                <w:color w:val="0B0B0B"/>
                <w:sz w:val="18"/>
              </w:rPr>
              <w:t>itinerancia</w:t>
            </w:r>
            <w:r>
              <w:rPr>
                <w:color w:val="0B0B0B"/>
                <w:spacing w:val="-10"/>
                <w:sz w:val="18"/>
              </w:rPr>
              <w:t> </w:t>
            </w:r>
            <w:r>
              <w:rPr>
                <w:color w:val="0B0B0B"/>
                <w:sz w:val="18"/>
              </w:rPr>
              <w:t>internacional</w:t>
            </w:r>
            <w:r>
              <w:rPr>
                <w:color w:val="0B0B0B"/>
                <w:spacing w:val="-10"/>
                <w:sz w:val="18"/>
              </w:rPr>
              <w:t> </w:t>
            </w:r>
            <w:r>
              <w:rPr>
                <w:color w:val="0B0B0B"/>
                <w:sz w:val="18"/>
              </w:rPr>
              <w:t>o</w:t>
            </w:r>
            <w:r>
              <w:rPr>
                <w:color w:val="0B0B0B"/>
                <w:spacing w:val="-10"/>
                <w:sz w:val="18"/>
              </w:rPr>
              <w:t> </w:t>
            </w:r>
            <w:r>
              <w:rPr>
                <w:color w:val="0B0B0B"/>
                <w:spacing w:val="-2"/>
                <w:sz w:val="18"/>
              </w:rPr>
              <w:t>global.</w:t>
            </w:r>
          </w:p>
          <w:p>
            <w:pPr>
              <w:pStyle w:val="TableParagraph"/>
              <w:tabs>
                <w:tab w:pos="1972" w:val="left" w:leader="none"/>
              </w:tabs>
              <w:spacing w:line="273" w:lineRule="auto" w:before="126"/>
              <w:ind w:left="1972" w:right="64" w:hanging="1008"/>
              <w:rPr>
                <w:sz w:val="18"/>
              </w:rPr>
            </w:pPr>
            <w:r>
              <w:rPr>
                <w:rFonts w:ascii="Arial" w:hAnsi="Arial"/>
                <w:b/>
                <w:color w:val="0B0B0B"/>
                <w:spacing w:val="-2"/>
                <w:sz w:val="18"/>
              </w:rPr>
              <w:t>4/IVA/PI</w:t>
            </w:r>
            <w:r>
              <w:rPr>
                <w:rFonts w:ascii="Arial" w:hAnsi="Arial"/>
                <w:b/>
                <w:color w:val="0B0B0B"/>
                <w:sz w:val="18"/>
              </w:rPr>
              <w:tab/>
            </w:r>
            <w:r>
              <w:rPr>
                <w:color w:val="0B0B0B"/>
                <w:sz w:val="18"/>
              </w:rPr>
              <w:t>Prestación</w:t>
            </w:r>
            <w:r>
              <w:rPr>
                <w:color w:val="0B0B0B"/>
                <w:spacing w:val="37"/>
                <w:sz w:val="18"/>
              </w:rPr>
              <w:t> </w:t>
            </w:r>
            <w:r>
              <w:rPr>
                <w:color w:val="0B0B0B"/>
                <w:sz w:val="18"/>
              </w:rPr>
              <w:t>de</w:t>
            </w:r>
            <w:r>
              <w:rPr>
                <w:color w:val="0B0B0B"/>
                <w:spacing w:val="38"/>
                <w:sz w:val="18"/>
              </w:rPr>
              <w:t> </w:t>
            </w:r>
            <w:r>
              <w:rPr>
                <w:color w:val="0B0B0B"/>
                <w:sz w:val="18"/>
              </w:rPr>
              <w:t>servicios</w:t>
            </w:r>
            <w:r>
              <w:rPr>
                <w:color w:val="0B0B0B"/>
                <w:spacing w:val="37"/>
                <w:sz w:val="18"/>
              </w:rPr>
              <w:t> </w:t>
            </w:r>
            <w:r>
              <w:rPr>
                <w:color w:val="0B0B0B"/>
                <w:sz w:val="18"/>
              </w:rPr>
              <w:t>en</w:t>
            </w:r>
            <w:r>
              <w:rPr>
                <w:color w:val="0B0B0B"/>
                <w:spacing w:val="37"/>
                <w:sz w:val="18"/>
              </w:rPr>
              <w:t> </w:t>
            </w:r>
            <w:r>
              <w:rPr>
                <w:color w:val="0B0B0B"/>
                <w:sz w:val="18"/>
              </w:rPr>
              <w:t>territorio</w:t>
            </w:r>
            <w:r>
              <w:rPr>
                <w:color w:val="0B0B0B"/>
                <w:spacing w:val="37"/>
                <w:sz w:val="18"/>
              </w:rPr>
              <w:t> </w:t>
            </w:r>
            <w:r>
              <w:rPr>
                <w:color w:val="0B0B0B"/>
                <w:sz w:val="18"/>
              </w:rPr>
              <w:t>nacional</w:t>
            </w:r>
            <w:r>
              <w:rPr>
                <w:color w:val="0B0B0B"/>
                <w:spacing w:val="37"/>
                <w:sz w:val="18"/>
              </w:rPr>
              <w:t> </w:t>
            </w:r>
            <w:r>
              <w:rPr>
                <w:color w:val="0B0B0B"/>
                <w:sz w:val="18"/>
              </w:rPr>
              <w:t>a</w:t>
            </w:r>
            <w:r>
              <w:rPr>
                <w:color w:val="0B0B0B"/>
                <w:spacing w:val="37"/>
                <w:sz w:val="18"/>
              </w:rPr>
              <w:t> </w:t>
            </w:r>
            <w:r>
              <w:rPr>
                <w:color w:val="0B0B0B"/>
                <w:sz w:val="18"/>
              </w:rPr>
              <w:t>través</w:t>
            </w:r>
            <w:r>
              <w:rPr>
                <w:color w:val="0B0B0B"/>
                <w:spacing w:val="37"/>
                <w:sz w:val="18"/>
              </w:rPr>
              <w:t> </w:t>
            </w:r>
            <w:r>
              <w:rPr>
                <w:color w:val="0B0B0B"/>
                <w:sz w:val="18"/>
              </w:rPr>
              <w:t>de</w:t>
            </w:r>
            <w:r>
              <w:rPr>
                <w:color w:val="0B0B0B"/>
                <w:spacing w:val="37"/>
                <w:sz w:val="18"/>
              </w:rPr>
              <w:t> </w:t>
            </w:r>
            <w:r>
              <w:rPr>
                <w:color w:val="0B0B0B"/>
                <w:sz w:val="18"/>
              </w:rPr>
              <w:t>la</w:t>
            </w:r>
            <w:r>
              <w:rPr>
                <w:color w:val="0B0B0B"/>
                <w:spacing w:val="37"/>
                <w:sz w:val="18"/>
              </w:rPr>
              <w:t> </w:t>
            </w:r>
            <w:r>
              <w:rPr>
                <w:color w:val="0B0B0B"/>
                <w:sz w:val="18"/>
              </w:rPr>
              <w:t>figura</w:t>
            </w:r>
            <w:r>
              <w:rPr>
                <w:color w:val="0B0B0B"/>
                <w:spacing w:val="37"/>
                <w:sz w:val="18"/>
              </w:rPr>
              <w:t> </w:t>
            </w:r>
            <w:r>
              <w:rPr>
                <w:color w:val="0B0B0B"/>
                <w:sz w:val="18"/>
              </w:rPr>
              <w:t>de</w:t>
            </w:r>
            <w:r>
              <w:rPr>
                <w:color w:val="0B0B0B"/>
                <w:spacing w:val="38"/>
                <w:sz w:val="18"/>
              </w:rPr>
              <w:t> </w:t>
            </w:r>
            <w:r>
              <w:rPr>
                <w:color w:val="0B0B0B"/>
                <w:sz w:val="18"/>
              </w:rPr>
              <w:t>comisionista </w:t>
            </w:r>
            <w:r>
              <w:rPr>
                <w:color w:val="0B0B0B"/>
                <w:spacing w:val="-2"/>
                <w:sz w:val="18"/>
              </w:rPr>
              <w:t>mercantil.</w:t>
            </w:r>
          </w:p>
          <w:p>
            <w:pPr>
              <w:pStyle w:val="TableParagraph"/>
              <w:tabs>
                <w:tab w:pos="1972" w:val="left" w:leader="none"/>
              </w:tabs>
              <w:spacing w:before="98"/>
              <w:ind w:left="964"/>
              <w:rPr>
                <w:sz w:val="18"/>
              </w:rPr>
            </w:pPr>
            <w:r>
              <w:rPr>
                <w:rFonts w:ascii="Arial" w:hAnsi="Arial"/>
                <w:b/>
                <w:color w:val="0B0B0B"/>
                <w:spacing w:val="-2"/>
                <w:sz w:val="18"/>
              </w:rPr>
              <w:t>5/IVA/PI</w:t>
            </w:r>
            <w:r>
              <w:rPr>
                <w:rFonts w:ascii="Arial" w:hAnsi="Arial"/>
                <w:b/>
                <w:color w:val="0B0B0B"/>
                <w:sz w:val="18"/>
              </w:rPr>
              <w:tab/>
            </w:r>
            <w:r>
              <w:rPr>
                <w:color w:val="0B0B0B"/>
                <w:sz w:val="18"/>
              </w:rPr>
              <w:t>Enajenación</w:t>
            </w:r>
            <w:r>
              <w:rPr>
                <w:color w:val="0B0B0B"/>
                <w:spacing w:val="-9"/>
                <w:sz w:val="18"/>
              </w:rPr>
              <w:t> </w:t>
            </w:r>
            <w:r>
              <w:rPr>
                <w:color w:val="0B0B0B"/>
                <w:sz w:val="18"/>
              </w:rPr>
              <w:t>de</w:t>
            </w:r>
            <w:r>
              <w:rPr>
                <w:color w:val="0B0B0B"/>
                <w:spacing w:val="-8"/>
                <w:sz w:val="18"/>
              </w:rPr>
              <w:t> </w:t>
            </w:r>
            <w:r>
              <w:rPr>
                <w:color w:val="0B0B0B"/>
                <w:sz w:val="18"/>
              </w:rPr>
              <w:t>efectos</w:t>
            </w:r>
            <w:r>
              <w:rPr>
                <w:color w:val="0B0B0B"/>
                <w:spacing w:val="-8"/>
                <w:sz w:val="18"/>
              </w:rPr>
              <w:t> </w:t>
            </w:r>
            <w:r>
              <w:rPr>
                <w:color w:val="0B0B0B"/>
                <w:spacing w:val="-2"/>
                <w:sz w:val="18"/>
              </w:rPr>
              <w:t>salvados.</w:t>
            </w:r>
          </w:p>
          <w:p>
            <w:pPr>
              <w:pStyle w:val="TableParagraph"/>
              <w:tabs>
                <w:tab w:pos="1972" w:val="left" w:leader="none"/>
              </w:tabs>
              <w:spacing w:before="128"/>
              <w:ind w:left="964"/>
              <w:rPr>
                <w:sz w:val="18"/>
              </w:rPr>
            </w:pPr>
            <w:r>
              <w:rPr>
                <w:rFonts w:ascii="Arial" w:hAnsi="Arial"/>
                <w:b/>
                <w:color w:val="0B0B0B"/>
                <w:spacing w:val="-2"/>
                <w:sz w:val="18"/>
              </w:rPr>
              <w:t>6/IVA/PI</w:t>
            </w:r>
            <w:r>
              <w:rPr>
                <w:rFonts w:ascii="Arial" w:hAnsi="Arial"/>
                <w:b/>
                <w:color w:val="0B0B0B"/>
                <w:sz w:val="18"/>
              </w:rPr>
              <w:tab/>
            </w:r>
            <w:r>
              <w:rPr>
                <w:color w:val="0B0B0B"/>
                <w:sz w:val="18"/>
              </w:rPr>
              <w:t>Retención</w:t>
            </w:r>
            <w:r>
              <w:rPr>
                <w:color w:val="0B0B0B"/>
                <w:spacing w:val="-8"/>
                <w:sz w:val="18"/>
              </w:rPr>
              <w:t> </w:t>
            </w:r>
            <w:r>
              <w:rPr>
                <w:color w:val="0B0B0B"/>
                <w:sz w:val="18"/>
              </w:rPr>
              <w:t>a</w:t>
            </w:r>
            <w:r>
              <w:rPr>
                <w:color w:val="0B0B0B"/>
                <w:spacing w:val="-9"/>
                <w:sz w:val="18"/>
              </w:rPr>
              <w:t> </w:t>
            </w:r>
            <w:r>
              <w:rPr>
                <w:color w:val="0B0B0B"/>
                <w:sz w:val="18"/>
              </w:rPr>
              <w:t>residentes</w:t>
            </w:r>
            <w:r>
              <w:rPr>
                <w:color w:val="0B0B0B"/>
                <w:spacing w:val="-9"/>
                <w:sz w:val="18"/>
              </w:rPr>
              <w:t> </w:t>
            </w:r>
            <w:r>
              <w:rPr>
                <w:color w:val="0B0B0B"/>
                <w:sz w:val="18"/>
              </w:rPr>
              <w:t>en</w:t>
            </w:r>
            <w:r>
              <w:rPr>
                <w:color w:val="0B0B0B"/>
                <w:spacing w:val="-8"/>
                <w:sz w:val="18"/>
              </w:rPr>
              <w:t> </w:t>
            </w:r>
            <w:r>
              <w:rPr>
                <w:color w:val="0B0B0B"/>
                <w:sz w:val="18"/>
              </w:rPr>
              <w:t>el</w:t>
            </w:r>
            <w:r>
              <w:rPr>
                <w:color w:val="0B0B0B"/>
                <w:spacing w:val="-10"/>
                <w:sz w:val="18"/>
              </w:rPr>
              <w:t> </w:t>
            </w:r>
            <w:r>
              <w:rPr>
                <w:color w:val="0B0B0B"/>
                <w:sz w:val="18"/>
              </w:rPr>
              <w:t>extranjero</w:t>
            </w:r>
            <w:r>
              <w:rPr>
                <w:color w:val="0B0B0B"/>
                <w:spacing w:val="-8"/>
                <w:sz w:val="18"/>
              </w:rPr>
              <w:t> </w:t>
            </w:r>
            <w:r>
              <w:rPr>
                <w:color w:val="0B0B0B"/>
                <w:sz w:val="18"/>
              </w:rPr>
              <w:t>sin</w:t>
            </w:r>
            <w:r>
              <w:rPr>
                <w:color w:val="0B0B0B"/>
                <w:spacing w:val="-8"/>
                <w:sz w:val="18"/>
              </w:rPr>
              <w:t> </w:t>
            </w:r>
            <w:r>
              <w:rPr>
                <w:color w:val="0B0B0B"/>
                <w:sz w:val="18"/>
              </w:rPr>
              <w:t>establecimiento</w:t>
            </w:r>
            <w:r>
              <w:rPr>
                <w:color w:val="0B0B0B"/>
                <w:spacing w:val="-9"/>
                <w:sz w:val="18"/>
              </w:rPr>
              <w:t> </w:t>
            </w:r>
            <w:r>
              <w:rPr>
                <w:color w:val="0B0B0B"/>
                <w:sz w:val="18"/>
              </w:rPr>
              <w:t>permanente</w:t>
            </w:r>
            <w:r>
              <w:rPr>
                <w:color w:val="0B0B0B"/>
                <w:spacing w:val="-8"/>
                <w:sz w:val="18"/>
              </w:rPr>
              <w:t> </w:t>
            </w:r>
            <w:r>
              <w:rPr>
                <w:color w:val="0B0B0B"/>
                <w:sz w:val="18"/>
              </w:rPr>
              <w:t>en</w:t>
            </w:r>
            <w:r>
              <w:rPr>
                <w:color w:val="0B0B0B"/>
                <w:spacing w:val="-9"/>
                <w:sz w:val="18"/>
              </w:rPr>
              <w:t> </w:t>
            </w:r>
            <w:r>
              <w:rPr>
                <w:color w:val="0B0B0B"/>
                <w:sz w:val="18"/>
              </w:rPr>
              <w:t>el</w:t>
            </w:r>
            <w:r>
              <w:rPr>
                <w:color w:val="0B0B0B"/>
                <w:spacing w:val="-9"/>
                <w:sz w:val="18"/>
              </w:rPr>
              <w:t> </w:t>
            </w:r>
            <w:r>
              <w:rPr>
                <w:color w:val="0B0B0B"/>
                <w:spacing w:val="-2"/>
                <w:sz w:val="18"/>
              </w:rPr>
              <w:t>país.</w:t>
            </w:r>
          </w:p>
          <w:p>
            <w:pPr>
              <w:pStyle w:val="TableParagraph"/>
              <w:tabs>
                <w:tab w:pos="1972" w:val="left" w:leader="none"/>
              </w:tabs>
              <w:spacing w:line="273" w:lineRule="auto" w:before="127"/>
              <w:ind w:left="1972" w:right="64" w:hanging="1008"/>
              <w:rPr>
                <w:sz w:val="18"/>
              </w:rPr>
            </w:pPr>
            <w:r>
              <w:rPr>
                <w:rFonts w:ascii="Arial" w:hAnsi="Arial"/>
                <w:b/>
                <w:color w:val="0B0B0B"/>
                <w:spacing w:val="-2"/>
                <w:sz w:val="18"/>
              </w:rPr>
              <w:t>7/IVA/PI</w:t>
            </w:r>
            <w:r>
              <w:rPr>
                <w:rFonts w:ascii="Arial" w:hAnsi="Arial"/>
                <w:b/>
                <w:color w:val="0B0B0B"/>
                <w:sz w:val="18"/>
              </w:rPr>
              <w:tab/>
            </w:r>
            <w:r>
              <w:rPr>
                <w:color w:val="0B0B0B"/>
                <w:sz w:val="18"/>
              </w:rPr>
              <w:t>IVA en transportación aérea que inicia en la franja fronteriza. No puede considerarse como prestado solamente el 25% del servicio.</w:t>
            </w:r>
          </w:p>
          <w:p>
            <w:pPr>
              <w:pStyle w:val="TableParagraph"/>
              <w:tabs>
                <w:tab w:pos="1972" w:val="left" w:leader="none"/>
              </w:tabs>
              <w:spacing w:line="273" w:lineRule="auto" w:before="97"/>
              <w:ind w:left="1972" w:right="64" w:hanging="1008"/>
              <w:rPr>
                <w:sz w:val="18"/>
              </w:rPr>
            </w:pPr>
            <w:r>
              <w:rPr>
                <w:rFonts w:ascii="Arial" w:hAnsi="Arial"/>
                <w:b/>
                <w:color w:val="0B0B0B"/>
                <w:spacing w:val="-2"/>
                <w:sz w:val="18"/>
              </w:rPr>
              <w:t>8/IVA/PI</w:t>
            </w:r>
            <w:r>
              <w:rPr>
                <w:rFonts w:ascii="Arial" w:hAnsi="Arial"/>
                <w:b/>
                <w:color w:val="0B0B0B"/>
                <w:sz w:val="18"/>
              </w:rPr>
              <w:tab/>
            </w:r>
            <w:r>
              <w:rPr>
                <w:color w:val="0B0B0B"/>
                <w:sz w:val="18"/>
              </w:rPr>
              <w:t>Traslado</w:t>
            </w:r>
            <w:r>
              <w:rPr>
                <w:color w:val="0B0B0B"/>
                <w:spacing w:val="40"/>
                <w:sz w:val="18"/>
              </w:rPr>
              <w:t> </w:t>
            </w:r>
            <w:r>
              <w:rPr>
                <w:color w:val="0B0B0B"/>
                <w:sz w:val="18"/>
              </w:rPr>
              <w:t>indebido</w:t>
            </w:r>
            <w:r>
              <w:rPr>
                <w:color w:val="0B0B0B"/>
                <w:spacing w:val="40"/>
                <w:sz w:val="18"/>
              </w:rPr>
              <w:t> </w:t>
            </w:r>
            <w:r>
              <w:rPr>
                <w:color w:val="0B0B0B"/>
                <w:sz w:val="18"/>
              </w:rPr>
              <w:t>de</w:t>
            </w:r>
            <w:r>
              <w:rPr>
                <w:color w:val="0B0B0B"/>
                <w:spacing w:val="40"/>
                <w:sz w:val="18"/>
              </w:rPr>
              <w:t> </w:t>
            </w:r>
            <w:r>
              <w:rPr>
                <w:color w:val="0B0B0B"/>
                <w:sz w:val="18"/>
              </w:rPr>
              <w:t>IVA.</w:t>
            </w:r>
            <w:r>
              <w:rPr>
                <w:color w:val="0B0B0B"/>
                <w:spacing w:val="40"/>
                <w:sz w:val="18"/>
              </w:rPr>
              <w:t> </w:t>
            </w:r>
            <w:r>
              <w:rPr>
                <w:color w:val="0B0B0B"/>
                <w:sz w:val="18"/>
              </w:rPr>
              <w:t>Transporte</w:t>
            </w:r>
            <w:r>
              <w:rPr>
                <w:color w:val="0B0B0B"/>
                <w:spacing w:val="40"/>
                <w:sz w:val="18"/>
              </w:rPr>
              <w:t> </w:t>
            </w:r>
            <w:r>
              <w:rPr>
                <w:color w:val="0B0B0B"/>
                <w:sz w:val="18"/>
              </w:rPr>
              <w:t>de</w:t>
            </w:r>
            <w:r>
              <w:rPr>
                <w:color w:val="0B0B0B"/>
                <w:spacing w:val="40"/>
                <w:sz w:val="18"/>
              </w:rPr>
              <w:t> </w:t>
            </w:r>
            <w:r>
              <w:rPr>
                <w:color w:val="0B0B0B"/>
                <w:sz w:val="18"/>
              </w:rPr>
              <w:t>bienes</w:t>
            </w:r>
            <w:r>
              <w:rPr>
                <w:color w:val="0B0B0B"/>
                <w:spacing w:val="40"/>
                <w:sz w:val="18"/>
              </w:rPr>
              <w:t> </w:t>
            </w:r>
            <w:r>
              <w:rPr>
                <w:color w:val="0B0B0B"/>
                <w:sz w:val="18"/>
              </w:rPr>
              <w:t>no</w:t>
            </w:r>
            <w:r>
              <w:rPr>
                <w:color w:val="0B0B0B"/>
                <w:spacing w:val="40"/>
                <w:sz w:val="18"/>
              </w:rPr>
              <w:t> </w:t>
            </w:r>
            <w:r>
              <w:rPr>
                <w:color w:val="0B0B0B"/>
                <w:sz w:val="18"/>
              </w:rPr>
              <w:t>corresponde</w:t>
            </w:r>
            <w:r>
              <w:rPr>
                <w:color w:val="0B0B0B"/>
                <w:spacing w:val="40"/>
                <w:sz w:val="18"/>
              </w:rPr>
              <w:t> </w:t>
            </w:r>
            <w:r>
              <w:rPr>
                <w:color w:val="0B0B0B"/>
                <w:sz w:val="18"/>
              </w:rPr>
              <w:t>al</w:t>
            </w:r>
            <w:r>
              <w:rPr>
                <w:color w:val="0B0B0B"/>
                <w:spacing w:val="40"/>
                <w:sz w:val="18"/>
              </w:rPr>
              <w:t> </w:t>
            </w:r>
            <w:r>
              <w:rPr>
                <w:color w:val="0B0B0B"/>
                <w:sz w:val="18"/>
              </w:rPr>
              <w:t>servicio</w:t>
            </w:r>
            <w:r>
              <w:rPr>
                <w:color w:val="0B0B0B"/>
                <w:spacing w:val="40"/>
                <w:sz w:val="18"/>
              </w:rPr>
              <w:t> </w:t>
            </w:r>
            <w:r>
              <w:rPr>
                <w:color w:val="0B0B0B"/>
                <w:sz w:val="18"/>
              </w:rPr>
              <w:t>de</w:t>
            </w:r>
            <w:r>
              <w:rPr>
                <w:color w:val="0B0B0B"/>
                <w:spacing w:val="40"/>
                <w:sz w:val="18"/>
              </w:rPr>
              <w:t> </w:t>
            </w:r>
            <w:r>
              <w:rPr>
                <w:color w:val="0B0B0B"/>
                <w:sz w:val="18"/>
              </w:rPr>
              <w:t>cosecha y recolección.</w:t>
            </w:r>
          </w:p>
          <w:p>
            <w:pPr>
              <w:pStyle w:val="TableParagraph"/>
              <w:tabs>
                <w:tab w:pos="1972" w:val="left" w:leader="none"/>
              </w:tabs>
              <w:spacing w:before="99"/>
              <w:ind w:left="964"/>
              <w:rPr>
                <w:sz w:val="18"/>
              </w:rPr>
            </w:pPr>
            <w:r>
              <w:rPr>
                <w:rFonts w:ascii="Arial"/>
                <w:b/>
                <w:color w:val="0B0B0B"/>
                <w:spacing w:val="-2"/>
                <w:sz w:val="18"/>
              </w:rPr>
              <w:t>9/IVA/PI</w:t>
            </w:r>
            <w:r>
              <w:rPr>
                <w:rFonts w:ascii="Arial"/>
                <w:b/>
                <w:color w:val="0B0B0B"/>
                <w:sz w:val="18"/>
              </w:rPr>
              <w:tab/>
            </w:r>
            <w:r>
              <w:rPr>
                <w:color w:val="0B0B0B"/>
                <w:spacing w:val="-2"/>
                <w:sz w:val="18"/>
              </w:rPr>
              <w:t>Acreditamiento</w:t>
            </w:r>
            <w:r>
              <w:rPr>
                <w:color w:val="0B0B0B"/>
                <w:spacing w:val="2"/>
                <w:sz w:val="18"/>
              </w:rPr>
              <w:t> </w:t>
            </w:r>
            <w:r>
              <w:rPr>
                <w:color w:val="0B0B0B"/>
                <w:spacing w:val="-2"/>
                <w:sz w:val="18"/>
              </w:rPr>
              <w:t>indebido</w:t>
            </w:r>
            <w:r>
              <w:rPr>
                <w:color w:val="0B0B0B"/>
                <w:spacing w:val="3"/>
                <w:sz w:val="18"/>
              </w:rPr>
              <w:t> </w:t>
            </w:r>
            <w:r>
              <w:rPr>
                <w:color w:val="0B0B0B"/>
                <w:spacing w:val="-2"/>
                <w:sz w:val="18"/>
              </w:rPr>
              <w:t>de</w:t>
            </w:r>
            <w:r>
              <w:rPr>
                <w:color w:val="0B0B0B"/>
                <w:spacing w:val="3"/>
                <w:sz w:val="18"/>
              </w:rPr>
              <w:t> </w:t>
            </w:r>
            <w:r>
              <w:rPr>
                <w:color w:val="0B0B0B"/>
                <w:spacing w:val="-4"/>
                <w:sz w:val="18"/>
              </w:rPr>
              <w:t>IVA.</w:t>
            </w:r>
          </w:p>
          <w:p>
            <w:pPr>
              <w:pStyle w:val="TableParagraph"/>
              <w:tabs>
                <w:tab w:pos="1972" w:val="left" w:leader="none"/>
              </w:tabs>
              <w:spacing w:before="128"/>
              <w:ind w:left="964"/>
              <w:rPr>
                <w:sz w:val="18"/>
              </w:rPr>
            </w:pPr>
            <w:r>
              <w:rPr>
                <w:rFonts w:ascii="Arial" w:hAnsi="Arial"/>
                <w:b/>
                <w:color w:val="0B0B0B"/>
                <w:spacing w:val="-2"/>
                <w:sz w:val="18"/>
              </w:rPr>
              <w:t>10/IVA/PI</w:t>
            </w:r>
            <w:r>
              <w:rPr>
                <w:rFonts w:ascii="Arial" w:hAnsi="Arial"/>
                <w:b/>
                <w:color w:val="0B0B0B"/>
                <w:sz w:val="18"/>
              </w:rPr>
              <w:tab/>
            </w:r>
            <w:r>
              <w:rPr>
                <w:color w:val="0B0B0B"/>
                <w:sz w:val="18"/>
              </w:rPr>
              <w:t>Bienes</w:t>
            </w:r>
            <w:r>
              <w:rPr>
                <w:color w:val="0B0B0B"/>
                <w:spacing w:val="-10"/>
                <w:sz w:val="18"/>
              </w:rPr>
              <w:t> </w:t>
            </w:r>
            <w:r>
              <w:rPr>
                <w:color w:val="0B0B0B"/>
                <w:sz w:val="18"/>
              </w:rPr>
              <w:t>inmuebles</w:t>
            </w:r>
            <w:r>
              <w:rPr>
                <w:color w:val="0B0B0B"/>
                <w:spacing w:val="-10"/>
                <w:sz w:val="18"/>
              </w:rPr>
              <w:t> </w:t>
            </w:r>
            <w:r>
              <w:rPr>
                <w:color w:val="0B0B0B"/>
                <w:sz w:val="18"/>
              </w:rPr>
              <w:t>destinados</w:t>
            </w:r>
            <w:r>
              <w:rPr>
                <w:color w:val="0B0B0B"/>
                <w:spacing w:val="-9"/>
                <w:sz w:val="18"/>
              </w:rPr>
              <w:t> </w:t>
            </w:r>
            <w:r>
              <w:rPr>
                <w:color w:val="0B0B0B"/>
                <w:sz w:val="18"/>
              </w:rPr>
              <w:t>a</w:t>
            </w:r>
            <w:r>
              <w:rPr>
                <w:color w:val="0B0B0B"/>
                <w:spacing w:val="-9"/>
                <w:sz w:val="18"/>
              </w:rPr>
              <w:t> </w:t>
            </w:r>
            <w:r>
              <w:rPr>
                <w:color w:val="0B0B0B"/>
                <w:sz w:val="18"/>
              </w:rPr>
              <w:t>hospedaje,</w:t>
            </w:r>
            <w:r>
              <w:rPr>
                <w:color w:val="0B0B0B"/>
                <w:spacing w:val="-10"/>
                <w:sz w:val="18"/>
              </w:rPr>
              <w:t> </w:t>
            </w:r>
            <w:r>
              <w:rPr>
                <w:color w:val="0B0B0B"/>
                <w:sz w:val="18"/>
              </w:rPr>
              <w:t>a</w:t>
            </w:r>
            <w:r>
              <w:rPr>
                <w:color w:val="0B0B0B"/>
                <w:spacing w:val="-9"/>
                <w:sz w:val="18"/>
              </w:rPr>
              <w:t> </w:t>
            </w:r>
            <w:r>
              <w:rPr>
                <w:color w:val="0B0B0B"/>
                <w:sz w:val="18"/>
              </w:rPr>
              <w:t>través</w:t>
            </w:r>
            <w:r>
              <w:rPr>
                <w:color w:val="0B0B0B"/>
                <w:spacing w:val="-10"/>
                <w:sz w:val="18"/>
              </w:rPr>
              <w:t> </w:t>
            </w:r>
            <w:r>
              <w:rPr>
                <w:color w:val="0B0B0B"/>
                <w:sz w:val="18"/>
              </w:rPr>
              <w:t>de</w:t>
            </w:r>
            <w:r>
              <w:rPr>
                <w:color w:val="0B0B0B"/>
                <w:spacing w:val="-10"/>
                <w:sz w:val="18"/>
              </w:rPr>
              <w:t> </w:t>
            </w:r>
            <w:r>
              <w:rPr>
                <w:color w:val="0B0B0B"/>
                <w:sz w:val="18"/>
              </w:rPr>
              <w:t>plataformas</w:t>
            </w:r>
            <w:r>
              <w:rPr>
                <w:color w:val="0B0B0B"/>
                <w:spacing w:val="-10"/>
                <w:sz w:val="18"/>
              </w:rPr>
              <w:t> </w:t>
            </w:r>
            <w:r>
              <w:rPr>
                <w:color w:val="0B0B0B"/>
                <w:spacing w:val="-2"/>
                <w:sz w:val="18"/>
              </w:rPr>
              <w:t>tecnológicas.</w:t>
            </w:r>
          </w:p>
          <w:p>
            <w:pPr>
              <w:pStyle w:val="TableParagraph"/>
              <w:spacing w:line="271" w:lineRule="auto" w:before="126"/>
              <w:ind w:left="1972" w:right="60" w:hanging="1008"/>
              <w:jc w:val="both"/>
              <w:rPr>
                <w:sz w:val="18"/>
              </w:rPr>
            </w:pPr>
            <w:r>
              <w:rPr>
                <w:rFonts w:ascii="Arial" w:hAnsi="Arial"/>
                <w:b/>
                <w:color w:val="0B0B0B"/>
                <w:sz w:val="18"/>
              </w:rPr>
              <w:t>11/IVA/PI</w:t>
            </w:r>
            <w:r>
              <w:rPr>
                <w:rFonts w:ascii="Arial" w:hAnsi="Arial"/>
                <w:b/>
                <w:color w:val="0B0B0B"/>
                <w:spacing w:val="80"/>
                <w:w w:val="150"/>
                <w:sz w:val="18"/>
              </w:rPr>
              <w:t> </w:t>
            </w:r>
            <w:r>
              <w:rPr>
                <w:color w:val="0B0B0B"/>
                <w:sz w:val="18"/>
              </w:rPr>
              <w:t>Es improcedente acreditar el IVA sin cumplir</w:t>
            </w:r>
            <w:r>
              <w:rPr>
                <w:color w:val="0B0B0B"/>
                <w:sz w:val="18"/>
              </w:rPr>
              <w:t> los requisitos que establece la ley, así como la compensación de saldos a favor de IVA contra retenciones del ISR,</w:t>
            </w:r>
            <w:r>
              <w:rPr>
                <w:color w:val="0B0B0B"/>
                <w:spacing w:val="40"/>
                <w:sz w:val="18"/>
              </w:rPr>
              <w:t> </w:t>
            </w:r>
            <w:r>
              <w:rPr>
                <w:color w:val="0B0B0B"/>
                <w:sz w:val="18"/>
              </w:rPr>
              <w:t>tratándose de la Federación, la Ciudad de México, los Estados y los Municipios.</w:t>
            </w:r>
          </w:p>
          <w:p>
            <w:pPr>
              <w:pStyle w:val="TableParagraph"/>
              <w:spacing w:before="102"/>
              <w:ind w:left="964"/>
              <w:jc w:val="both"/>
              <w:rPr>
                <w:sz w:val="18"/>
              </w:rPr>
            </w:pPr>
            <w:r>
              <w:rPr>
                <w:rFonts w:ascii="Arial" w:hAnsi="Arial"/>
                <w:b/>
                <w:color w:val="0B0B0B"/>
                <w:sz w:val="18"/>
              </w:rPr>
              <w:t>12/IVA/PI</w:t>
            </w:r>
            <w:r>
              <w:rPr>
                <w:rFonts w:ascii="Arial" w:hAnsi="Arial"/>
                <w:b/>
                <w:color w:val="0B0B0B"/>
                <w:spacing w:val="56"/>
                <w:sz w:val="18"/>
              </w:rPr>
              <w:t>  </w:t>
            </w:r>
            <w:r>
              <w:rPr>
                <w:color w:val="0B0B0B"/>
                <w:sz w:val="18"/>
              </w:rPr>
              <w:t>Adquisición</w:t>
            </w:r>
            <w:r>
              <w:rPr>
                <w:color w:val="0B0B0B"/>
                <w:spacing w:val="-3"/>
                <w:sz w:val="18"/>
              </w:rPr>
              <w:t> </w:t>
            </w:r>
            <w:r>
              <w:rPr>
                <w:color w:val="0B0B0B"/>
                <w:sz w:val="18"/>
              </w:rPr>
              <w:t>de</w:t>
            </w:r>
            <w:r>
              <w:rPr>
                <w:color w:val="0B0B0B"/>
                <w:spacing w:val="-3"/>
                <w:sz w:val="18"/>
              </w:rPr>
              <w:t> </w:t>
            </w:r>
            <w:r>
              <w:rPr>
                <w:color w:val="0B0B0B"/>
                <w:sz w:val="18"/>
              </w:rPr>
              <w:t>bienes</w:t>
            </w:r>
            <w:r>
              <w:rPr>
                <w:color w:val="0B0B0B"/>
                <w:spacing w:val="-4"/>
                <w:sz w:val="18"/>
              </w:rPr>
              <w:t> </w:t>
            </w:r>
            <w:r>
              <w:rPr>
                <w:color w:val="0B0B0B"/>
                <w:sz w:val="18"/>
              </w:rPr>
              <w:t>en</w:t>
            </w:r>
            <w:r>
              <w:rPr>
                <w:color w:val="0B0B0B"/>
                <w:spacing w:val="-3"/>
                <w:sz w:val="18"/>
              </w:rPr>
              <w:t> </w:t>
            </w:r>
            <w:r>
              <w:rPr>
                <w:color w:val="0B0B0B"/>
                <w:sz w:val="18"/>
              </w:rPr>
              <w:t>territorio</w:t>
            </w:r>
            <w:r>
              <w:rPr>
                <w:color w:val="0B0B0B"/>
                <w:spacing w:val="-4"/>
                <w:sz w:val="18"/>
              </w:rPr>
              <w:t> </w:t>
            </w:r>
            <w:r>
              <w:rPr>
                <w:color w:val="0B0B0B"/>
                <w:sz w:val="18"/>
              </w:rPr>
              <w:t>nacional</w:t>
            </w:r>
            <w:r>
              <w:rPr>
                <w:color w:val="0B0B0B"/>
                <w:spacing w:val="-3"/>
                <w:sz w:val="18"/>
              </w:rPr>
              <w:t> </w:t>
            </w:r>
            <w:r>
              <w:rPr>
                <w:color w:val="0B0B0B"/>
                <w:sz w:val="18"/>
              </w:rPr>
              <w:t>propiedad</w:t>
            </w:r>
            <w:r>
              <w:rPr>
                <w:color w:val="0B0B0B"/>
                <w:spacing w:val="-4"/>
                <w:sz w:val="18"/>
              </w:rPr>
              <w:t> </w:t>
            </w:r>
            <w:r>
              <w:rPr>
                <w:color w:val="0B0B0B"/>
                <w:sz w:val="18"/>
              </w:rPr>
              <w:t>de</w:t>
            </w:r>
            <w:r>
              <w:rPr>
                <w:color w:val="0B0B0B"/>
                <w:spacing w:val="-4"/>
                <w:sz w:val="18"/>
              </w:rPr>
              <w:t> </w:t>
            </w:r>
            <w:r>
              <w:rPr>
                <w:color w:val="0B0B0B"/>
                <w:sz w:val="18"/>
              </w:rPr>
              <w:t>un</w:t>
            </w:r>
            <w:r>
              <w:rPr>
                <w:color w:val="0B0B0B"/>
                <w:spacing w:val="-2"/>
                <w:sz w:val="18"/>
              </w:rPr>
              <w:t> </w:t>
            </w:r>
            <w:r>
              <w:rPr>
                <w:color w:val="0B0B0B"/>
                <w:sz w:val="18"/>
              </w:rPr>
              <w:t>residente</w:t>
            </w:r>
            <w:r>
              <w:rPr>
                <w:color w:val="0B0B0B"/>
                <w:spacing w:val="-4"/>
                <w:sz w:val="18"/>
              </w:rPr>
              <w:t> </w:t>
            </w:r>
            <w:r>
              <w:rPr>
                <w:color w:val="0B0B0B"/>
                <w:sz w:val="18"/>
              </w:rPr>
              <w:t>en</w:t>
            </w:r>
            <w:r>
              <w:rPr>
                <w:color w:val="0B0B0B"/>
                <w:spacing w:val="-3"/>
                <w:sz w:val="18"/>
              </w:rPr>
              <w:t> </w:t>
            </w:r>
            <w:r>
              <w:rPr>
                <w:color w:val="0B0B0B"/>
                <w:sz w:val="18"/>
              </w:rPr>
              <w:t>el</w:t>
            </w:r>
            <w:r>
              <w:rPr>
                <w:color w:val="0B0B0B"/>
                <w:spacing w:val="-4"/>
                <w:sz w:val="18"/>
              </w:rPr>
              <w:t> </w:t>
            </w:r>
            <w:r>
              <w:rPr>
                <w:color w:val="0B0B0B"/>
                <w:spacing w:val="-2"/>
                <w:sz w:val="18"/>
              </w:rPr>
              <w:t>extranjero.</w:t>
            </w:r>
          </w:p>
          <w:p>
            <w:pPr>
              <w:pStyle w:val="TableParagraph"/>
              <w:spacing w:before="28"/>
              <w:ind w:left="1972"/>
              <w:jc w:val="both"/>
              <w:rPr>
                <w:sz w:val="18"/>
              </w:rPr>
            </w:pPr>
            <w:r>
              <w:rPr>
                <w:color w:val="0B0B0B"/>
                <w:sz w:val="18"/>
              </w:rPr>
              <w:t>Retención</w:t>
            </w:r>
            <w:r>
              <w:rPr>
                <w:color w:val="0B0B0B"/>
                <w:spacing w:val="-7"/>
                <w:sz w:val="18"/>
              </w:rPr>
              <w:t> </w:t>
            </w:r>
            <w:r>
              <w:rPr>
                <w:color w:val="0B0B0B"/>
                <w:sz w:val="18"/>
              </w:rPr>
              <w:t>del</w:t>
            </w:r>
            <w:r>
              <w:rPr>
                <w:color w:val="0B0B0B"/>
                <w:spacing w:val="-8"/>
                <w:sz w:val="18"/>
              </w:rPr>
              <w:t> </w:t>
            </w:r>
            <w:r>
              <w:rPr>
                <w:color w:val="0B0B0B"/>
                <w:sz w:val="18"/>
              </w:rPr>
              <w:t>impuesto</w:t>
            </w:r>
            <w:r>
              <w:rPr>
                <w:color w:val="0B0B0B"/>
                <w:spacing w:val="-8"/>
                <w:sz w:val="18"/>
              </w:rPr>
              <w:t> </w:t>
            </w:r>
            <w:r>
              <w:rPr>
                <w:color w:val="0B0B0B"/>
                <w:sz w:val="18"/>
              </w:rPr>
              <w:t>al</w:t>
            </w:r>
            <w:r>
              <w:rPr>
                <w:color w:val="0B0B0B"/>
                <w:spacing w:val="-8"/>
                <w:sz w:val="18"/>
              </w:rPr>
              <w:t> </w:t>
            </w:r>
            <w:r>
              <w:rPr>
                <w:color w:val="0B0B0B"/>
                <w:sz w:val="18"/>
              </w:rPr>
              <w:t>valor</w:t>
            </w:r>
            <w:r>
              <w:rPr>
                <w:color w:val="0B0B0B"/>
                <w:spacing w:val="-8"/>
                <w:sz w:val="18"/>
              </w:rPr>
              <w:t> </w:t>
            </w:r>
            <w:r>
              <w:rPr>
                <w:color w:val="0B0B0B"/>
                <w:spacing w:val="-2"/>
                <w:sz w:val="18"/>
              </w:rPr>
              <w:t>agregado.</w:t>
            </w:r>
          </w:p>
        </w:tc>
      </w:tr>
      <w:tr>
        <w:trPr>
          <w:trHeight w:val="319" w:hRule="atLeast"/>
        </w:trPr>
        <w:tc>
          <w:tcPr>
            <w:tcW w:w="8986" w:type="dxa"/>
            <w:shd w:val="clear" w:color="auto" w:fill="BCBCBC"/>
          </w:tcPr>
          <w:p>
            <w:pPr>
              <w:pStyle w:val="TableParagraph"/>
              <w:tabs>
                <w:tab w:pos="936" w:val="left" w:leader="none"/>
              </w:tabs>
              <w:spacing w:before="7"/>
              <w:ind w:left="503"/>
              <w:rPr>
                <w:rFonts w:ascii="Arial"/>
                <w:b/>
                <w:sz w:val="18"/>
              </w:rPr>
            </w:pPr>
            <w:r>
              <w:rPr>
                <w:rFonts w:ascii="Arial"/>
                <w:b/>
                <w:color w:val="0B0B0B"/>
                <w:spacing w:val="-5"/>
                <w:sz w:val="18"/>
              </w:rPr>
              <w:t>IV.</w:t>
            </w:r>
            <w:r>
              <w:rPr>
                <w:rFonts w:ascii="Arial"/>
                <w:b/>
                <w:color w:val="0B0B0B"/>
                <w:sz w:val="18"/>
              </w:rPr>
              <w:tab/>
              <w:t>Criterios</w:t>
            </w:r>
            <w:r>
              <w:rPr>
                <w:rFonts w:ascii="Arial"/>
                <w:b/>
                <w:color w:val="0B0B0B"/>
                <w:spacing w:val="-5"/>
                <w:sz w:val="18"/>
              </w:rPr>
              <w:t> </w:t>
            </w:r>
            <w:r>
              <w:rPr>
                <w:rFonts w:ascii="Arial"/>
                <w:b/>
                <w:color w:val="0B0B0B"/>
                <w:sz w:val="18"/>
              </w:rPr>
              <w:t>de</w:t>
            </w:r>
            <w:r>
              <w:rPr>
                <w:rFonts w:ascii="Arial"/>
                <w:b/>
                <w:color w:val="0B0B0B"/>
                <w:spacing w:val="-3"/>
                <w:sz w:val="18"/>
              </w:rPr>
              <w:t> </w:t>
            </w:r>
            <w:r>
              <w:rPr>
                <w:rFonts w:ascii="Arial"/>
                <w:b/>
                <w:color w:val="0B0B0B"/>
                <w:sz w:val="18"/>
              </w:rPr>
              <w:t>la</w:t>
            </w:r>
            <w:r>
              <w:rPr>
                <w:rFonts w:ascii="Arial"/>
                <w:b/>
                <w:color w:val="0B0B0B"/>
                <w:spacing w:val="-3"/>
                <w:sz w:val="18"/>
              </w:rPr>
              <w:t> </w:t>
            </w:r>
            <w:r>
              <w:rPr>
                <w:rFonts w:ascii="Arial"/>
                <w:b/>
                <w:color w:val="0B0B0B"/>
                <w:sz w:val="18"/>
              </w:rPr>
              <w:t>Ley</w:t>
            </w:r>
            <w:r>
              <w:rPr>
                <w:rFonts w:ascii="Arial"/>
                <w:b/>
                <w:color w:val="0B0B0B"/>
                <w:spacing w:val="-5"/>
                <w:sz w:val="18"/>
              </w:rPr>
              <w:t> </w:t>
            </w:r>
            <w:r>
              <w:rPr>
                <w:rFonts w:ascii="Arial"/>
                <w:b/>
                <w:color w:val="0B0B0B"/>
                <w:sz w:val="18"/>
              </w:rPr>
              <w:t>del</w:t>
            </w:r>
            <w:r>
              <w:rPr>
                <w:rFonts w:ascii="Arial"/>
                <w:b/>
                <w:color w:val="0B0B0B"/>
                <w:spacing w:val="-2"/>
                <w:sz w:val="18"/>
              </w:rPr>
              <w:t> </w:t>
            </w:r>
            <w:r>
              <w:rPr>
                <w:rFonts w:ascii="Arial"/>
                <w:b/>
                <w:color w:val="0B0B0B"/>
                <w:spacing w:val="-4"/>
                <w:sz w:val="18"/>
              </w:rPr>
              <w:t>IEPS</w:t>
            </w:r>
          </w:p>
        </w:tc>
      </w:tr>
      <w:tr>
        <w:trPr>
          <w:trHeight w:val="2429" w:hRule="atLeast"/>
        </w:trPr>
        <w:tc>
          <w:tcPr>
            <w:tcW w:w="8986" w:type="dxa"/>
          </w:tcPr>
          <w:p>
            <w:pPr>
              <w:pStyle w:val="TableParagraph"/>
              <w:spacing w:line="271" w:lineRule="auto" w:before="18"/>
              <w:ind w:left="1972" w:right="61" w:hanging="1008"/>
              <w:jc w:val="both"/>
              <w:rPr>
                <w:sz w:val="18"/>
              </w:rPr>
            </w:pPr>
            <w:r>
              <w:rPr>
                <w:rFonts w:ascii="Arial" w:hAnsi="Arial"/>
                <w:b/>
                <w:color w:val="0B0B0B"/>
                <w:sz w:val="18"/>
              </w:rPr>
              <w:t>1/IEPS/PI</w:t>
            </w:r>
            <w:r>
              <w:rPr>
                <w:rFonts w:ascii="Arial" w:hAnsi="Arial"/>
                <w:b/>
                <w:color w:val="0B0B0B"/>
                <w:spacing w:val="40"/>
                <w:sz w:val="18"/>
              </w:rPr>
              <w:t> </w:t>
            </w:r>
            <w:r>
              <w:rPr>
                <w:color w:val="0B0B0B"/>
                <w:sz w:val="18"/>
              </w:rPr>
              <w:t>Base sobre la cual se aplicará la tasa del IEPS cuando el prestador de servicio proporcione equipos terminales de telecomunicaciones u otorgue su uso o goce temporal al prestatario,</w:t>
            </w:r>
            <w:r>
              <w:rPr>
                <w:color w:val="0B0B0B"/>
                <w:sz w:val="18"/>
              </w:rPr>
              <w:t> con independencia del instrumento legal que se utilice para proporcionar el servicio.</w:t>
            </w:r>
          </w:p>
          <w:p>
            <w:pPr>
              <w:pStyle w:val="TableParagraph"/>
              <w:spacing w:before="112"/>
              <w:ind w:left="964"/>
              <w:jc w:val="both"/>
              <w:rPr>
                <w:sz w:val="18"/>
              </w:rPr>
            </w:pPr>
            <w:r>
              <w:rPr>
                <w:rFonts w:ascii="Arial"/>
                <w:b/>
                <w:color w:val="0B0B0B"/>
                <w:sz w:val="18"/>
              </w:rPr>
              <w:t>2/IEPS/PI</w:t>
            </w:r>
            <w:r>
              <w:rPr>
                <w:rFonts w:ascii="Arial"/>
                <w:b/>
                <w:color w:val="0B0B0B"/>
                <w:spacing w:val="53"/>
                <w:sz w:val="18"/>
              </w:rPr>
              <w:t>  </w:t>
            </w:r>
            <w:r>
              <w:rPr>
                <w:color w:val="0B0B0B"/>
                <w:sz w:val="18"/>
              </w:rPr>
              <w:t>Servicios</w:t>
            </w:r>
            <w:r>
              <w:rPr>
                <w:color w:val="0B0B0B"/>
                <w:spacing w:val="-4"/>
                <w:sz w:val="18"/>
              </w:rPr>
              <w:t> </w:t>
            </w:r>
            <w:r>
              <w:rPr>
                <w:color w:val="0B0B0B"/>
                <w:sz w:val="18"/>
              </w:rPr>
              <w:t>que</w:t>
            </w:r>
            <w:r>
              <w:rPr>
                <w:color w:val="0B0B0B"/>
                <w:spacing w:val="-5"/>
                <w:sz w:val="18"/>
              </w:rPr>
              <w:t> </w:t>
            </w:r>
            <w:r>
              <w:rPr>
                <w:color w:val="0B0B0B"/>
                <w:sz w:val="18"/>
              </w:rPr>
              <w:t>se</w:t>
            </w:r>
            <w:r>
              <w:rPr>
                <w:color w:val="0B0B0B"/>
                <w:spacing w:val="-5"/>
                <w:sz w:val="18"/>
              </w:rPr>
              <w:t> </w:t>
            </w:r>
            <w:r>
              <w:rPr>
                <w:color w:val="0B0B0B"/>
                <w:sz w:val="18"/>
              </w:rPr>
              <w:t>ofrecen</w:t>
            </w:r>
            <w:r>
              <w:rPr>
                <w:color w:val="0B0B0B"/>
                <w:spacing w:val="-5"/>
                <w:sz w:val="18"/>
              </w:rPr>
              <w:t> </w:t>
            </w:r>
            <w:r>
              <w:rPr>
                <w:color w:val="0B0B0B"/>
                <w:sz w:val="18"/>
              </w:rPr>
              <w:t>de</w:t>
            </w:r>
            <w:r>
              <w:rPr>
                <w:color w:val="0B0B0B"/>
                <w:spacing w:val="-5"/>
                <w:sz w:val="18"/>
              </w:rPr>
              <w:t> </w:t>
            </w:r>
            <w:r>
              <w:rPr>
                <w:color w:val="0B0B0B"/>
                <w:sz w:val="18"/>
              </w:rPr>
              <w:t>manera</w:t>
            </w:r>
            <w:r>
              <w:rPr>
                <w:color w:val="0B0B0B"/>
                <w:spacing w:val="-5"/>
                <w:sz w:val="18"/>
              </w:rPr>
              <w:t> </w:t>
            </w:r>
            <w:r>
              <w:rPr>
                <w:color w:val="0B0B0B"/>
                <w:sz w:val="18"/>
              </w:rPr>
              <w:t>conjunta</w:t>
            </w:r>
            <w:r>
              <w:rPr>
                <w:color w:val="0B0B0B"/>
                <w:spacing w:val="-4"/>
                <w:sz w:val="18"/>
              </w:rPr>
              <w:t> </w:t>
            </w:r>
            <w:r>
              <w:rPr>
                <w:color w:val="0B0B0B"/>
                <w:sz w:val="18"/>
              </w:rPr>
              <w:t>con</w:t>
            </w:r>
            <w:r>
              <w:rPr>
                <w:color w:val="0B0B0B"/>
                <w:spacing w:val="-4"/>
                <w:sz w:val="18"/>
              </w:rPr>
              <w:t> </w:t>
            </w:r>
            <w:r>
              <w:rPr>
                <w:color w:val="0B0B0B"/>
                <w:spacing w:val="-2"/>
                <w:sz w:val="18"/>
              </w:rPr>
              <w:t>Internet.</w:t>
            </w:r>
          </w:p>
          <w:p>
            <w:pPr>
              <w:pStyle w:val="TableParagraph"/>
              <w:spacing w:line="271" w:lineRule="auto" w:before="137"/>
              <w:ind w:left="1972" w:right="62" w:hanging="1008"/>
              <w:jc w:val="both"/>
              <w:rPr>
                <w:sz w:val="18"/>
              </w:rPr>
            </w:pPr>
            <w:r>
              <w:rPr>
                <w:rFonts w:ascii="Arial" w:hAnsi="Arial"/>
                <w:b/>
                <w:color w:val="0B0B0B"/>
                <w:sz w:val="18"/>
              </w:rPr>
              <w:t>3/IEPS/PI</w:t>
            </w:r>
            <w:r>
              <w:rPr>
                <w:rFonts w:ascii="Arial" w:hAnsi="Arial"/>
                <w:b/>
                <w:color w:val="0B0B0B"/>
                <w:spacing w:val="80"/>
                <w:sz w:val="18"/>
              </w:rPr>
              <w:t> </w:t>
            </w:r>
            <w:r>
              <w:rPr>
                <w:color w:val="0B0B0B"/>
                <w:sz w:val="18"/>
              </w:rPr>
              <w:t>Productos</w:t>
            </w:r>
            <w:r>
              <w:rPr>
                <w:color w:val="0B0B0B"/>
                <w:spacing w:val="40"/>
                <w:sz w:val="18"/>
              </w:rPr>
              <w:t> </w:t>
            </w:r>
            <w:r>
              <w:rPr>
                <w:color w:val="0B0B0B"/>
                <w:sz w:val="18"/>
              </w:rPr>
              <w:t>que</w:t>
            </w:r>
            <w:r>
              <w:rPr>
                <w:color w:val="0B0B0B"/>
                <w:spacing w:val="40"/>
                <w:sz w:val="18"/>
              </w:rPr>
              <w:t> </w:t>
            </w:r>
            <w:r>
              <w:rPr>
                <w:color w:val="0B0B0B"/>
                <w:sz w:val="18"/>
              </w:rPr>
              <w:t>por</w:t>
            </w:r>
            <w:r>
              <w:rPr>
                <w:color w:val="0B0B0B"/>
                <w:spacing w:val="40"/>
                <w:sz w:val="18"/>
              </w:rPr>
              <w:t> </w:t>
            </w:r>
            <w:r>
              <w:rPr>
                <w:color w:val="0B0B0B"/>
                <w:sz w:val="18"/>
              </w:rPr>
              <w:t>sus</w:t>
            </w:r>
            <w:r>
              <w:rPr>
                <w:color w:val="0B0B0B"/>
                <w:spacing w:val="40"/>
                <w:sz w:val="18"/>
              </w:rPr>
              <w:t> </w:t>
            </w:r>
            <w:r>
              <w:rPr>
                <w:color w:val="0B0B0B"/>
                <w:sz w:val="18"/>
              </w:rPr>
              <w:t>ingredientes</w:t>
            </w:r>
            <w:r>
              <w:rPr>
                <w:color w:val="0B0B0B"/>
                <w:spacing w:val="40"/>
                <w:sz w:val="18"/>
              </w:rPr>
              <w:t> </w:t>
            </w:r>
            <w:r>
              <w:rPr>
                <w:color w:val="0B0B0B"/>
                <w:sz w:val="18"/>
              </w:rPr>
              <w:t>se</w:t>
            </w:r>
            <w:r>
              <w:rPr>
                <w:color w:val="0B0B0B"/>
                <w:spacing w:val="40"/>
                <w:sz w:val="18"/>
              </w:rPr>
              <w:t> </w:t>
            </w:r>
            <w:r>
              <w:rPr>
                <w:color w:val="0B0B0B"/>
                <w:sz w:val="18"/>
              </w:rPr>
              <w:t>ubican</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definición</w:t>
            </w:r>
            <w:r>
              <w:rPr>
                <w:color w:val="0B0B0B"/>
                <w:spacing w:val="40"/>
                <w:sz w:val="18"/>
              </w:rPr>
              <w:t> </w:t>
            </w:r>
            <w:r>
              <w:rPr>
                <w:color w:val="0B0B0B"/>
                <w:sz w:val="18"/>
              </w:rPr>
              <w:t>de</w:t>
            </w:r>
            <w:r>
              <w:rPr>
                <w:color w:val="0B0B0B"/>
                <w:spacing w:val="40"/>
                <w:sz w:val="18"/>
              </w:rPr>
              <w:t> </w:t>
            </w:r>
            <w:r>
              <w:rPr>
                <w:color w:val="0B0B0B"/>
                <w:sz w:val="18"/>
              </w:rPr>
              <w:t>chocolate</w:t>
            </w:r>
            <w:r>
              <w:rPr>
                <w:color w:val="0B0B0B"/>
                <w:spacing w:val="40"/>
                <w:sz w:val="18"/>
              </w:rPr>
              <w:t> </w:t>
            </w:r>
            <w:r>
              <w:rPr>
                <w:color w:val="0B0B0B"/>
                <w:sz w:val="18"/>
              </w:rPr>
              <w:t>o productos derivados del cacao, independientemente de su denominación comercial o la forma en la que se sugiere sean consumidos, se encuentran gravados para efectos del IEPS.</w:t>
            </w:r>
          </w:p>
        </w:tc>
      </w:tr>
    </w:tbl>
    <w:p>
      <w:pPr>
        <w:pStyle w:val="TableParagraph"/>
        <w:spacing w:after="0" w:line="271" w:lineRule="auto"/>
        <w:jc w:val="both"/>
        <w:rPr>
          <w:sz w:val="18"/>
        </w:rPr>
        <w:sectPr>
          <w:headerReference w:type="default" r:id="rId7"/>
          <w:pgSz w:w="12240" w:h="15840"/>
          <w:pgMar w:header="690" w:footer="0" w:top="1040" w:bottom="280" w:left="1440" w:right="1440"/>
        </w:sectPr>
      </w:pPr>
    </w:p>
    <w:p>
      <w:pPr>
        <w:pStyle w:val="BodyText"/>
        <w:spacing w:before="4"/>
        <w:ind w:left="0"/>
        <w:jc w:val="left"/>
        <w:rPr>
          <w:rFonts w:ascii="Arial"/>
          <w:b/>
          <w:sz w:val="9"/>
        </w:rPr>
      </w:pPr>
    </w:p>
    <w:tbl>
      <w:tblPr>
        <w:tblW w:w="0" w:type="auto"/>
        <w:jc w:val="left"/>
        <w:tblInd w:w="187"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1162" w:hRule="atLeast"/>
        </w:trPr>
        <w:tc>
          <w:tcPr>
            <w:tcW w:w="8986" w:type="dxa"/>
          </w:tcPr>
          <w:p>
            <w:pPr>
              <w:pStyle w:val="TableParagraph"/>
              <w:tabs>
                <w:tab w:pos="1972" w:val="left" w:leader="none"/>
              </w:tabs>
              <w:spacing w:line="278" w:lineRule="auto"/>
              <w:ind w:left="1972" w:right="64" w:hanging="1008"/>
              <w:rPr>
                <w:sz w:val="18"/>
              </w:rPr>
            </w:pPr>
            <w:r>
              <w:rPr>
                <w:rFonts w:ascii="Arial" w:hAnsi="Arial"/>
                <w:b/>
                <w:color w:val="0B0B0B"/>
                <w:spacing w:val="-2"/>
                <w:sz w:val="18"/>
              </w:rPr>
              <w:t>4/IEPS/PI</w:t>
            </w:r>
            <w:r>
              <w:rPr>
                <w:rFonts w:ascii="Arial" w:hAnsi="Arial"/>
                <w:b/>
                <w:color w:val="0B0B0B"/>
                <w:sz w:val="18"/>
              </w:rPr>
              <w:tab/>
            </w:r>
            <w:r>
              <w:rPr>
                <w:color w:val="0B0B0B"/>
                <w:sz w:val="18"/>
              </w:rPr>
              <w:t>Base</w:t>
            </w:r>
            <w:r>
              <w:rPr>
                <w:color w:val="0B0B0B"/>
                <w:spacing w:val="40"/>
                <w:sz w:val="18"/>
              </w:rPr>
              <w:t> </w:t>
            </w:r>
            <w:r>
              <w:rPr>
                <w:color w:val="0B0B0B"/>
                <w:sz w:val="18"/>
              </w:rPr>
              <w:t>gravable</w:t>
            </w:r>
            <w:r>
              <w:rPr>
                <w:color w:val="0B0B0B"/>
                <w:spacing w:val="40"/>
                <w:sz w:val="18"/>
              </w:rPr>
              <w:t> </w:t>
            </w:r>
            <w:r>
              <w:rPr>
                <w:color w:val="0B0B0B"/>
                <w:sz w:val="18"/>
              </w:rPr>
              <w:t>del</w:t>
            </w:r>
            <w:r>
              <w:rPr>
                <w:color w:val="0B0B0B"/>
                <w:spacing w:val="40"/>
                <w:sz w:val="18"/>
              </w:rPr>
              <w:t> </w:t>
            </w:r>
            <w:r>
              <w:rPr>
                <w:color w:val="0B0B0B"/>
                <w:sz w:val="18"/>
              </w:rPr>
              <w:t>IEPS</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prestación</w:t>
            </w:r>
            <w:r>
              <w:rPr>
                <w:color w:val="0B0B0B"/>
                <w:spacing w:val="40"/>
                <w:sz w:val="18"/>
              </w:rPr>
              <w:t> </w:t>
            </w:r>
            <w:r>
              <w:rPr>
                <w:color w:val="0B0B0B"/>
                <w:sz w:val="18"/>
              </w:rPr>
              <w:t>de</w:t>
            </w:r>
            <w:r>
              <w:rPr>
                <w:color w:val="0B0B0B"/>
                <w:spacing w:val="40"/>
                <w:sz w:val="18"/>
              </w:rPr>
              <w:t> </w:t>
            </w:r>
            <w:r>
              <w:rPr>
                <w:color w:val="0B0B0B"/>
                <w:sz w:val="18"/>
              </w:rPr>
              <w:t>servicios</w:t>
            </w:r>
            <w:r>
              <w:rPr>
                <w:color w:val="0B0B0B"/>
                <w:spacing w:val="40"/>
                <w:sz w:val="18"/>
              </w:rPr>
              <w:t> </w:t>
            </w:r>
            <w:r>
              <w:rPr>
                <w:color w:val="0B0B0B"/>
                <w:sz w:val="18"/>
              </w:rPr>
              <w:t>de</w:t>
            </w:r>
            <w:r>
              <w:rPr>
                <w:color w:val="0B0B0B"/>
                <w:spacing w:val="40"/>
                <w:sz w:val="18"/>
              </w:rPr>
              <w:t> </w:t>
            </w:r>
            <w:r>
              <w:rPr>
                <w:color w:val="0B0B0B"/>
                <w:sz w:val="18"/>
              </w:rPr>
              <w:t>juegos</w:t>
            </w:r>
            <w:r>
              <w:rPr>
                <w:color w:val="0B0B0B"/>
                <w:spacing w:val="40"/>
                <w:sz w:val="18"/>
              </w:rPr>
              <w:t> </w:t>
            </w:r>
            <w:r>
              <w:rPr>
                <w:color w:val="0B0B0B"/>
                <w:sz w:val="18"/>
              </w:rPr>
              <w:t>con</w:t>
            </w:r>
            <w:r>
              <w:rPr>
                <w:color w:val="0B0B0B"/>
                <w:spacing w:val="40"/>
                <w:sz w:val="18"/>
              </w:rPr>
              <w:t> </w:t>
            </w:r>
            <w:r>
              <w:rPr>
                <w:color w:val="0B0B0B"/>
                <w:sz w:val="18"/>
              </w:rPr>
              <w:t>apuestas</w:t>
            </w:r>
            <w:r>
              <w:rPr>
                <w:color w:val="0B0B0B"/>
                <w:spacing w:val="40"/>
                <w:sz w:val="18"/>
              </w:rPr>
              <w:t> </w:t>
            </w:r>
            <w:r>
              <w:rPr>
                <w:color w:val="0B0B0B"/>
                <w:sz w:val="18"/>
              </w:rPr>
              <w:t>y </w:t>
            </w:r>
            <w:r>
              <w:rPr>
                <w:color w:val="0B0B0B"/>
                <w:spacing w:val="-2"/>
                <w:sz w:val="18"/>
              </w:rPr>
              <w:t>sorteos.</w:t>
            </w:r>
          </w:p>
          <w:p>
            <w:pPr>
              <w:pStyle w:val="TableParagraph"/>
              <w:tabs>
                <w:tab w:pos="1972" w:val="left" w:leader="none"/>
              </w:tabs>
              <w:spacing w:line="278" w:lineRule="auto" w:before="101"/>
              <w:ind w:left="1972" w:right="64" w:hanging="1008"/>
              <w:rPr>
                <w:sz w:val="18"/>
              </w:rPr>
            </w:pPr>
            <w:r>
              <w:rPr>
                <w:rFonts w:ascii="Arial" w:hAnsi="Arial"/>
                <w:b/>
                <w:color w:val="0B0B0B"/>
                <w:spacing w:val="-2"/>
                <w:sz w:val="18"/>
              </w:rPr>
              <w:t>5/IEPS/PI</w:t>
            </w:r>
            <w:r>
              <w:rPr>
                <w:rFonts w:ascii="Arial" w:hAnsi="Arial"/>
                <w:b/>
                <w:color w:val="0B0B0B"/>
                <w:sz w:val="18"/>
              </w:rPr>
              <w:tab/>
            </w:r>
            <w:r>
              <w:rPr>
                <w:color w:val="0B0B0B"/>
                <w:sz w:val="18"/>
              </w:rPr>
              <w:t>Cantidades a disminuir como premios para determinar la base gravable del IEPS en la prestación de servicios de juegos con apuestas y sorteos.</w:t>
            </w:r>
          </w:p>
        </w:tc>
      </w:tr>
      <w:tr>
        <w:trPr>
          <w:trHeight w:val="340" w:hRule="atLeast"/>
        </w:trPr>
        <w:tc>
          <w:tcPr>
            <w:tcW w:w="8986" w:type="dxa"/>
            <w:shd w:val="clear" w:color="auto" w:fill="BCBCBC"/>
          </w:tcPr>
          <w:p>
            <w:pPr>
              <w:pStyle w:val="TableParagraph"/>
              <w:tabs>
                <w:tab w:pos="935" w:val="left" w:leader="none"/>
              </w:tabs>
              <w:ind w:left="503"/>
              <w:rPr>
                <w:rFonts w:ascii="Arial"/>
                <w:b/>
                <w:sz w:val="18"/>
              </w:rPr>
            </w:pPr>
            <w:r>
              <w:rPr>
                <w:rFonts w:ascii="Arial"/>
                <w:b/>
                <w:color w:val="0B0B0B"/>
                <w:spacing w:val="-5"/>
                <w:sz w:val="18"/>
              </w:rPr>
              <w:t>V.</w:t>
            </w:r>
            <w:r>
              <w:rPr>
                <w:rFonts w:ascii="Arial"/>
                <w:b/>
                <w:color w:val="0B0B0B"/>
                <w:sz w:val="18"/>
              </w:rPr>
              <w:tab/>
              <w:t>Criterios</w:t>
            </w:r>
            <w:r>
              <w:rPr>
                <w:rFonts w:ascii="Arial"/>
                <w:b/>
                <w:color w:val="0B0B0B"/>
                <w:spacing w:val="-2"/>
                <w:sz w:val="18"/>
              </w:rPr>
              <w:t> </w:t>
            </w:r>
            <w:r>
              <w:rPr>
                <w:rFonts w:ascii="Arial"/>
                <w:b/>
                <w:color w:val="0B0B0B"/>
                <w:sz w:val="18"/>
              </w:rPr>
              <w:t>de la </w:t>
            </w:r>
            <w:r>
              <w:rPr>
                <w:rFonts w:ascii="Arial"/>
                <w:b/>
                <w:color w:val="0B0B0B"/>
                <w:spacing w:val="-4"/>
                <w:sz w:val="18"/>
              </w:rPr>
              <w:t>LISH</w:t>
            </w:r>
          </w:p>
        </w:tc>
      </w:tr>
      <w:tr>
        <w:trPr>
          <w:trHeight w:val="1402" w:hRule="atLeast"/>
        </w:trPr>
        <w:tc>
          <w:tcPr>
            <w:tcW w:w="8986" w:type="dxa"/>
          </w:tcPr>
          <w:p>
            <w:pPr>
              <w:pStyle w:val="TableParagraph"/>
              <w:spacing w:line="278" w:lineRule="auto" w:before="24"/>
              <w:ind w:left="1972" w:right="59" w:hanging="1008"/>
              <w:jc w:val="both"/>
              <w:rPr>
                <w:sz w:val="18"/>
              </w:rPr>
            </w:pPr>
            <w:r>
              <w:rPr>
                <w:rFonts w:ascii="Arial" w:hAnsi="Arial"/>
                <w:b/>
                <w:color w:val="0B0B0B"/>
                <w:sz w:val="18"/>
              </w:rPr>
              <w:t>1/LISH/PI</w:t>
            </w:r>
            <w:r>
              <w:rPr>
                <w:rFonts w:ascii="Arial" w:hAnsi="Arial"/>
                <w:b/>
                <w:color w:val="0B0B0B"/>
                <w:spacing w:val="40"/>
                <w:sz w:val="18"/>
              </w:rPr>
              <w:t>  </w:t>
            </w:r>
            <w:r>
              <w:rPr>
                <w:color w:val="0B0B0B"/>
                <w:sz w:val="18"/>
              </w:rPr>
              <w:t>Condensados</w:t>
            </w:r>
            <w:r>
              <w:rPr>
                <w:color w:val="0B0B0B"/>
                <w:spacing w:val="17"/>
                <w:sz w:val="18"/>
              </w:rPr>
              <w:t> </w:t>
            </w:r>
            <w:r>
              <w:rPr>
                <w:color w:val="0B0B0B"/>
                <w:sz w:val="18"/>
              </w:rPr>
              <w:t>y</w:t>
            </w:r>
            <w:r>
              <w:rPr>
                <w:color w:val="0B0B0B"/>
                <w:spacing w:val="17"/>
                <w:sz w:val="18"/>
              </w:rPr>
              <w:t> </w:t>
            </w:r>
            <w:r>
              <w:rPr>
                <w:color w:val="0B0B0B"/>
                <w:sz w:val="18"/>
              </w:rPr>
              <w:t>gas</w:t>
            </w:r>
            <w:r>
              <w:rPr>
                <w:color w:val="0B0B0B"/>
                <w:spacing w:val="17"/>
                <w:sz w:val="18"/>
              </w:rPr>
              <w:t> </w:t>
            </w:r>
            <w:r>
              <w:rPr>
                <w:color w:val="0B0B0B"/>
                <w:sz w:val="18"/>
              </w:rPr>
              <w:t>natural.</w:t>
            </w:r>
            <w:r>
              <w:rPr>
                <w:color w:val="0B0B0B"/>
                <w:spacing w:val="17"/>
                <w:sz w:val="18"/>
              </w:rPr>
              <w:t> </w:t>
            </w:r>
            <w:r>
              <w:rPr>
                <w:color w:val="0B0B0B"/>
                <w:sz w:val="18"/>
              </w:rPr>
              <w:t>Se</w:t>
            </w:r>
            <w:r>
              <w:rPr>
                <w:color w:val="0B0B0B"/>
                <w:spacing w:val="16"/>
                <w:sz w:val="18"/>
              </w:rPr>
              <w:t> </w:t>
            </w:r>
            <w:r>
              <w:rPr>
                <w:color w:val="0B0B0B"/>
                <w:sz w:val="18"/>
              </w:rPr>
              <w:t>trata</w:t>
            </w:r>
            <w:r>
              <w:rPr>
                <w:color w:val="0B0B0B"/>
                <w:spacing w:val="16"/>
                <w:sz w:val="18"/>
              </w:rPr>
              <w:t> </w:t>
            </w:r>
            <w:r>
              <w:rPr>
                <w:color w:val="0B0B0B"/>
                <w:sz w:val="18"/>
              </w:rPr>
              <w:t>de</w:t>
            </w:r>
            <w:r>
              <w:rPr>
                <w:color w:val="0B0B0B"/>
                <w:spacing w:val="16"/>
                <w:sz w:val="18"/>
              </w:rPr>
              <w:t> </w:t>
            </w:r>
            <w:r>
              <w:rPr>
                <w:color w:val="0B0B0B"/>
                <w:sz w:val="18"/>
              </w:rPr>
              <w:t>conceptos</w:t>
            </w:r>
            <w:r>
              <w:rPr>
                <w:color w:val="0B0B0B"/>
                <w:spacing w:val="17"/>
                <w:sz w:val="18"/>
              </w:rPr>
              <w:t> </w:t>
            </w:r>
            <w:r>
              <w:rPr>
                <w:color w:val="0B0B0B"/>
                <w:sz w:val="18"/>
              </w:rPr>
              <w:t>distintos</w:t>
            </w:r>
            <w:r>
              <w:rPr>
                <w:color w:val="0B0B0B"/>
                <w:spacing w:val="16"/>
                <w:sz w:val="18"/>
              </w:rPr>
              <w:t> </w:t>
            </w:r>
            <w:r>
              <w:rPr>
                <w:color w:val="0B0B0B"/>
                <w:sz w:val="18"/>
              </w:rPr>
              <w:t>para</w:t>
            </w:r>
            <w:r>
              <w:rPr>
                <w:color w:val="0B0B0B"/>
                <w:spacing w:val="16"/>
                <w:sz w:val="18"/>
              </w:rPr>
              <w:t> </w:t>
            </w:r>
            <w:r>
              <w:rPr>
                <w:color w:val="0B0B0B"/>
                <w:sz w:val="18"/>
              </w:rPr>
              <w:t>determinar</w:t>
            </w:r>
            <w:r>
              <w:rPr>
                <w:color w:val="0B0B0B"/>
                <w:spacing w:val="17"/>
                <w:sz w:val="18"/>
              </w:rPr>
              <w:t> </w:t>
            </w:r>
            <w:r>
              <w:rPr>
                <w:color w:val="0B0B0B"/>
                <w:sz w:val="18"/>
              </w:rPr>
              <w:t>la</w:t>
            </w:r>
            <w:r>
              <w:rPr>
                <w:color w:val="0B0B0B"/>
                <w:spacing w:val="16"/>
                <w:sz w:val="18"/>
              </w:rPr>
              <w:t> </w:t>
            </w:r>
            <w:r>
              <w:rPr>
                <w:color w:val="0B0B0B"/>
                <w:sz w:val="18"/>
              </w:rPr>
              <w:t>base de los derechos por la utilidad compartida y de extracción de hidrocarburos para los </w:t>
            </w:r>
            <w:r>
              <w:rPr>
                <w:color w:val="0B0B0B"/>
                <w:spacing w:val="-2"/>
                <w:sz w:val="18"/>
              </w:rPr>
              <w:t>asignatarios.</w:t>
            </w:r>
          </w:p>
          <w:p>
            <w:pPr>
              <w:pStyle w:val="TableParagraph"/>
              <w:spacing w:line="278" w:lineRule="auto" w:before="100"/>
              <w:ind w:left="1972" w:right="62" w:hanging="1008"/>
              <w:jc w:val="both"/>
              <w:rPr>
                <w:sz w:val="18"/>
              </w:rPr>
            </w:pPr>
            <w:r>
              <w:rPr>
                <w:rFonts w:ascii="Arial" w:hAnsi="Arial"/>
                <w:b/>
                <w:color w:val="0B0B0B"/>
                <w:sz w:val="18"/>
              </w:rPr>
              <w:t>2/LISH/PI</w:t>
            </w:r>
            <w:r>
              <w:rPr>
                <w:rFonts w:ascii="Arial" w:hAnsi="Arial"/>
                <w:b/>
                <w:color w:val="0B0B0B"/>
                <w:spacing w:val="40"/>
                <w:sz w:val="18"/>
              </w:rPr>
              <w:t>  </w:t>
            </w:r>
            <w:r>
              <w:rPr>
                <w:color w:val="0B0B0B"/>
                <w:sz w:val="18"/>
              </w:rPr>
              <w:t>Establecimiento permanente para los efectos de la LISH. La exploración y extracción</w:t>
            </w:r>
            <w:r>
              <w:rPr>
                <w:color w:val="0B0B0B"/>
                <w:spacing w:val="40"/>
                <w:sz w:val="18"/>
              </w:rPr>
              <w:t> </w:t>
            </w:r>
            <w:r>
              <w:rPr>
                <w:color w:val="0B0B0B"/>
                <w:sz w:val="18"/>
              </w:rPr>
              <w:t>de hidrocarburos no son las únicas actividades por las que se puede constituir.</w:t>
            </w:r>
          </w:p>
        </w:tc>
      </w:tr>
      <w:tr>
        <w:trPr>
          <w:trHeight w:val="340" w:hRule="atLeast"/>
        </w:trPr>
        <w:tc>
          <w:tcPr>
            <w:tcW w:w="8986" w:type="dxa"/>
            <w:shd w:val="clear" w:color="auto" w:fill="BCBCBC"/>
          </w:tcPr>
          <w:p>
            <w:pPr>
              <w:pStyle w:val="TableParagraph"/>
              <w:tabs>
                <w:tab w:pos="936" w:val="left" w:leader="none"/>
              </w:tabs>
              <w:ind w:left="503"/>
              <w:rPr>
                <w:rFonts w:ascii="Arial"/>
                <w:b/>
                <w:sz w:val="18"/>
              </w:rPr>
            </w:pPr>
            <w:r>
              <w:rPr>
                <w:rFonts w:ascii="Arial"/>
                <w:b/>
                <w:color w:val="0B0B0B"/>
                <w:spacing w:val="-5"/>
                <w:sz w:val="18"/>
              </w:rPr>
              <w:t>VI.</w:t>
            </w:r>
            <w:r>
              <w:rPr>
                <w:rFonts w:ascii="Arial"/>
                <w:b/>
                <w:color w:val="0B0B0B"/>
                <w:sz w:val="18"/>
              </w:rPr>
              <w:tab/>
              <w:t>Criterio de la </w:t>
            </w:r>
            <w:r>
              <w:rPr>
                <w:rFonts w:ascii="Arial"/>
                <w:b/>
                <w:color w:val="0B0B0B"/>
                <w:spacing w:val="-5"/>
                <w:sz w:val="18"/>
              </w:rPr>
              <w:t>LIF</w:t>
            </w:r>
          </w:p>
        </w:tc>
      </w:tr>
      <w:tr>
        <w:trPr>
          <w:trHeight w:val="1142" w:hRule="atLeast"/>
        </w:trPr>
        <w:tc>
          <w:tcPr>
            <w:tcW w:w="8986" w:type="dxa"/>
          </w:tcPr>
          <w:p>
            <w:pPr>
              <w:pStyle w:val="TableParagraph"/>
              <w:spacing w:line="302" w:lineRule="auto" w:before="39"/>
              <w:ind w:left="1972" w:right="60" w:hanging="1008"/>
              <w:jc w:val="both"/>
              <w:rPr>
                <w:sz w:val="18"/>
              </w:rPr>
            </w:pPr>
            <w:r>
              <w:rPr>
                <w:rFonts w:ascii="Arial" w:hAnsi="Arial"/>
                <w:b/>
                <w:color w:val="0B0B0B"/>
                <w:sz w:val="18"/>
              </w:rPr>
              <w:t>1/LIF/PI</w:t>
            </w:r>
            <w:r>
              <w:rPr>
                <w:rFonts w:ascii="Arial" w:hAnsi="Arial"/>
                <w:b/>
                <w:color w:val="0B0B0B"/>
                <w:spacing w:val="40"/>
                <w:sz w:val="18"/>
              </w:rPr>
              <w:t>  </w:t>
            </w:r>
            <w:r>
              <w:rPr>
                <w:color w:val="0B0B0B"/>
                <w:sz w:val="18"/>
              </w:rPr>
              <w:t>Estímulo fiscal a los contribuyentes que importen o adquieran diésel o biodiésel y sus mezclas para uso automotriz</w:t>
            </w:r>
            <w:r>
              <w:rPr>
                <w:color w:val="0B0B0B"/>
                <w:sz w:val="18"/>
              </w:rPr>
              <w:t> en vehículos que se destinen exclusivamente al transporte. Su monto debe determinarse considerando el IEPS que efectivamente se haya causado.</w:t>
            </w:r>
          </w:p>
        </w:tc>
      </w:tr>
      <w:tr>
        <w:trPr>
          <w:trHeight w:val="353" w:hRule="atLeast"/>
        </w:trPr>
        <w:tc>
          <w:tcPr>
            <w:tcW w:w="8986" w:type="dxa"/>
            <w:shd w:val="clear" w:color="auto" w:fill="BCBCBC"/>
          </w:tcPr>
          <w:p>
            <w:pPr>
              <w:pStyle w:val="TableParagraph"/>
              <w:spacing w:before="38"/>
              <w:ind w:left="503"/>
              <w:rPr>
                <w:rFonts w:ascii="Arial"/>
                <w:b/>
                <w:sz w:val="18"/>
              </w:rPr>
            </w:pPr>
            <w:r>
              <w:rPr>
                <w:rFonts w:ascii="Arial"/>
                <w:b/>
                <w:color w:val="0B0B0B"/>
                <w:sz w:val="18"/>
              </w:rPr>
              <w:t>VII.</w:t>
            </w:r>
            <w:r>
              <w:rPr>
                <w:rFonts w:ascii="Arial"/>
                <w:b/>
                <w:color w:val="0B0B0B"/>
                <w:spacing w:val="29"/>
                <w:sz w:val="18"/>
              </w:rPr>
              <w:t>  </w:t>
            </w:r>
            <w:r>
              <w:rPr>
                <w:rFonts w:ascii="Arial"/>
                <w:b/>
                <w:color w:val="0B0B0B"/>
                <w:sz w:val="18"/>
              </w:rPr>
              <w:t>Criterios de la </w:t>
            </w:r>
            <w:r>
              <w:rPr>
                <w:rFonts w:ascii="Arial"/>
                <w:b/>
                <w:color w:val="0B0B0B"/>
                <w:spacing w:val="-5"/>
                <w:sz w:val="18"/>
              </w:rPr>
              <w:t>LFD</w:t>
            </w:r>
          </w:p>
        </w:tc>
      </w:tr>
      <w:tr>
        <w:trPr>
          <w:trHeight w:val="4415" w:hRule="atLeast"/>
        </w:trPr>
        <w:tc>
          <w:tcPr>
            <w:tcW w:w="8986" w:type="dxa"/>
          </w:tcPr>
          <w:p>
            <w:pPr>
              <w:pStyle w:val="TableParagraph"/>
              <w:spacing w:line="302" w:lineRule="auto" w:before="38"/>
              <w:ind w:left="1972" w:right="62" w:hanging="1008"/>
              <w:jc w:val="both"/>
              <w:rPr>
                <w:sz w:val="18"/>
              </w:rPr>
            </w:pPr>
            <w:r>
              <w:rPr>
                <w:rFonts w:ascii="Arial" w:hAnsi="Arial"/>
                <w:b/>
                <w:color w:val="0B0B0B"/>
                <w:sz w:val="18"/>
              </w:rPr>
              <w:t>1/LFD/PI</w:t>
            </w:r>
            <w:r>
              <w:rPr>
                <w:rFonts w:ascii="Arial" w:hAnsi="Arial"/>
                <w:b/>
                <w:color w:val="0B0B0B"/>
                <w:spacing w:val="80"/>
                <w:sz w:val="18"/>
              </w:rPr>
              <w:t> </w:t>
            </w:r>
            <w:r>
              <w:rPr>
                <w:color w:val="0B0B0B"/>
                <w:sz w:val="18"/>
              </w:rPr>
              <w:t>Derecho Extraordinario sobre Minería. El reconocimiento de los ingresos debe</w:t>
            </w:r>
            <w:r>
              <w:rPr>
                <w:color w:val="0B0B0B"/>
                <w:spacing w:val="40"/>
                <w:sz w:val="18"/>
              </w:rPr>
              <w:t> </w:t>
            </w:r>
            <w:r>
              <w:rPr>
                <w:color w:val="0B0B0B"/>
                <w:sz w:val="18"/>
              </w:rPr>
              <w:t>efectuarse</w:t>
            </w:r>
            <w:r>
              <w:rPr>
                <w:color w:val="0B0B0B"/>
                <w:sz w:val="18"/>
              </w:rPr>
              <w:t> al momento de la enajenación o venta del oro, plata y platino, con independencia del momento en que se perciban las contraprestaciones.</w:t>
            </w:r>
          </w:p>
          <w:p>
            <w:pPr>
              <w:pStyle w:val="TableParagraph"/>
              <w:spacing w:line="300" w:lineRule="auto" w:before="93"/>
              <w:ind w:left="1972" w:right="62" w:hanging="1008"/>
              <w:jc w:val="both"/>
              <w:rPr>
                <w:sz w:val="18"/>
              </w:rPr>
            </w:pPr>
            <w:r>
              <w:rPr>
                <w:rFonts w:ascii="Arial" w:hAnsi="Arial"/>
                <w:b/>
                <w:color w:val="0B0B0B"/>
                <w:sz w:val="18"/>
              </w:rPr>
              <w:t>2/LFD/PI</w:t>
            </w:r>
            <w:r>
              <w:rPr>
                <w:rFonts w:ascii="Arial" w:hAnsi="Arial"/>
                <w:b/>
                <w:color w:val="0B0B0B"/>
                <w:spacing w:val="80"/>
                <w:sz w:val="18"/>
              </w:rPr>
              <w:t> </w:t>
            </w:r>
            <w:r>
              <w:rPr>
                <w:color w:val="0B0B0B"/>
                <w:sz w:val="18"/>
              </w:rPr>
              <w:t>Derecho Extraordinario sobre Minería. La base para calcular el pago del derecho corresponde a los ingresos totales del periodo sin disminución alguna.</w:t>
            </w:r>
          </w:p>
          <w:p>
            <w:pPr>
              <w:pStyle w:val="TableParagraph"/>
              <w:spacing w:line="288" w:lineRule="auto" w:before="86"/>
              <w:ind w:left="1972" w:right="61" w:hanging="1008"/>
              <w:jc w:val="both"/>
              <w:rPr>
                <w:sz w:val="18"/>
              </w:rPr>
            </w:pPr>
            <w:r>
              <w:rPr>
                <w:rFonts w:ascii="Arial" w:hAnsi="Arial"/>
                <w:b/>
                <w:color w:val="0B0B0B"/>
                <w:sz w:val="18"/>
              </w:rPr>
              <w:t>3/LFD/PI</w:t>
            </w:r>
            <w:r>
              <w:rPr>
                <w:rFonts w:ascii="Arial" w:hAnsi="Arial"/>
                <w:b/>
                <w:color w:val="0B0B0B"/>
                <w:spacing w:val="80"/>
                <w:sz w:val="18"/>
              </w:rPr>
              <w:t> </w:t>
            </w:r>
            <w:r>
              <w:rPr>
                <w:color w:val="0B0B0B"/>
                <w:sz w:val="18"/>
              </w:rPr>
              <w:t>Derecho Especial sobre Minería y Derecho Extraordinario sobre Minería. Los</w:t>
            </w:r>
            <w:r>
              <w:rPr>
                <w:color w:val="0B0B0B"/>
                <w:spacing w:val="40"/>
                <w:sz w:val="18"/>
              </w:rPr>
              <w:t> </w:t>
            </w:r>
            <w:r>
              <w:rPr>
                <w:color w:val="0B0B0B"/>
                <w:sz w:val="18"/>
              </w:rPr>
              <w:t>adquirentes de la titularidad de una concesión o de los derechos relativos a esta, que obtengan ingresos de la actividad extractiva o enajenen oro, plata y platino, están obligados a su pago.</w:t>
            </w:r>
          </w:p>
          <w:p>
            <w:pPr>
              <w:pStyle w:val="TableParagraph"/>
              <w:spacing w:before="102"/>
              <w:ind w:left="964"/>
              <w:jc w:val="both"/>
              <w:rPr>
                <w:sz w:val="18"/>
              </w:rPr>
            </w:pPr>
            <w:r>
              <w:rPr>
                <w:rFonts w:ascii="Arial" w:hAnsi="Arial"/>
                <w:b/>
                <w:color w:val="0B0B0B"/>
                <w:sz w:val="18"/>
              </w:rPr>
              <w:t>4/LFD/PI</w:t>
            </w:r>
            <w:r>
              <w:rPr>
                <w:rFonts w:ascii="Arial" w:hAnsi="Arial"/>
                <w:b/>
                <w:color w:val="0B0B0B"/>
                <w:spacing w:val="76"/>
                <w:sz w:val="18"/>
              </w:rPr>
              <w:t>  </w:t>
            </w:r>
            <w:r>
              <w:rPr>
                <w:color w:val="0B0B0B"/>
                <w:sz w:val="18"/>
              </w:rPr>
              <w:t>Derecho</w:t>
            </w:r>
            <w:r>
              <w:rPr>
                <w:color w:val="0B0B0B"/>
                <w:spacing w:val="-5"/>
                <w:sz w:val="18"/>
              </w:rPr>
              <w:t> </w:t>
            </w:r>
            <w:r>
              <w:rPr>
                <w:color w:val="0B0B0B"/>
                <w:sz w:val="18"/>
              </w:rPr>
              <w:t>Especial</w:t>
            </w:r>
            <w:r>
              <w:rPr>
                <w:color w:val="0B0B0B"/>
                <w:spacing w:val="-6"/>
                <w:sz w:val="18"/>
              </w:rPr>
              <w:t> </w:t>
            </w:r>
            <w:r>
              <w:rPr>
                <w:color w:val="0B0B0B"/>
                <w:sz w:val="18"/>
              </w:rPr>
              <w:t>sobre</w:t>
            </w:r>
            <w:r>
              <w:rPr>
                <w:color w:val="0B0B0B"/>
                <w:spacing w:val="-6"/>
                <w:sz w:val="18"/>
              </w:rPr>
              <w:t> </w:t>
            </w:r>
            <w:r>
              <w:rPr>
                <w:color w:val="0B0B0B"/>
                <w:sz w:val="18"/>
              </w:rPr>
              <w:t>Minería.</w:t>
            </w:r>
            <w:r>
              <w:rPr>
                <w:color w:val="0B0B0B"/>
                <w:spacing w:val="-6"/>
                <w:sz w:val="18"/>
              </w:rPr>
              <w:t> </w:t>
            </w:r>
            <w:r>
              <w:rPr>
                <w:color w:val="0B0B0B"/>
                <w:sz w:val="18"/>
              </w:rPr>
              <w:t>Deducción</w:t>
            </w:r>
            <w:r>
              <w:rPr>
                <w:color w:val="0B0B0B"/>
                <w:spacing w:val="-5"/>
                <w:sz w:val="18"/>
              </w:rPr>
              <w:t> </w:t>
            </w:r>
            <w:r>
              <w:rPr>
                <w:color w:val="0B0B0B"/>
                <w:sz w:val="18"/>
              </w:rPr>
              <w:t>de</w:t>
            </w:r>
            <w:r>
              <w:rPr>
                <w:color w:val="0B0B0B"/>
                <w:spacing w:val="-6"/>
                <w:sz w:val="18"/>
              </w:rPr>
              <w:t> </w:t>
            </w:r>
            <w:r>
              <w:rPr>
                <w:color w:val="0B0B0B"/>
                <w:sz w:val="18"/>
              </w:rPr>
              <w:t>inversiones</w:t>
            </w:r>
            <w:r>
              <w:rPr>
                <w:color w:val="0B0B0B"/>
                <w:spacing w:val="-5"/>
                <w:sz w:val="18"/>
              </w:rPr>
              <w:t> </w:t>
            </w:r>
            <w:r>
              <w:rPr>
                <w:color w:val="0B0B0B"/>
                <w:sz w:val="18"/>
              </w:rPr>
              <w:t>de</w:t>
            </w:r>
            <w:r>
              <w:rPr>
                <w:color w:val="0B0B0B"/>
                <w:spacing w:val="-6"/>
                <w:sz w:val="18"/>
              </w:rPr>
              <w:t> </w:t>
            </w:r>
            <w:r>
              <w:rPr>
                <w:color w:val="0B0B0B"/>
                <w:sz w:val="18"/>
              </w:rPr>
              <w:t>activo</w:t>
            </w:r>
            <w:r>
              <w:rPr>
                <w:color w:val="0B0B0B"/>
                <w:spacing w:val="-6"/>
                <w:sz w:val="18"/>
              </w:rPr>
              <w:t> </w:t>
            </w:r>
            <w:r>
              <w:rPr>
                <w:color w:val="0B0B0B"/>
                <w:spacing w:val="-2"/>
                <w:sz w:val="18"/>
              </w:rPr>
              <w:t>fijo.</w:t>
            </w:r>
          </w:p>
          <w:p>
            <w:pPr>
              <w:pStyle w:val="TableParagraph"/>
              <w:spacing w:line="302" w:lineRule="auto" w:before="147"/>
              <w:ind w:left="1972" w:right="64" w:hanging="1008"/>
              <w:jc w:val="both"/>
              <w:rPr>
                <w:sz w:val="18"/>
              </w:rPr>
            </w:pPr>
            <w:r>
              <w:rPr>
                <w:rFonts w:ascii="Arial" w:hAnsi="Arial"/>
                <w:b/>
                <w:color w:val="0B0B0B"/>
                <w:sz w:val="18"/>
              </w:rPr>
              <w:t>5/LFD/PI</w:t>
            </w:r>
            <w:r>
              <w:rPr>
                <w:rFonts w:ascii="Arial" w:hAnsi="Arial"/>
                <w:b/>
                <w:color w:val="0B0B0B"/>
                <w:spacing w:val="80"/>
                <w:sz w:val="18"/>
              </w:rPr>
              <w:t>  </w:t>
            </w:r>
            <w:r>
              <w:rPr>
                <w:color w:val="0B0B0B"/>
                <w:sz w:val="18"/>
              </w:rPr>
              <w:t>Derecho Especial sobre Minería. Para su determinación es improcedente la deducción de inversiones de activo fijo, gastos diferidos y cargos diferidos.</w:t>
            </w:r>
          </w:p>
          <w:p>
            <w:pPr>
              <w:pStyle w:val="TableParagraph"/>
              <w:spacing w:line="302" w:lineRule="auto" w:before="93"/>
              <w:ind w:left="1972" w:right="62" w:hanging="1008"/>
              <w:jc w:val="both"/>
              <w:rPr>
                <w:sz w:val="18"/>
              </w:rPr>
            </w:pPr>
            <w:r>
              <w:rPr>
                <w:rFonts w:ascii="Arial" w:hAnsi="Arial"/>
                <w:b/>
                <w:color w:val="0B0B0B"/>
                <w:sz w:val="18"/>
              </w:rPr>
              <w:t>6/LFD/PI</w:t>
            </w:r>
            <w:r>
              <w:rPr>
                <w:rFonts w:ascii="Arial" w:hAnsi="Arial"/>
                <w:b/>
                <w:color w:val="0B0B0B"/>
                <w:spacing w:val="80"/>
                <w:sz w:val="18"/>
              </w:rPr>
              <w:t> </w:t>
            </w:r>
            <w:r>
              <w:rPr>
                <w:color w:val="0B0B0B"/>
                <w:sz w:val="18"/>
              </w:rPr>
              <w:t>Derecho Especial sobre Minería. La adquisición de concesiones mineras no tiene la naturaleza de inversión realizada para la prospección y exploración minera, por lo que es improcedente su deducción para la determinación del citado derecho.</w:t>
            </w:r>
          </w:p>
        </w:tc>
      </w:tr>
      <w:tr>
        <w:trPr>
          <w:trHeight w:val="353" w:hRule="atLeast"/>
        </w:trPr>
        <w:tc>
          <w:tcPr>
            <w:tcW w:w="8986" w:type="dxa"/>
            <w:shd w:val="clear" w:color="auto" w:fill="BCBCBC"/>
          </w:tcPr>
          <w:p>
            <w:pPr>
              <w:pStyle w:val="TableParagraph"/>
              <w:tabs>
                <w:tab w:pos="503" w:val="left" w:leader="none"/>
              </w:tabs>
              <w:spacing w:before="38"/>
              <w:rPr>
                <w:rFonts w:ascii="Arial"/>
                <w:b/>
                <w:sz w:val="18"/>
              </w:rPr>
            </w:pPr>
            <w:r>
              <w:rPr>
                <w:rFonts w:ascii="Arial"/>
                <w:b/>
                <w:color w:val="0B0B0B"/>
                <w:spacing w:val="-5"/>
                <w:sz w:val="18"/>
              </w:rPr>
              <w:t>B.</w:t>
            </w:r>
            <w:r>
              <w:rPr>
                <w:rFonts w:ascii="Arial"/>
                <w:b/>
                <w:color w:val="0B0B0B"/>
                <w:sz w:val="18"/>
              </w:rPr>
              <w:tab/>
            </w:r>
            <w:r>
              <w:rPr>
                <w:rFonts w:ascii="Arial"/>
                <w:b/>
                <w:color w:val="0B0B0B"/>
                <w:spacing w:val="-2"/>
                <w:sz w:val="18"/>
              </w:rPr>
              <w:t>Derogados</w:t>
            </w:r>
          </w:p>
        </w:tc>
      </w:tr>
      <w:tr>
        <w:trPr>
          <w:trHeight w:val="354" w:hRule="atLeast"/>
        </w:trPr>
        <w:tc>
          <w:tcPr>
            <w:tcW w:w="8986" w:type="dxa"/>
            <w:shd w:val="clear" w:color="auto" w:fill="BCBCBC"/>
          </w:tcPr>
          <w:p>
            <w:pPr>
              <w:pStyle w:val="TableParagraph"/>
              <w:tabs>
                <w:tab w:pos="936" w:val="left" w:leader="none"/>
              </w:tabs>
              <w:spacing w:before="39"/>
              <w:ind w:left="503"/>
              <w:rPr>
                <w:rFonts w:ascii="Arial"/>
                <w:b/>
                <w:sz w:val="18"/>
              </w:rPr>
            </w:pPr>
            <w:r>
              <w:rPr>
                <w:rFonts w:ascii="Arial"/>
                <w:b/>
                <w:color w:val="0B0B0B"/>
                <w:spacing w:val="-5"/>
                <w:sz w:val="18"/>
              </w:rPr>
              <w:t>I.</w:t>
            </w:r>
            <w:r>
              <w:rPr>
                <w:rFonts w:ascii="Arial"/>
                <w:b/>
                <w:color w:val="0B0B0B"/>
                <w:sz w:val="18"/>
              </w:rPr>
              <w:tab/>
              <w:t>Criterios</w:t>
            </w:r>
            <w:r>
              <w:rPr>
                <w:rFonts w:ascii="Arial"/>
                <w:b/>
                <w:color w:val="0B0B0B"/>
                <w:spacing w:val="-3"/>
                <w:sz w:val="18"/>
              </w:rPr>
              <w:t> </w:t>
            </w:r>
            <w:r>
              <w:rPr>
                <w:rFonts w:ascii="Arial"/>
                <w:b/>
                <w:color w:val="0B0B0B"/>
                <w:sz w:val="18"/>
              </w:rPr>
              <w:t>de</w:t>
            </w:r>
            <w:r>
              <w:rPr>
                <w:rFonts w:ascii="Arial"/>
                <w:b/>
                <w:color w:val="0B0B0B"/>
                <w:spacing w:val="-3"/>
                <w:sz w:val="18"/>
              </w:rPr>
              <w:t> </w:t>
            </w:r>
            <w:r>
              <w:rPr>
                <w:rFonts w:ascii="Arial"/>
                <w:b/>
                <w:color w:val="0B0B0B"/>
                <w:sz w:val="18"/>
              </w:rPr>
              <w:t>la</w:t>
            </w:r>
            <w:r>
              <w:rPr>
                <w:rFonts w:ascii="Arial"/>
                <w:b/>
                <w:color w:val="0B0B0B"/>
                <w:spacing w:val="-3"/>
                <w:sz w:val="18"/>
              </w:rPr>
              <w:t> </w:t>
            </w:r>
            <w:r>
              <w:rPr>
                <w:rFonts w:ascii="Arial"/>
                <w:b/>
                <w:color w:val="0B0B0B"/>
                <w:sz w:val="18"/>
              </w:rPr>
              <w:t>Ley</w:t>
            </w:r>
            <w:r>
              <w:rPr>
                <w:rFonts w:ascii="Arial"/>
                <w:b/>
                <w:color w:val="0B0B0B"/>
                <w:spacing w:val="-5"/>
                <w:sz w:val="18"/>
              </w:rPr>
              <w:t> </w:t>
            </w:r>
            <w:r>
              <w:rPr>
                <w:rFonts w:ascii="Arial"/>
                <w:b/>
                <w:color w:val="0B0B0B"/>
                <w:sz w:val="18"/>
              </w:rPr>
              <w:t>del</w:t>
            </w:r>
            <w:r>
              <w:rPr>
                <w:rFonts w:ascii="Arial"/>
                <w:b/>
                <w:color w:val="0B0B0B"/>
                <w:spacing w:val="-2"/>
                <w:sz w:val="18"/>
              </w:rPr>
              <w:t> </w:t>
            </w:r>
            <w:r>
              <w:rPr>
                <w:rFonts w:ascii="Arial"/>
                <w:b/>
                <w:color w:val="0B0B0B"/>
                <w:spacing w:val="-5"/>
                <w:sz w:val="18"/>
              </w:rPr>
              <w:t>ISR</w:t>
            </w:r>
          </w:p>
        </w:tc>
      </w:tr>
      <w:tr>
        <w:trPr>
          <w:trHeight w:val="2643" w:hRule="atLeast"/>
        </w:trPr>
        <w:tc>
          <w:tcPr>
            <w:tcW w:w="8986" w:type="dxa"/>
          </w:tcPr>
          <w:p>
            <w:pPr>
              <w:pStyle w:val="TableParagraph"/>
              <w:spacing w:line="302" w:lineRule="auto" w:before="38"/>
              <w:ind w:left="1972" w:hanging="1008"/>
              <w:rPr>
                <w:sz w:val="18"/>
              </w:rPr>
            </w:pPr>
            <w:r>
              <w:rPr>
                <w:rFonts w:ascii="Arial"/>
                <w:b/>
                <w:color w:val="0B0B0B"/>
                <w:sz w:val="18"/>
              </w:rPr>
              <w:t>10/ISR/NV</w:t>
            </w:r>
            <w:r>
              <w:rPr>
                <w:rFonts w:ascii="Arial"/>
                <w:b/>
                <w:color w:val="0B0B0B"/>
                <w:spacing w:val="80"/>
                <w:sz w:val="18"/>
              </w:rPr>
              <w:t> </w:t>
            </w:r>
            <w:r>
              <w:rPr>
                <w:color w:val="0B0B0B"/>
                <w:sz w:val="18"/>
              </w:rPr>
              <w:t>Inversiones</w:t>
            </w:r>
            <w:r>
              <w:rPr>
                <w:color w:val="0B0B0B"/>
                <w:spacing w:val="40"/>
                <w:sz w:val="18"/>
              </w:rPr>
              <w:t> </w:t>
            </w:r>
            <w:r>
              <w:rPr>
                <w:color w:val="0B0B0B"/>
                <w:sz w:val="18"/>
              </w:rPr>
              <w:t>realizadas</w:t>
            </w:r>
            <w:r>
              <w:rPr>
                <w:color w:val="0B0B0B"/>
                <w:spacing w:val="40"/>
                <w:sz w:val="18"/>
              </w:rPr>
              <w:t> </w:t>
            </w:r>
            <w:r>
              <w:rPr>
                <w:color w:val="0B0B0B"/>
                <w:sz w:val="18"/>
              </w:rPr>
              <w:t>por</w:t>
            </w:r>
            <w:r>
              <w:rPr>
                <w:color w:val="0B0B0B"/>
                <w:spacing w:val="40"/>
                <w:sz w:val="18"/>
              </w:rPr>
              <w:t> </w:t>
            </w:r>
            <w:r>
              <w:rPr>
                <w:color w:val="0B0B0B"/>
                <w:sz w:val="18"/>
              </w:rPr>
              <w:t>organizaciones</w:t>
            </w:r>
            <w:r>
              <w:rPr>
                <w:color w:val="0B0B0B"/>
                <w:spacing w:val="40"/>
                <w:sz w:val="18"/>
              </w:rPr>
              <w:t> </w:t>
            </w:r>
            <w:r>
              <w:rPr>
                <w:color w:val="0B0B0B"/>
                <w:sz w:val="18"/>
              </w:rPr>
              <w:t>civiles</w:t>
            </w:r>
            <w:r>
              <w:rPr>
                <w:color w:val="0B0B0B"/>
                <w:spacing w:val="40"/>
                <w:sz w:val="18"/>
              </w:rPr>
              <w:t> </w:t>
            </w:r>
            <w:r>
              <w:rPr>
                <w:color w:val="0B0B0B"/>
                <w:sz w:val="18"/>
              </w:rPr>
              <w:t>y</w:t>
            </w:r>
            <w:r>
              <w:rPr>
                <w:color w:val="0B0B0B"/>
                <w:spacing w:val="40"/>
                <w:sz w:val="18"/>
              </w:rPr>
              <w:t> </w:t>
            </w:r>
            <w:r>
              <w:rPr>
                <w:color w:val="0B0B0B"/>
                <w:sz w:val="18"/>
              </w:rPr>
              <w:t>fideicomisos</w:t>
            </w:r>
            <w:r>
              <w:rPr>
                <w:color w:val="0B0B0B"/>
                <w:spacing w:val="40"/>
                <w:sz w:val="18"/>
              </w:rPr>
              <w:t> </w:t>
            </w:r>
            <w:r>
              <w:rPr>
                <w:color w:val="0B0B0B"/>
                <w:sz w:val="18"/>
              </w:rPr>
              <w:t>autorizados</w:t>
            </w:r>
            <w:r>
              <w:rPr>
                <w:color w:val="0B0B0B"/>
                <w:spacing w:val="40"/>
                <w:sz w:val="18"/>
              </w:rPr>
              <w:t> </w:t>
            </w:r>
            <w:r>
              <w:rPr>
                <w:color w:val="0B0B0B"/>
                <w:sz w:val="18"/>
              </w:rPr>
              <w:t>para recibir donativos deducibles.</w:t>
            </w:r>
          </w:p>
          <w:p>
            <w:pPr>
              <w:pStyle w:val="TableParagraph"/>
              <w:spacing w:before="93"/>
              <w:ind w:left="964"/>
              <w:rPr>
                <w:sz w:val="18"/>
              </w:rPr>
            </w:pPr>
            <w:r>
              <w:rPr>
                <w:rFonts w:ascii="Arial"/>
                <w:b/>
                <w:color w:val="0B0B0B"/>
                <w:sz w:val="18"/>
              </w:rPr>
              <w:t>14/ISR/NV</w:t>
            </w:r>
            <w:r>
              <w:rPr>
                <w:rFonts w:ascii="Arial"/>
                <w:b/>
                <w:color w:val="0B0B0B"/>
                <w:spacing w:val="76"/>
                <w:sz w:val="18"/>
              </w:rPr>
              <w:t> </w:t>
            </w:r>
            <w:r>
              <w:rPr>
                <w:color w:val="0B0B0B"/>
                <w:sz w:val="18"/>
              </w:rPr>
              <w:t>Sociedades</w:t>
            </w:r>
            <w:r>
              <w:rPr>
                <w:color w:val="0B0B0B"/>
                <w:spacing w:val="-9"/>
                <w:sz w:val="18"/>
              </w:rPr>
              <w:t> </w:t>
            </w:r>
            <w:r>
              <w:rPr>
                <w:color w:val="0B0B0B"/>
                <w:sz w:val="18"/>
              </w:rPr>
              <w:t>civiles</w:t>
            </w:r>
            <w:r>
              <w:rPr>
                <w:color w:val="0B0B0B"/>
                <w:spacing w:val="-10"/>
                <w:sz w:val="18"/>
              </w:rPr>
              <w:t> </w:t>
            </w:r>
            <w:r>
              <w:rPr>
                <w:color w:val="0B0B0B"/>
                <w:sz w:val="18"/>
              </w:rPr>
              <w:t>universales.</w:t>
            </w:r>
            <w:r>
              <w:rPr>
                <w:color w:val="0B0B0B"/>
                <w:spacing w:val="-9"/>
                <w:sz w:val="18"/>
              </w:rPr>
              <w:t> </w:t>
            </w:r>
            <w:r>
              <w:rPr>
                <w:color w:val="0B0B0B"/>
                <w:sz w:val="18"/>
              </w:rPr>
              <w:t>Ingresos</w:t>
            </w:r>
            <w:r>
              <w:rPr>
                <w:color w:val="0B0B0B"/>
                <w:spacing w:val="-10"/>
                <w:sz w:val="18"/>
              </w:rPr>
              <w:t> </w:t>
            </w:r>
            <w:r>
              <w:rPr>
                <w:color w:val="0B0B0B"/>
                <w:sz w:val="18"/>
              </w:rPr>
              <w:t>en</w:t>
            </w:r>
            <w:r>
              <w:rPr>
                <w:color w:val="0B0B0B"/>
                <w:spacing w:val="-9"/>
                <w:sz w:val="18"/>
              </w:rPr>
              <w:t> </w:t>
            </w:r>
            <w:r>
              <w:rPr>
                <w:color w:val="0B0B0B"/>
                <w:sz w:val="18"/>
              </w:rPr>
              <w:t>concepto</w:t>
            </w:r>
            <w:r>
              <w:rPr>
                <w:color w:val="0B0B0B"/>
                <w:spacing w:val="-9"/>
                <w:sz w:val="18"/>
              </w:rPr>
              <w:t> </w:t>
            </w:r>
            <w:r>
              <w:rPr>
                <w:color w:val="0B0B0B"/>
                <w:sz w:val="18"/>
              </w:rPr>
              <w:t>de</w:t>
            </w:r>
            <w:r>
              <w:rPr>
                <w:color w:val="0B0B0B"/>
                <w:spacing w:val="-10"/>
                <w:sz w:val="18"/>
              </w:rPr>
              <w:t> </w:t>
            </w:r>
            <w:r>
              <w:rPr>
                <w:color w:val="0B0B0B"/>
                <w:spacing w:val="-2"/>
                <w:sz w:val="18"/>
              </w:rPr>
              <w:t>alimentos.</w:t>
            </w:r>
          </w:p>
          <w:p>
            <w:pPr>
              <w:pStyle w:val="TableParagraph"/>
              <w:spacing w:before="147"/>
              <w:ind w:left="964"/>
              <w:rPr>
                <w:sz w:val="18"/>
              </w:rPr>
            </w:pPr>
            <w:r>
              <w:rPr>
                <w:rFonts w:ascii="Arial" w:hAnsi="Arial"/>
                <w:b/>
                <w:color w:val="0B0B0B"/>
                <w:sz w:val="18"/>
              </w:rPr>
              <w:t>19/ISR/NV</w:t>
            </w:r>
            <w:r>
              <w:rPr>
                <w:rFonts w:ascii="Arial" w:hAnsi="Arial"/>
                <w:b/>
                <w:color w:val="0B0B0B"/>
                <w:spacing w:val="56"/>
                <w:w w:val="150"/>
                <w:sz w:val="18"/>
              </w:rPr>
              <w:t> </w:t>
            </w:r>
            <w:r>
              <w:rPr>
                <w:color w:val="0B0B0B"/>
                <w:sz w:val="18"/>
              </w:rPr>
              <w:t>Deducción</w:t>
            </w:r>
            <w:r>
              <w:rPr>
                <w:color w:val="0B0B0B"/>
                <w:spacing w:val="-8"/>
                <w:sz w:val="18"/>
              </w:rPr>
              <w:t> </w:t>
            </w:r>
            <w:r>
              <w:rPr>
                <w:color w:val="0B0B0B"/>
                <w:sz w:val="18"/>
              </w:rPr>
              <w:t>de</w:t>
            </w:r>
            <w:r>
              <w:rPr>
                <w:color w:val="0B0B0B"/>
                <w:spacing w:val="-9"/>
                <w:sz w:val="18"/>
              </w:rPr>
              <w:t> </w:t>
            </w:r>
            <w:r>
              <w:rPr>
                <w:color w:val="0B0B0B"/>
                <w:sz w:val="18"/>
              </w:rPr>
              <w:t>inventarios</w:t>
            </w:r>
            <w:r>
              <w:rPr>
                <w:color w:val="0B0B0B"/>
                <w:spacing w:val="-8"/>
                <w:sz w:val="18"/>
              </w:rPr>
              <w:t> </w:t>
            </w:r>
            <w:r>
              <w:rPr>
                <w:color w:val="0B0B0B"/>
                <w:spacing w:val="-2"/>
                <w:sz w:val="18"/>
              </w:rPr>
              <w:t>congelados.</w:t>
            </w:r>
          </w:p>
          <w:p>
            <w:pPr>
              <w:pStyle w:val="TableParagraph"/>
              <w:spacing w:before="147"/>
              <w:ind w:left="964"/>
              <w:rPr>
                <w:sz w:val="18"/>
              </w:rPr>
            </w:pPr>
            <w:r>
              <w:rPr>
                <w:rFonts w:ascii="Arial"/>
                <w:b/>
                <w:color w:val="0B0B0B"/>
                <w:sz w:val="18"/>
              </w:rPr>
              <w:t>20/ISR/NV</w:t>
            </w:r>
            <w:r>
              <w:rPr>
                <w:rFonts w:ascii="Arial"/>
                <w:b/>
                <w:color w:val="0B0B0B"/>
                <w:spacing w:val="55"/>
                <w:w w:val="150"/>
                <w:sz w:val="18"/>
              </w:rPr>
              <w:t> </w:t>
            </w:r>
            <w:r>
              <w:rPr>
                <w:color w:val="0B0B0B"/>
                <w:sz w:val="18"/>
              </w:rPr>
              <w:t>Inventarios</w:t>
            </w:r>
            <w:r>
              <w:rPr>
                <w:color w:val="0B0B0B"/>
                <w:spacing w:val="-8"/>
                <w:sz w:val="18"/>
              </w:rPr>
              <w:t> </w:t>
            </w:r>
            <w:r>
              <w:rPr>
                <w:color w:val="0B0B0B"/>
                <w:spacing w:val="-2"/>
                <w:sz w:val="18"/>
              </w:rPr>
              <w:t>negativos.</w:t>
            </w:r>
          </w:p>
          <w:p>
            <w:pPr>
              <w:pStyle w:val="TableParagraph"/>
              <w:spacing w:line="300" w:lineRule="auto" w:before="147"/>
              <w:ind w:left="1972" w:hanging="1008"/>
              <w:rPr>
                <w:sz w:val="18"/>
              </w:rPr>
            </w:pPr>
            <w:r>
              <w:rPr>
                <w:rFonts w:ascii="Arial" w:hAnsi="Arial"/>
                <w:b/>
                <w:color w:val="0B0B0B"/>
                <w:sz w:val="18"/>
              </w:rPr>
              <w:t>21/ISR/NV</w:t>
            </w:r>
            <w:r>
              <w:rPr>
                <w:rFonts w:ascii="Arial" w:hAnsi="Arial"/>
                <w:b/>
                <w:color w:val="0B0B0B"/>
                <w:spacing w:val="80"/>
                <w:sz w:val="18"/>
              </w:rPr>
              <w:t> </w:t>
            </w:r>
            <w:r>
              <w:rPr>
                <w:color w:val="0B0B0B"/>
                <w:sz w:val="18"/>
              </w:rPr>
              <w:t>Prestación gratuita de un servicio a organizaciones civiles y fideicomisos autorizados para recibir donativos deducibles.</w:t>
            </w:r>
          </w:p>
          <w:p>
            <w:pPr>
              <w:pStyle w:val="TableParagraph"/>
              <w:spacing w:before="96"/>
              <w:ind w:left="964"/>
              <w:rPr>
                <w:sz w:val="18"/>
              </w:rPr>
            </w:pPr>
            <w:r>
              <w:rPr>
                <w:rFonts w:ascii="Arial"/>
                <w:b/>
                <w:color w:val="0B0B0B"/>
                <w:sz w:val="18"/>
              </w:rPr>
              <w:t>25/ISR/NV</w:t>
            </w:r>
            <w:r>
              <w:rPr>
                <w:rFonts w:ascii="Arial"/>
                <w:b/>
                <w:color w:val="0B0B0B"/>
                <w:spacing w:val="78"/>
                <w:sz w:val="18"/>
              </w:rPr>
              <w:t> </w:t>
            </w:r>
            <w:r>
              <w:rPr>
                <w:color w:val="0B0B0B"/>
                <w:sz w:val="18"/>
              </w:rPr>
              <w:t>Gastos</w:t>
            </w:r>
            <w:r>
              <w:rPr>
                <w:color w:val="0B0B0B"/>
                <w:spacing w:val="-10"/>
                <w:sz w:val="18"/>
              </w:rPr>
              <w:t> </w:t>
            </w:r>
            <w:r>
              <w:rPr>
                <w:color w:val="0B0B0B"/>
                <w:sz w:val="18"/>
              </w:rPr>
              <w:t>realizados</w:t>
            </w:r>
            <w:r>
              <w:rPr>
                <w:color w:val="0B0B0B"/>
                <w:spacing w:val="-9"/>
                <w:sz w:val="18"/>
              </w:rPr>
              <w:t> </w:t>
            </w:r>
            <w:r>
              <w:rPr>
                <w:color w:val="0B0B0B"/>
                <w:sz w:val="18"/>
              </w:rPr>
              <w:t>por</w:t>
            </w:r>
            <w:r>
              <w:rPr>
                <w:color w:val="0B0B0B"/>
                <w:spacing w:val="-9"/>
                <w:sz w:val="18"/>
              </w:rPr>
              <w:t> </w:t>
            </w:r>
            <w:r>
              <w:rPr>
                <w:color w:val="0B0B0B"/>
                <w:sz w:val="18"/>
              </w:rPr>
              <w:t>actividades</w:t>
            </w:r>
            <w:r>
              <w:rPr>
                <w:color w:val="0B0B0B"/>
                <w:spacing w:val="-9"/>
                <w:sz w:val="18"/>
              </w:rPr>
              <w:t> </w:t>
            </w:r>
            <w:r>
              <w:rPr>
                <w:color w:val="0B0B0B"/>
                <w:sz w:val="18"/>
              </w:rPr>
              <w:t>comerciales</w:t>
            </w:r>
            <w:r>
              <w:rPr>
                <w:color w:val="0B0B0B"/>
                <w:spacing w:val="-9"/>
                <w:sz w:val="18"/>
              </w:rPr>
              <w:t> </w:t>
            </w:r>
            <w:r>
              <w:rPr>
                <w:color w:val="0B0B0B"/>
                <w:sz w:val="18"/>
              </w:rPr>
              <w:t>contratadas</w:t>
            </w:r>
            <w:r>
              <w:rPr>
                <w:color w:val="0B0B0B"/>
                <w:spacing w:val="-8"/>
                <w:sz w:val="18"/>
              </w:rPr>
              <w:t> </w:t>
            </w:r>
            <w:r>
              <w:rPr>
                <w:color w:val="0B0B0B"/>
                <w:sz w:val="18"/>
              </w:rPr>
              <w:t>a</w:t>
            </w:r>
            <w:r>
              <w:rPr>
                <w:color w:val="0B0B0B"/>
                <w:spacing w:val="-9"/>
                <w:sz w:val="18"/>
              </w:rPr>
              <w:t> </w:t>
            </w:r>
            <w:r>
              <w:rPr>
                <w:color w:val="0B0B0B"/>
                <w:sz w:val="18"/>
              </w:rPr>
              <w:t>un</w:t>
            </w:r>
            <w:r>
              <w:rPr>
                <w:color w:val="0B0B0B"/>
                <w:spacing w:val="-9"/>
                <w:sz w:val="18"/>
              </w:rPr>
              <w:t> </w:t>
            </w:r>
            <w:r>
              <w:rPr>
                <w:color w:val="0B0B0B"/>
                <w:spacing w:val="-2"/>
                <w:sz w:val="18"/>
              </w:rPr>
              <w:t>Sindicato.</w:t>
            </w:r>
          </w:p>
        </w:tc>
      </w:tr>
      <w:tr>
        <w:trPr>
          <w:trHeight w:val="354" w:hRule="atLeast"/>
        </w:trPr>
        <w:tc>
          <w:tcPr>
            <w:tcW w:w="8986" w:type="dxa"/>
            <w:shd w:val="clear" w:color="auto" w:fill="BCBCBC"/>
          </w:tcPr>
          <w:p>
            <w:pPr>
              <w:pStyle w:val="TableParagraph"/>
              <w:tabs>
                <w:tab w:pos="935" w:val="left" w:leader="none"/>
              </w:tabs>
              <w:spacing w:before="39"/>
              <w:ind w:left="503"/>
              <w:rPr>
                <w:rFonts w:ascii="Arial" w:hAnsi="Arial"/>
                <w:b/>
                <w:sz w:val="18"/>
              </w:rPr>
            </w:pPr>
            <w:r>
              <w:rPr>
                <w:rFonts w:ascii="Arial" w:hAnsi="Arial"/>
                <w:b/>
                <w:color w:val="0B0B0B"/>
                <w:spacing w:val="-5"/>
                <w:sz w:val="18"/>
              </w:rPr>
              <w:t>II.</w:t>
            </w:r>
            <w:r>
              <w:rPr>
                <w:rFonts w:ascii="Arial" w:hAnsi="Arial"/>
                <w:b/>
                <w:color w:val="0B0B0B"/>
                <w:sz w:val="18"/>
              </w:rPr>
              <w:tab/>
              <w:t>Criterios</w:t>
            </w:r>
            <w:r>
              <w:rPr>
                <w:rFonts w:ascii="Arial" w:hAnsi="Arial"/>
                <w:b/>
                <w:color w:val="0B0B0B"/>
                <w:spacing w:val="-1"/>
                <w:sz w:val="18"/>
              </w:rPr>
              <w:t> </w:t>
            </w:r>
            <w:r>
              <w:rPr>
                <w:rFonts w:ascii="Arial" w:hAnsi="Arial"/>
                <w:b/>
                <w:color w:val="0B0B0B"/>
                <w:sz w:val="18"/>
              </w:rPr>
              <w:t>de</w:t>
            </w:r>
            <w:r>
              <w:rPr>
                <w:rFonts w:ascii="Arial" w:hAnsi="Arial"/>
                <w:b/>
                <w:color w:val="0B0B0B"/>
                <w:spacing w:val="-1"/>
                <w:sz w:val="18"/>
              </w:rPr>
              <w:t> </w:t>
            </w:r>
            <w:r>
              <w:rPr>
                <w:rFonts w:ascii="Arial" w:hAnsi="Arial"/>
                <w:b/>
                <w:color w:val="0B0B0B"/>
                <w:sz w:val="18"/>
              </w:rPr>
              <w:t>la Ley</w:t>
            </w:r>
            <w:r>
              <w:rPr>
                <w:rFonts w:ascii="Arial" w:hAnsi="Arial"/>
                <w:b/>
                <w:color w:val="0B0B0B"/>
                <w:spacing w:val="-3"/>
                <w:sz w:val="18"/>
              </w:rPr>
              <w:t> </w:t>
            </w:r>
            <w:r>
              <w:rPr>
                <w:rFonts w:ascii="Arial" w:hAnsi="Arial"/>
                <w:b/>
                <w:color w:val="0B0B0B"/>
                <w:sz w:val="18"/>
              </w:rPr>
              <w:t>de</w:t>
            </w:r>
            <w:r>
              <w:rPr>
                <w:rFonts w:ascii="Arial" w:hAnsi="Arial"/>
                <w:b/>
                <w:color w:val="0B0B0B"/>
                <w:spacing w:val="-1"/>
                <w:sz w:val="18"/>
              </w:rPr>
              <w:t> </w:t>
            </w:r>
            <w:r>
              <w:rPr>
                <w:rFonts w:ascii="Arial" w:hAnsi="Arial"/>
                <w:b/>
                <w:color w:val="0B0B0B"/>
                <w:sz w:val="18"/>
              </w:rPr>
              <w:t>los Impuestos</w:t>
            </w:r>
            <w:r>
              <w:rPr>
                <w:rFonts w:ascii="Arial" w:hAnsi="Arial"/>
                <w:b/>
                <w:color w:val="0B0B0B"/>
                <w:spacing w:val="-1"/>
                <w:sz w:val="18"/>
              </w:rPr>
              <w:t> </w:t>
            </w:r>
            <w:r>
              <w:rPr>
                <w:rFonts w:ascii="Arial" w:hAnsi="Arial"/>
                <w:b/>
                <w:color w:val="0B0B0B"/>
                <w:sz w:val="18"/>
              </w:rPr>
              <w:t>Generales</w:t>
            </w:r>
            <w:r>
              <w:rPr>
                <w:rFonts w:ascii="Arial" w:hAnsi="Arial"/>
                <w:b/>
                <w:color w:val="0B0B0B"/>
                <w:spacing w:val="-1"/>
                <w:sz w:val="18"/>
              </w:rPr>
              <w:t> </w:t>
            </w:r>
            <w:r>
              <w:rPr>
                <w:rFonts w:ascii="Arial" w:hAnsi="Arial"/>
                <w:b/>
                <w:color w:val="0B0B0B"/>
                <w:sz w:val="18"/>
              </w:rPr>
              <w:t>de Importación</w:t>
            </w:r>
            <w:r>
              <w:rPr>
                <w:rFonts w:ascii="Arial" w:hAnsi="Arial"/>
                <w:b/>
                <w:color w:val="0B0B0B"/>
                <w:spacing w:val="-1"/>
                <w:sz w:val="18"/>
              </w:rPr>
              <w:t> </w:t>
            </w:r>
            <w:r>
              <w:rPr>
                <w:rFonts w:ascii="Arial" w:hAnsi="Arial"/>
                <w:b/>
                <w:color w:val="0B0B0B"/>
                <w:sz w:val="18"/>
              </w:rPr>
              <w:t>y</w:t>
            </w:r>
            <w:r>
              <w:rPr>
                <w:rFonts w:ascii="Arial" w:hAnsi="Arial"/>
                <w:b/>
                <w:color w:val="0B0B0B"/>
                <w:spacing w:val="-3"/>
                <w:sz w:val="18"/>
              </w:rPr>
              <w:t> </w:t>
            </w:r>
            <w:r>
              <w:rPr>
                <w:rFonts w:ascii="Arial" w:hAnsi="Arial"/>
                <w:b/>
                <w:color w:val="0B0B0B"/>
                <w:spacing w:val="-2"/>
                <w:sz w:val="18"/>
              </w:rPr>
              <w:t>Exportación</w:t>
            </w:r>
          </w:p>
        </w:tc>
      </w:tr>
      <w:tr>
        <w:trPr>
          <w:trHeight w:val="353" w:hRule="atLeast"/>
        </w:trPr>
        <w:tc>
          <w:tcPr>
            <w:tcW w:w="8986" w:type="dxa"/>
          </w:tcPr>
          <w:p>
            <w:pPr>
              <w:pStyle w:val="TableParagraph"/>
              <w:spacing w:before="38"/>
              <w:ind w:left="964"/>
              <w:rPr>
                <w:sz w:val="18"/>
              </w:rPr>
            </w:pPr>
            <w:r>
              <w:rPr>
                <w:rFonts w:ascii="Arial" w:hAnsi="Arial"/>
                <w:b/>
                <w:color w:val="0B0B0B"/>
                <w:sz w:val="18"/>
              </w:rPr>
              <w:t>1/LIGIE/NV</w:t>
            </w:r>
            <w:r>
              <w:rPr>
                <w:rFonts w:ascii="Arial" w:hAnsi="Arial"/>
                <w:b/>
                <w:color w:val="0B0B0B"/>
                <w:spacing w:val="28"/>
                <w:sz w:val="18"/>
              </w:rPr>
              <w:t> </w:t>
            </w:r>
            <w:r>
              <w:rPr>
                <w:color w:val="0B0B0B"/>
                <w:sz w:val="18"/>
              </w:rPr>
              <w:t>Regla</w:t>
            </w:r>
            <w:r>
              <w:rPr>
                <w:color w:val="0B0B0B"/>
                <w:spacing w:val="-4"/>
                <w:sz w:val="18"/>
              </w:rPr>
              <w:t> </w:t>
            </w:r>
            <w:r>
              <w:rPr>
                <w:color w:val="0B0B0B"/>
                <w:sz w:val="18"/>
              </w:rPr>
              <w:t>General</w:t>
            </w:r>
            <w:r>
              <w:rPr>
                <w:color w:val="0B0B0B"/>
                <w:spacing w:val="-4"/>
                <w:sz w:val="18"/>
              </w:rPr>
              <w:t> </w:t>
            </w:r>
            <w:r>
              <w:rPr>
                <w:color w:val="0B0B0B"/>
                <w:sz w:val="18"/>
              </w:rPr>
              <w:t>2</w:t>
            </w:r>
            <w:r>
              <w:rPr>
                <w:color w:val="0B0B0B"/>
                <w:spacing w:val="-5"/>
                <w:sz w:val="18"/>
              </w:rPr>
              <w:t> </w:t>
            </w:r>
            <w:r>
              <w:rPr>
                <w:color w:val="0B0B0B"/>
                <w:sz w:val="18"/>
              </w:rPr>
              <w:t>a).</w:t>
            </w:r>
            <w:r>
              <w:rPr>
                <w:color w:val="0B0B0B"/>
                <w:spacing w:val="-5"/>
                <w:sz w:val="18"/>
              </w:rPr>
              <w:t> </w:t>
            </w:r>
            <w:r>
              <w:rPr>
                <w:color w:val="0B0B0B"/>
                <w:sz w:val="18"/>
              </w:rPr>
              <w:t>Importación</w:t>
            </w:r>
            <w:r>
              <w:rPr>
                <w:color w:val="0B0B0B"/>
                <w:spacing w:val="-4"/>
                <w:sz w:val="18"/>
              </w:rPr>
              <w:t> </w:t>
            </w:r>
            <w:r>
              <w:rPr>
                <w:color w:val="0B0B0B"/>
                <w:sz w:val="18"/>
              </w:rPr>
              <w:t>de</w:t>
            </w:r>
            <w:r>
              <w:rPr>
                <w:color w:val="0B0B0B"/>
                <w:spacing w:val="-5"/>
                <w:sz w:val="18"/>
              </w:rPr>
              <w:t> </w:t>
            </w:r>
            <w:r>
              <w:rPr>
                <w:color w:val="0B0B0B"/>
                <w:sz w:val="18"/>
              </w:rPr>
              <w:t>mercancía</w:t>
            </w:r>
            <w:r>
              <w:rPr>
                <w:color w:val="0B0B0B"/>
                <w:spacing w:val="-5"/>
                <w:sz w:val="18"/>
              </w:rPr>
              <w:t> </w:t>
            </w:r>
            <w:r>
              <w:rPr>
                <w:color w:val="0B0B0B"/>
                <w:sz w:val="18"/>
              </w:rPr>
              <w:t>sin</w:t>
            </w:r>
            <w:r>
              <w:rPr>
                <w:color w:val="0B0B0B"/>
                <w:spacing w:val="-4"/>
                <w:sz w:val="18"/>
              </w:rPr>
              <w:t> </w:t>
            </w:r>
            <w:r>
              <w:rPr>
                <w:color w:val="0B0B0B"/>
                <w:spacing w:val="-2"/>
                <w:sz w:val="18"/>
              </w:rPr>
              <w:t>montar.</w:t>
            </w:r>
          </w:p>
        </w:tc>
      </w:tr>
    </w:tbl>
    <w:p>
      <w:pPr>
        <w:pStyle w:val="TableParagraph"/>
        <w:spacing w:after="0"/>
        <w:rPr>
          <w:sz w:val="18"/>
        </w:rPr>
        <w:sectPr>
          <w:headerReference w:type="default" r:id="rId8"/>
          <w:pgSz w:w="12240" w:h="15840"/>
          <w:pgMar w:header="690" w:footer="0" w:top="1040" w:bottom="280" w:left="1440" w:right="1440"/>
        </w:sectPr>
      </w:pPr>
    </w:p>
    <w:p>
      <w:pPr>
        <w:pStyle w:val="ListParagraph"/>
        <w:numPr>
          <w:ilvl w:val="0"/>
          <w:numId w:val="1"/>
        </w:numPr>
        <w:tabs>
          <w:tab w:pos="691" w:val="left" w:leader="none"/>
        </w:tabs>
        <w:spacing w:line="240" w:lineRule="auto" w:before="136" w:after="0"/>
        <w:ind w:left="691" w:right="0" w:hanging="432"/>
        <w:jc w:val="left"/>
        <w:rPr>
          <w:rFonts w:ascii="Arial"/>
          <w:b/>
          <w:sz w:val="18"/>
        </w:rPr>
      </w:pPr>
      <w:r>
        <w:rPr>
          <w:rFonts w:ascii="Arial"/>
          <w:b/>
          <w:color w:val="0B0B0B"/>
          <w:spacing w:val="-2"/>
          <w:sz w:val="18"/>
        </w:rPr>
        <w:t>Vigentes</w:t>
      </w:r>
    </w:p>
    <w:p>
      <w:pPr>
        <w:pStyle w:val="ListParagraph"/>
        <w:numPr>
          <w:ilvl w:val="1"/>
          <w:numId w:val="1"/>
        </w:numPr>
        <w:tabs>
          <w:tab w:pos="1123" w:val="left" w:leader="none"/>
        </w:tabs>
        <w:spacing w:line="240" w:lineRule="auto" w:before="139" w:after="0"/>
        <w:ind w:left="1123" w:right="0" w:hanging="432"/>
        <w:jc w:val="left"/>
        <w:rPr>
          <w:rFonts w:ascii="Arial"/>
          <w:b/>
          <w:sz w:val="18"/>
        </w:rPr>
      </w:pPr>
      <w:r>
        <w:rPr>
          <w:rFonts w:ascii="Arial"/>
          <w:b/>
          <w:color w:val="0B0B0B"/>
          <w:sz w:val="18"/>
        </w:rPr>
        <w:t>Criterios del </w:t>
      </w:r>
      <w:r>
        <w:rPr>
          <w:rFonts w:ascii="Arial"/>
          <w:b/>
          <w:color w:val="0B0B0B"/>
          <w:spacing w:val="-5"/>
          <w:sz w:val="18"/>
        </w:rPr>
        <w:t>CFF</w:t>
      </w:r>
    </w:p>
    <w:p>
      <w:pPr>
        <w:spacing w:line="285" w:lineRule="auto" w:before="140"/>
        <w:ind w:left="2145" w:right="255" w:hanging="1008"/>
        <w:jc w:val="both"/>
        <w:rPr>
          <w:rFonts w:ascii="Arial" w:hAnsi="Arial"/>
          <w:b/>
          <w:sz w:val="18"/>
        </w:rPr>
      </w:pPr>
      <w:r>
        <w:rPr>
          <w:rFonts w:ascii="Arial" w:hAnsi="Arial"/>
          <w:b/>
          <w:color w:val="0B0B0B"/>
          <w:sz w:val="18"/>
        </w:rPr>
        <w:t>1/CFF/PI</w:t>
      </w:r>
      <w:r>
        <w:rPr>
          <w:rFonts w:ascii="Arial" w:hAnsi="Arial"/>
          <w:b/>
          <w:color w:val="0B0B0B"/>
          <w:spacing w:val="80"/>
          <w:sz w:val="18"/>
        </w:rPr>
        <w:t>  </w:t>
      </w:r>
      <w:r>
        <w:rPr>
          <w:rFonts w:ascii="Arial" w:hAnsi="Arial"/>
          <w:b/>
          <w:color w:val="0B0B0B"/>
          <w:sz w:val="18"/>
        </w:rPr>
        <w:t>Entrega o puesta a disposición</w:t>
      </w:r>
      <w:r>
        <w:rPr>
          <w:rFonts w:ascii="Arial" w:hAnsi="Arial"/>
          <w:b/>
          <w:color w:val="0B0B0B"/>
          <w:spacing w:val="-1"/>
          <w:sz w:val="18"/>
        </w:rPr>
        <w:t> </w:t>
      </w:r>
      <w:r>
        <w:rPr>
          <w:rFonts w:ascii="Arial" w:hAnsi="Arial"/>
          <w:b/>
          <w:color w:val="0B0B0B"/>
          <w:sz w:val="18"/>
        </w:rPr>
        <w:t>del CFDI.</w:t>
      </w:r>
      <w:r>
        <w:rPr>
          <w:rFonts w:ascii="Arial" w:hAnsi="Arial"/>
          <w:b/>
          <w:color w:val="0B0B0B"/>
          <w:spacing w:val="-1"/>
          <w:sz w:val="18"/>
        </w:rPr>
        <w:t> </w:t>
      </w:r>
      <w:r>
        <w:rPr>
          <w:rFonts w:ascii="Arial" w:hAnsi="Arial"/>
          <w:b/>
          <w:color w:val="0B0B0B"/>
          <w:sz w:val="18"/>
        </w:rPr>
        <w:t>No se cumple con la obligación cuando el emisor únicamente remite a una página de Internet.</w:t>
      </w:r>
    </w:p>
    <w:p>
      <w:pPr>
        <w:pStyle w:val="BodyText"/>
        <w:spacing w:line="285" w:lineRule="auto" w:before="102"/>
        <w:ind w:right="256"/>
      </w:pPr>
      <w:r>
        <w:rPr>
          <w:color w:val="0B0B0B"/>
        </w:rPr>
        <w:t>El artículo 29, primer párrafo del CFF establece la obligación para los contribuyentes de expedir CFDI por los actos o actividades que realicen, por los ingresos que se perciban o por</w:t>
      </w:r>
      <w:r>
        <w:rPr>
          <w:color w:val="0B0B0B"/>
        </w:rPr>
        <w:t> las retenciones de contribuciones que efectúen, para lo cual de conformidad con su fracción IV, antes de su expedición deberán remitirlos al SAT o al PCCFDI con el objeto de que se certifique, es decir, se valide el cumplimiento de los requisitos establecidos en el artículo 29-A del mismo Código, se le asigne un folio y se le incorpore el sello digital del SAT.</w:t>
      </w:r>
    </w:p>
    <w:p>
      <w:pPr>
        <w:pStyle w:val="BodyText"/>
        <w:spacing w:line="285" w:lineRule="auto" w:before="98"/>
        <w:ind w:right="257"/>
      </w:pPr>
      <w:r>
        <w:rPr>
          <w:color w:val="0B0B0B"/>
        </w:rPr>
        <w:t>El artículo 29, fracción V del citado ordenamiento prevé que una vez que al CFDI se le haya incorporado el sello digital a que se refiere el párrafo anterior, los contribuyentes deberán entregar o poner a disposición de sus clientes el archivo electrónico del CFDI y, cuando les sea solicitada por los clientes, su representación impresa, por lo que se considera que el cliente que solicita el comprobante fiscal solo debe proporcionar su clave en el RFC, nombre o razón social, código postal del domicilio fiscal y uso fiscal que le dará al comprobante fiscal, sin necesidad de exhibir la Cédula de Identificación Fiscal o Constancia de Situación Fiscal.</w:t>
      </w:r>
    </w:p>
    <w:p>
      <w:pPr>
        <w:pStyle w:val="BodyText"/>
        <w:spacing w:before="99"/>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2"/>
          <w:numId w:val="1"/>
        </w:numPr>
        <w:tabs>
          <w:tab w:pos="2664" w:val="left" w:leader="none"/>
        </w:tabs>
        <w:spacing w:line="285" w:lineRule="auto" w:before="140" w:after="0"/>
        <w:ind w:left="2664" w:right="257" w:hanging="504"/>
        <w:jc w:val="both"/>
        <w:rPr>
          <w:sz w:val="18"/>
        </w:rPr>
      </w:pPr>
      <w:r>
        <w:rPr>
          <w:color w:val="0B0B0B"/>
          <w:sz w:val="18"/>
        </w:rPr>
        <w:t>Los contribuyentes que no cumplan, en el mismo acto y lugar, con su obligación de</w:t>
      </w:r>
      <w:r>
        <w:rPr>
          <w:color w:val="0B0B0B"/>
          <w:spacing w:val="-2"/>
          <w:sz w:val="18"/>
        </w:rPr>
        <w:t> </w:t>
      </w:r>
      <w:r>
        <w:rPr>
          <w:color w:val="0B0B0B"/>
          <w:sz w:val="18"/>
        </w:rPr>
        <w:t>expedir</w:t>
      </w:r>
      <w:r>
        <w:rPr>
          <w:color w:val="0B0B0B"/>
          <w:spacing w:val="-2"/>
          <w:sz w:val="18"/>
        </w:rPr>
        <w:t> </w:t>
      </w:r>
      <w:r>
        <w:rPr>
          <w:color w:val="0B0B0B"/>
          <w:sz w:val="18"/>
        </w:rPr>
        <w:t>el</w:t>
      </w:r>
      <w:r>
        <w:rPr>
          <w:color w:val="0B0B0B"/>
          <w:spacing w:val="-1"/>
          <w:sz w:val="18"/>
        </w:rPr>
        <w:t> </w:t>
      </w:r>
      <w:r>
        <w:rPr>
          <w:color w:val="0B0B0B"/>
          <w:sz w:val="18"/>
        </w:rPr>
        <w:t>CFDI</w:t>
      </w:r>
      <w:r>
        <w:rPr>
          <w:color w:val="0B0B0B"/>
          <w:spacing w:val="-1"/>
          <w:sz w:val="18"/>
        </w:rPr>
        <w:t> </w:t>
      </w:r>
      <w:r>
        <w:rPr>
          <w:color w:val="0B0B0B"/>
          <w:sz w:val="18"/>
        </w:rPr>
        <w:t>y</w:t>
      </w:r>
      <w:r>
        <w:rPr>
          <w:color w:val="0B0B0B"/>
          <w:spacing w:val="-4"/>
          <w:sz w:val="18"/>
        </w:rPr>
        <w:t> </w:t>
      </w:r>
      <w:r>
        <w:rPr>
          <w:color w:val="0B0B0B"/>
          <w:sz w:val="18"/>
        </w:rPr>
        <w:t>tampoco</w:t>
      </w:r>
      <w:r>
        <w:rPr>
          <w:color w:val="0B0B0B"/>
          <w:spacing w:val="-1"/>
          <w:sz w:val="18"/>
        </w:rPr>
        <w:t> </w:t>
      </w:r>
      <w:r>
        <w:rPr>
          <w:color w:val="0B0B0B"/>
          <w:sz w:val="18"/>
        </w:rPr>
        <w:t>con</w:t>
      </w:r>
      <w:r>
        <w:rPr>
          <w:color w:val="0B0B0B"/>
          <w:spacing w:val="-2"/>
          <w:sz w:val="18"/>
        </w:rPr>
        <w:t> </w:t>
      </w:r>
      <w:r>
        <w:rPr>
          <w:color w:val="0B0B0B"/>
          <w:sz w:val="18"/>
        </w:rPr>
        <w:t>su</w:t>
      </w:r>
      <w:r>
        <w:rPr>
          <w:color w:val="0B0B0B"/>
          <w:spacing w:val="-2"/>
          <w:sz w:val="18"/>
        </w:rPr>
        <w:t> </w:t>
      </w:r>
      <w:r>
        <w:rPr>
          <w:color w:val="0B0B0B"/>
          <w:sz w:val="18"/>
        </w:rPr>
        <w:t>remisión</w:t>
      </w:r>
      <w:r>
        <w:rPr>
          <w:color w:val="0B0B0B"/>
          <w:spacing w:val="-2"/>
          <w:sz w:val="18"/>
        </w:rPr>
        <w:t> </w:t>
      </w:r>
      <w:r>
        <w:rPr>
          <w:color w:val="0B0B0B"/>
          <w:sz w:val="18"/>
        </w:rPr>
        <w:t>al</w:t>
      </w:r>
      <w:r>
        <w:rPr>
          <w:color w:val="0B0B0B"/>
          <w:spacing w:val="-2"/>
          <w:sz w:val="18"/>
        </w:rPr>
        <w:t> </w:t>
      </w:r>
      <w:r>
        <w:rPr>
          <w:color w:val="0B0B0B"/>
          <w:sz w:val="18"/>
        </w:rPr>
        <w:t>SAT o</w:t>
      </w:r>
      <w:r>
        <w:rPr>
          <w:color w:val="0B0B0B"/>
          <w:spacing w:val="-2"/>
          <w:sz w:val="18"/>
        </w:rPr>
        <w:t> </w:t>
      </w:r>
      <w:r>
        <w:rPr>
          <w:color w:val="0B0B0B"/>
          <w:sz w:val="18"/>
        </w:rPr>
        <w:t>al</w:t>
      </w:r>
      <w:r>
        <w:rPr>
          <w:color w:val="0B0B0B"/>
          <w:spacing w:val="-2"/>
          <w:sz w:val="18"/>
        </w:rPr>
        <w:t> </w:t>
      </w:r>
      <w:r>
        <w:rPr>
          <w:color w:val="0B0B0B"/>
          <w:sz w:val="18"/>
        </w:rPr>
        <w:t>PCCFDI</w:t>
      </w:r>
      <w:r>
        <w:rPr>
          <w:color w:val="0B0B0B"/>
          <w:spacing w:val="-2"/>
          <w:sz w:val="18"/>
        </w:rPr>
        <w:t> </w:t>
      </w:r>
      <w:r>
        <w:rPr>
          <w:color w:val="0B0B0B"/>
          <w:sz w:val="18"/>
        </w:rPr>
        <w:t>con</w:t>
      </w:r>
      <w:r>
        <w:rPr>
          <w:color w:val="0B0B0B"/>
          <w:spacing w:val="-2"/>
          <w:sz w:val="18"/>
        </w:rPr>
        <w:t> </w:t>
      </w:r>
      <w:r>
        <w:rPr>
          <w:color w:val="0B0B0B"/>
          <w:sz w:val="18"/>
        </w:rPr>
        <w:t>el</w:t>
      </w:r>
      <w:r>
        <w:rPr>
          <w:color w:val="0B0B0B"/>
          <w:spacing w:val="-1"/>
          <w:sz w:val="18"/>
        </w:rPr>
        <w:t> </w:t>
      </w:r>
      <w:r>
        <w:rPr>
          <w:color w:val="0B0B0B"/>
          <w:sz w:val="18"/>
        </w:rPr>
        <w:t>objeto de que se certifique.</w:t>
      </w:r>
    </w:p>
    <w:p>
      <w:pPr>
        <w:pStyle w:val="ListParagraph"/>
        <w:numPr>
          <w:ilvl w:val="2"/>
          <w:numId w:val="1"/>
        </w:numPr>
        <w:tabs>
          <w:tab w:pos="2664" w:val="left" w:leader="none"/>
        </w:tabs>
        <w:spacing w:line="285" w:lineRule="auto" w:before="99" w:after="0"/>
        <w:ind w:left="2664" w:right="258" w:hanging="504"/>
        <w:jc w:val="both"/>
        <w:rPr>
          <w:sz w:val="18"/>
        </w:rPr>
      </w:pPr>
      <w:r>
        <w:rPr>
          <w:color w:val="0B0B0B"/>
          <w:sz w:val="18"/>
        </w:rPr>
        <w:t>Los contribuyentes que no permitan,</w:t>
      </w:r>
      <w:r>
        <w:rPr>
          <w:color w:val="0B0B0B"/>
          <w:sz w:val="18"/>
        </w:rPr>
        <w:t> en el mismo acto y lugar que el cliente proporcione sus datos para la generación del CFDI.</w:t>
      </w:r>
    </w:p>
    <w:p>
      <w:pPr>
        <w:pStyle w:val="ListParagraph"/>
        <w:numPr>
          <w:ilvl w:val="2"/>
          <w:numId w:val="1"/>
        </w:numPr>
        <w:tabs>
          <w:tab w:pos="2662" w:val="left" w:leader="none"/>
          <w:tab w:pos="2664" w:val="left" w:leader="none"/>
        </w:tabs>
        <w:spacing w:line="285" w:lineRule="auto" w:before="101" w:after="0"/>
        <w:ind w:left="2664" w:right="256" w:hanging="504"/>
        <w:jc w:val="both"/>
        <w:rPr>
          <w:sz w:val="18"/>
        </w:rPr>
      </w:pPr>
      <w:r>
        <w:rPr>
          <w:color w:val="0B0B0B"/>
          <w:sz w:val="18"/>
        </w:rPr>
        <w:t>Los contribuyentes que, en sus establecimientos, sucursales o puntos de venta, únicamente pongan a disposición del cliente un medio por el cual le invitan para que este, por su cuenta, proporcione sus datos y, por</w:t>
      </w:r>
      <w:r>
        <w:rPr>
          <w:color w:val="0B0B0B"/>
          <w:sz w:val="18"/>
        </w:rPr>
        <w:t> ende, le trasladan la obligación de generar el CFDI.</w:t>
      </w:r>
    </w:p>
    <w:p>
      <w:pPr>
        <w:pStyle w:val="ListParagraph"/>
        <w:numPr>
          <w:ilvl w:val="2"/>
          <w:numId w:val="1"/>
        </w:numPr>
        <w:tabs>
          <w:tab w:pos="2664" w:val="left" w:leader="none"/>
        </w:tabs>
        <w:spacing w:line="285" w:lineRule="auto" w:before="100" w:after="0"/>
        <w:ind w:left="2664" w:right="258"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3"/>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92"/>
        <w:gridCol w:w="3894"/>
      </w:tblGrid>
      <w:tr>
        <w:trPr>
          <w:trHeight w:val="386" w:hRule="atLeast"/>
        </w:trPr>
        <w:tc>
          <w:tcPr>
            <w:tcW w:w="2992" w:type="dxa"/>
            <w:shd w:val="clear" w:color="auto" w:fill="BDBDBD"/>
          </w:tcPr>
          <w:p>
            <w:pPr>
              <w:pStyle w:val="TableParagraph"/>
              <w:spacing w:before="86"/>
              <w:ind w:left="11"/>
              <w:jc w:val="center"/>
              <w:rPr>
                <w:rFonts w:ascii="Arial"/>
                <w:b/>
                <w:sz w:val="16"/>
              </w:rPr>
            </w:pPr>
            <w:r>
              <w:rPr>
                <w:rFonts w:ascii="Arial"/>
                <w:b/>
                <w:color w:val="0B0B0B"/>
                <w:spacing w:val="-2"/>
                <w:sz w:val="16"/>
              </w:rPr>
              <w:t>Origen</w:t>
            </w:r>
          </w:p>
        </w:tc>
        <w:tc>
          <w:tcPr>
            <w:tcW w:w="3894" w:type="dxa"/>
            <w:shd w:val="clear" w:color="auto" w:fill="BDBDBD"/>
          </w:tcPr>
          <w:p>
            <w:pPr>
              <w:pStyle w:val="TableParagraph"/>
              <w:spacing w:before="86"/>
              <w:ind w:left="12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77" w:hRule="atLeast"/>
        </w:trPr>
        <w:tc>
          <w:tcPr>
            <w:tcW w:w="2992" w:type="dxa"/>
          </w:tcPr>
          <w:p>
            <w:pPr>
              <w:pStyle w:val="TableParagraph"/>
              <w:spacing w:line="321" w:lineRule="auto" w:before="86"/>
              <w:ind w:right="35"/>
              <w:rPr>
                <w:sz w:val="16"/>
              </w:rPr>
            </w:pPr>
            <w:r>
              <w:rPr>
                <w:color w:val="0B0B0B"/>
                <w:sz w:val="16"/>
              </w:rPr>
              <w:t>Quinta Resolución de Modificaciones a la RMF para 2014</w:t>
            </w:r>
          </w:p>
        </w:tc>
        <w:tc>
          <w:tcPr>
            <w:tcW w:w="3894" w:type="dxa"/>
          </w:tcPr>
          <w:p>
            <w:pPr>
              <w:pStyle w:val="TableParagraph"/>
              <w:spacing w:line="321" w:lineRule="auto" w:before="86"/>
              <w:ind w:right="58"/>
              <w:jc w:val="both"/>
              <w:rPr>
                <w:sz w:val="16"/>
              </w:rPr>
            </w:pPr>
            <w:r>
              <w:rPr>
                <w:color w:val="0B0B0B"/>
                <w:sz w:val="16"/>
              </w:rPr>
              <w:t>Publicada en el DOF el 16 de octubre de </w:t>
            </w:r>
            <w:r>
              <w:rPr>
                <w:color w:val="0B0B0B"/>
                <w:sz w:val="16"/>
              </w:rPr>
              <w:t>2014, Anexo 3, publicado en el DOF el 17 de octubre de </w:t>
            </w:r>
            <w:r>
              <w:rPr>
                <w:color w:val="0B0B0B"/>
                <w:spacing w:val="-2"/>
                <w:sz w:val="16"/>
              </w:rPr>
              <w:t>2014.</w:t>
            </w:r>
          </w:p>
        </w:tc>
      </w:tr>
    </w:tbl>
    <w:p>
      <w:pPr>
        <w:pStyle w:val="BodyText"/>
        <w:spacing w:before="170"/>
        <w:ind w:left="0"/>
        <w:jc w:val="left"/>
      </w:pPr>
    </w:p>
    <w:p>
      <w:pPr>
        <w:pStyle w:val="Heading1"/>
        <w:spacing w:line="285" w:lineRule="auto" w:before="1"/>
        <w:ind w:right="256"/>
        <w:jc w:val="both"/>
      </w:pPr>
      <w:r>
        <w:rPr>
          <w:color w:val="0B0B0B"/>
        </w:rPr>
        <w:t>2/CFF/PI</w:t>
      </w:r>
      <w:r>
        <w:rPr>
          <w:color w:val="0B0B0B"/>
          <w:spacing w:val="80"/>
        </w:rPr>
        <w:t>  </w:t>
      </w:r>
      <w:r>
        <w:rPr>
          <w:color w:val="0B0B0B"/>
        </w:rPr>
        <w:t>Revelación de esquemas reportables generalizados. Hacer aparentar que tienen el carácter de esquemas reportables personalizados, es contrario a lo establecido por las disposiciones legales aplicables.</w:t>
      </w:r>
    </w:p>
    <w:p>
      <w:pPr>
        <w:pStyle w:val="BodyText"/>
        <w:spacing w:line="285" w:lineRule="auto" w:before="101"/>
        <w:ind w:right="257"/>
      </w:pPr>
      <w:r>
        <w:rPr>
          <w:color w:val="0B0B0B"/>
        </w:rPr>
        <w:t>El artículo 197 del CFF establece que, por</w:t>
      </w:r>
      <w:r>
        <w:rPr>
          <w:color w:val="0B0B0B"/>
        </w:rPr>
        <w:t> regla general, los asesores fiscales se encuentran obligados a revelar los esquemas reportables generalizados y personalizados. Al respecto, el artículo 199, primer y segundo párrafos del CFF disponen que se considera esquema reportable cualquier plan, proyecto, propuesta, asesoría,</w:t>
      </w:r>
      <w:r>
        <w:rPr>
          <w:color w:val="0B0B0B"/>
        </w:rPr>
        <w:t> instrucción o recomendación externada de forma expresa o tácita con el objeto de materializar una serie de actos jurídicos, que genere o pueda generar,</w:t>
      </w:r>
      <w:r>
        <w:rPr>
          <w:color w:val="0B0B0B"/>
          <w:spacing w:val="40"/>
        </w:rPr>
        <w:t> </w:t>
      </w:r>
      <w:r>
        <w:rPr>
          <w:color w:val="0B0B0B"/>
        </w:rPr>
        <w:t>directa o indirectamente, la obtención de un beneficio fiscal en México y que, además, tenga alguna de las características señaladas en las catorce</w:t>
      </w:r>
      <w:r>
        <w:rPr>
          <w:color w:val="0B0B0B"/>
        </w:rPr>
        <w:t> fracciones de dicho </w:t>
      </w:r>
      <w:r>
        <w:rPr>
          <w:color w:val="0B0B0B"/>
          <w:spacing w:val="-2"/>
        </w:rPr>
        <w:t>artículo.</w:t>
      </w:r>
    </w:p>
    <w:p>
      <w:pPr>
        <w:pStyle w:val="BodyText"/>
        <w:spacing w:after="0" w:line="285" w:lineRule="auto"/>
        <w:sectPr>
          <w:headerReference w:type="default" r:id="rId9"/>
          <w:pgSz w:w="12240" w:h="15840"/>
          <w:pgMar w:header="690" w:footer="0" w:top="1040" w:bottom="280" w:left="1440" w:right="1440"/>
        </w:sectPr>
      </w:pPr>
    </w:p>
    <w:p>
      <w:pPr>
        <w:pStyle w:val="BodyText"/>
        <w:spacing w:line="295" w:lineRule="auto" w:before="143"/>
        <w:ind w:right="257"/>
      </w:pPr>
      <w:r>
        <w:rPr>
          <w:color w:val="0B0B0B"/>
        </w:rPr>
        <w:t>El artículo 199, tercer párrafo</w:t>
      </w:r>
      <w:r>
        <w:rPr>
          <w:color w:val="0B0B0B"/>
        </w:rPr>
        <w:t> del CFF establece que, un esquema reportable generalizado es aquél que busca comercializarse de manera masiva a todo tipo de contribuyentes o a un grupo específico de ellos, y aunque requieran mínima o nula adaptación</w:t>
      </w:r>
      <w:r>
        <w:rPr>
          <w:color w:val="0B0B0B"/>
          <w:spacing w:val="-1"/>
        </w:rPr>
        <w:t> </w:t>
      </w:r>
      <w:r>
        <w:rPr>
          <w:color w:val="0B0B0B"/>
        </w:rPr>
        <w:t>para</w:t>
      </w:r>
      <w:r>
        <w:rPr>
          <w:color w:val="0B0B0B"/>
          <w:spacing w:val="-2"/>
        </w:rPr>
        <w:t> </w:t>
      </w:r>
      <w:r>
        <w:rPr>
          <w:color w:val="0B0B0B"/>
        </w:rPr>
        <w:t>adecuarse</w:t>
      </w:r>
      <w:r>
        <w:rPr>
          <w:color w:val="0B0B0B"/>
          <w:spacing w:val="-1"/>
        </w:rPr>
        <w:t> </w:t>
      </w:r>
      <w:r>
        <w:rPr>
          <w:color w:val="0B0B0B"/>
        </w:rPr>
        <w:t>a</w:t>
      </w:r>
      <w:r>
        <w:rPr>
          <w:color w:val="0B0B0B"/>
          <w:spacing w:val="-1"/>
        </w:rPr>
        <w:t> </w:t>
      </w:r>
      <w:r>
        <w:rPr>
          <w:color w:val="0B0B0B"/>
        </w:rPr>
        <w:t>las</w:t>
      </w:r>
      <w:r>
        <w:rPr>
          <w:color w:val="0B0B0B"/>
          <w:spacing w:val="-2"/>
        </w:rPr>
        <w:t> </w:t>
      </w:r>
      <w:r>
        <w:rPr>
          <w:color w:val="0B0B0B"/>
        </w:rPr>
        <w:t>circunstancias</w:t>
      </w:r>
      <w:r>
        <w:rPr>
          <w:color w:val="0B0B0B"/>
          <w:spacing w:val="-1"/>
        </w:rPr>
        <w:t> </w:t>
      </w:r>
      <w:r>
        <w:rPr>
          <w:color w:val="0B0B0B"/>
        </w:rPr>
        <w:t>específicas del</w:t>
      </w:r>
      <w:r>
        <w:rPr>
          <w:color w:val="0B0B0B"/>
          <w:spacing w:val="-2"/>
        </w:rPr>
        <w:t> </w:t>
      </w:r>
      <w:r>
        <w:rPr>
          <w:color w:val="0B0B0B"/>
        </w:rPr>
        <w:t>contribuyente,</w:t>
      </w:r>
      <w:r>
        <w:rPr>
          <w:color w:val="0B0B0B"/>
          <w:spacing w:val="-2"/>
        </w:rPr>
        <w:t> </w:t>
      </w:r>
      <w:r>
        <w:rPr>
          <w:color w:val="0B0B0B"/>
        </w:rPr>
        <w:t>la</w:t>
      </w:r>
      <w:r>
        <w:rPr>
          <w:color w:val="0B0B0B"/>
          <w:spacing w:val="-1"/>
        </w:rPr>
        <w:t> </w:t>
      </w:r>
      <w:r>
        <w:rPr>
          <w:color w:val="0B0B0B"/>
        </w:rPr>
        <w:t>forma de obtener el beneficio fiscal sea la misma, así como que un esquema reportable personalizado es aquél que se diseña, comercializa, organiza, implementa o</w:t>
      </w:r>
      <w:r>
        <w:rPr>
          <w:color w:val="0B0B0B"/>
          <w:spacing w:val="40"/>
        </w:rPr>
        <w:t> </w:t>
      </w:r>
      <w:r>
        <w:rPr>
          <w:color w:val="0B0B0B"/>
        </w:rPr>
        <w:t>administra para adaptarse a las circunstancias particulares de un contribuyente </w:t>
      </w:r>
      <w:r>
        <w:rPr>
          <w:color w:val="0B0B0B"/>
          <w:spacing w:val="-2"/>
        </w:rPr>
        <w:t>específico.</w:t>
      </w:r>
    </w:p>
    <w:p>
      <w:pPr>
        <w:pStyle w:val="BodyText"/>
        <w:spacing w:line="295" w:lineRule="auto" w:before="104"/>
        <w:ind w:right="258"/>
      </w:pPr>
      <w:r>
        <w:rPr>
          <w:color w:val="0B0B0B"/>
        </w:rPr>
        <w:t>De lo anterior,</w:t>
      </w:r>
      <w:r>
        <w:rPr>
          <w:color w:val="0B0B0B"/>
        </w:rPr>
        <w:t> se</w:t>
      </w:r>
      <w:r>
        <w:rPr>
          <w:color w:val="0B0B0B"/>
        </w:rPr>
        <w:t> advierte que un esquema reportable generalizado cuenta con las siguientes características: tiene por objeto comercializarse de manera masiva a cualquier contribuyente o a un grupo de ellos; requiere mínima o nula adaptación para adecuarse a las circunstancias específicas del contribuyente; y la forma de obtener el beneficio</w:t>
      </w:r>
      <w:r>
        <w:rPr>
          <w:color w:val="0B0B0B"/>
          <w:spacing w:val="-2"/>
        </w:rPr>
        <w:t> </w:t>
      </w:r>
      <w:r>
        <w:rPr>
          <w:color w:val="0B0B0B"/>
        </w:rPr>
        <w:t>fiscal</w:t>
      </w:r>
      <w:r>
        <w:rPr>
          <w:color w:val="0B0B0B"/>
          <w:spacing w:val="-2"/>
        </w:rPr>
        <w:t> </w:t>
      </w:r>
      <w:r>
        <w:rPr>
          <w:color w:val="0B0B0B"/>
        </w:rPr>
        <w:t>es</w:t>
      </w:r>
      <w:r>
        <w:rPr>
          <w:color w:val="0B0B0B"/>
          <w:spacing w:val="-2"/>
        </w:rPr>
        <w:t> </w:t>
      </w:r>
      <w:r>
        <w:rPr>
          <w:color w:val="0B0B0B"/>
        </w:rPr>
        <w:t>la</w:t>
      </w:r>
      <w:r>
        <w:rPr>
          <w:color w:val="0B0B0B"/>
          <w:spacing w:val="-2"/>
        </w:rPr>
        <w:t> </w:t>
      </w:r>
      <w:r>
        <w:rPr>
          <w:color w:val="0B0B0B"/>
        </w:rPr>
        <w:t>misma.</w:t>
      </w:r>
      <w:r>
        <w:rPr>
          <w:color w:val="0B0B0B"/>
          <w:spacing w:val="-2"/>
        </w:rPr>
        <w:t> </w:t>
      </w:r>
      <w:r>
        <w:rPr>
          <w:color w:val="0B0B0B"/>
        </w:rPr>
        <w:t>En</w:t>
      </w:r>
      <w:r>
        <w:rPr>
          <w:color w:val="0B0B0B"/>
          <w:spacing w:val="-2"/>
        </w:rPr>
        <w:t> </w:t>
      </w:r>
      <w:r>
        <w:rPr>
          <w:color w:val="0B0B0B"/>
        </w:rPr>
        <w:t>consecuencia,</w:t>
      </w:r>
      <w:r>
        <w:rPr>
          <w:color w:val="0B0B0B"/>
          <w:spacing w:val="-2"/>
        </w:rPr>
        <w:t> </w:t>
      </w:r>
      <w:r>
        <w:rPr>
          <w:color w:val="0B0B0B"/>
        </w:rPr>
        <w:t>un</w:t>
      </w:r>
      <w:r>
        <w:rPr>
          <w:color w:val="0B0B0B"/>
          <w:spacing w:val="-2"/>
        </w:rPr>
        <w:t> </w:t>
      </w:r>
      <w:r>
        <w:rPr>
          <w:color w:val="0B0B0B"/>
        </w:rPr>
        <w:t>esquema</w:t>
      </w:r>
      <w:r>
        <w:rPr>
          <w:color w:val="0B0B0B"/>
          <w:spacing w:val="-2"/>
        </w:rPr>
        <w:t> </w:t>
      </w:r>
      <w:r>
        <w:rPr>
          <w:color w:val="0B0B0B"/>
        </w:rPr>
        <w:t>reportable</w:t>
      </w:r>
      <w:r>
        <w:rPr>
          <w:color w:val="0B0B0B"/>
          <w:spacing w:val="-2"/>
        </w:rPr>
        <w:t> </w:t>
      </w:r>
      <w:r>
        <w:rPr>
          <w:color w:val="0B0B0B"/>
        </w:rPr>
        <w:t>generalizado</w:t>
      </w:r>
      <w:r>
        <w:rPr>
          <w:color w:val="0B0B0B"/>
          <w:spacing w:val="-2"/>
        </w:rPr>
        <w:t> </w:t>
      </w:r>
      <w:r>
        <w:rPr>
          <w:color w:val="0B0B0B"/>
        </w:rPr>
        <w:t>es aquél que es sustancialmente idéntico o similar a otro, por lo que fácilmente puede ser replicado por cualquier contribuyente o por un grupo de ellos y que, en su caso, requiere modificaciones mínimas para adaptarse</w:t>
      </w:r>
      <w:r>
        <w:rPr>
          <w:color w:val="0B0B0B"/>
        </w:rPr>
        <w:t> a la situación particular de dichos </w:t>
      </w:r>
      <w:r>
        <w:rPr>
          <w:color w:val="0B0B0B"/>
          <w:spacing w:val="-2"/>
        </w:rPr>
        <w:t>contribuyentes.</w:t>
      </w:r>
    </w:p>
    <w:p>
      <w:pPr>
        <w:pStyle w:val="BodyText"/>
        <w:spacing w:line="295" w:lineRule="auto" w:before="105"/>
        <w:ind w:right="258"/>
      </w:pPr>
      <w:r>
        <w:rPr>
          <w:color w:val="0B0B0B"/>
        </w:rPr>
        <w:t>Por otra parte, el artículo 199, cuarto párrafo del CFF señala que la Secretaría de Hacienda y Crédito Público, mediante un acuerdo secretarial emitirá los parámetros sobre montos mínimos respecto a los cuales no se aplicará lo señalado en el Capítulo Único del Título Sexto “De la Revelación de Esquemas Reportables” del CFF.</w:t>
      </w:r>
    </w:p>
    <w:p>
      <w:pPr>
        <w:pStyle w:val="BodyText"/>
        <w:spacing w:line="295" w:lineRule="auto" w:before="102"/>
        <w:ind w:right="257"/>
      </w:pPr>
      <w:r>
        <w:rPr>
          <w:color w:val="0B0B0B"/>
        </w:rPr>
        <w:t>En ese sentido, el “Acuerdo por el que se determinan los montos mínimos respecto de los cuales no se aplicará lo señalado en el Capítulo Único del Título Sexto del Código Fiscal de la Federación, denominado “De la Revelación de Esquemas Reportables”, publicado el 02 de febrero de 2021 en el DOF, establece que no serán aplicables las disposiciones previstas en el Capítulo Único del Título</w:t>
      </w:r>
      <w:r>
        <w:rPr>
          <w:color w:val="0B0B0B"/>
        </w:rPr>
        <w:t> Sexto del CFF, denominado</w:t>
      </w:r>
      <w:r>
        <w:rPr>
          <w:color w:val="0B0B0B"/>
          <w:spacing w:val="80"/>
        </w:rPr>
        <w:t> </w:t>
      </w:r>
      <w:r>
        <w:rPr>
          <w:color w:val="0B0B0B"/>
        </w:rPr>
        <w:t>“De la Revelación de Esquemas</w:t>
      </w:r>
      <w:r>
        <w:rPr>
          <w:color w:val="0B0B0B"/>
        </w:rPr>
        <w:t> Reportables”, siempre que se trate de esquemas reportables personalizados y el monto agregado del beneficio fiscal obtenido o que se espere obtener en México, no exceda de cien millones de pesos.</w:t>
      </w:r>
    </w:p>
    <w:p>
      <w:pPr>
        <w:pStyle w:val="BodyText"/>
        <w:spacing w:line="295" w:lineRule="auto" w:before="104"/>
        <w:ind w:right="254"/>
      </w:pPr>
      <w:r>
        <w:rPr>
          <w:color w:val="0B0B0B"/>
        </w:rPr>
        <w:t>Al efecto, se ha detectado que deliberadamente algunos asesores fiscales hacen aparentar</w:t>
      </w:r>
      <w:r>
        <w:rPr>
          <w:color w:val="0B0B0B"/>
          <w:spacing w:val="-4"/>
        </w:rPr>
        <w:t> </w:t>
      </w:r>
      <w:r>
        <w:rPr>
          <w:color w:val="0B0B0B"/>
        </w:rPr>
        <w:t>que</w:t>
      </w:r>
      <w:r>
        <w:rPr>
          <w:color w:val="0B0B0B"/>
          <w:spacing w:val="-3"/>
        </w:rPr>
        <w:t> </w:t>
      </w:r>
      <w:r>
        <w:rPr>
          <w:color w:val="0B0B0B"/>
        </w:rPr>
        <w:t>esquemas</w:t>
      </w:r>
      <w:r>
        <w:rPr>
          <w:color w:val="0B0B0B"/>
          <w:spacing w:val="-4"/>
        </w:rPr>
        <w:t> </w:t>
      </w:r>
      <w:r>
        <w:rPr>
          <w:color w:val="0B0B0B"/>
        </w:rPr>
        <w:t>reportables</w:t>
      </w:r>
      <w:r>
        <w:rPr>
          <w:color w:val="0B0B0B"/>
          <w:spacing w:val="-4"/>
        </w:rPr>
        <w:t> </w:t>
      </w:r>
      <w:r>
        <w:rPr>
          <w:color w:val="0B0B0B"/>
        </w:rPr>
        <w:t>que</w:t>
      </w:r>
      <w:r>
        <w:rPr>
          <w:color w:val="0B0B0B"/>
          <w:spacing w:val="-4"/>
        </w:rPr>
        <w:t> </w:t>
      </w:r>
      <w:r>
        <w:rPr>
          <w:color w:val="0B0B0B"/>
        </w:rPr>
        <w:t>cuentan</w:t>
      </w:r>
      <w:r>
        <w:rPr>
          <w:color w:val="0B0B0B"/>
          <w:spacing w:val="-5"/>
        </w:rPr>
        <w:t> </w:t>
      </w:r>
      <w:r>
        <w:rPr>
          <w:color w:val="0B0B0B"/>
        </w:rPr>
        <w:t>con</w:t>
      </w:r>
      <w:r>
        <w:rPr>
          <w:color w:val="0B0B0B"/>
          <w:spacing w:val="-3"/>
        </w:rPr>
        <w:t> </w:t>
      </w:r>
      <w:r>
        <w:rPr>
          <w:color w:val="0B0B0B"/>
        </w:rPr>
        <w:t>las</w:t>
      </w:r>
      <w:r>
        <w:rPr>
          <w:color w:val="0B0B0B"/>
          <w:spacing w:val="-3"/>
        </w:rPr>
        <w:t> </w:t>
      </w:r>
      <w:r>
        <w:rPr>
          <w:color w:val="0B0B0B"/>
        </w:rPr>
        <w:t>características</w:t>
      </w:r>
      <w:r>
        <w:rPr>
          <w:color w:val="0B0B0B"/>
          <w:spacing w:val="-3"/>
        </w:rPr>
        <w:t> </w:t>
      </w:r>
      <w:r>
        <w:rPr>
          <w:color w:val="0B0B0B"/>
        </w:rPr>
        <w:t>de</w:t>
      </w:r>
      <w:r>
        <w:rPr>
          <w:color w:val="0B0B0B"/>
          <w:spacing w:val="-4"/>
        </w:rPr>
        <w:t> </w:t>
      </w:r>
      <w:r>
        <w:rPr>
          <w:color w:val="0B0B0B"/>
        </w:rPr>
        <w:t>esquemas reportables</w:t>
      </w:r>
      <w:r>
        <w:rPr>
          <w:color w:val="0B0B0B"/>
          <w:spacing w:val="-3"/>
        </w:rPr>
        <w:t> </w:t>
      </w:r>
      <w:r>
        <w:rPr>
          <w:color w:val="0B0B0B"/>
        </w:rPr>
        <w:t>generalizados,</w:t>
      </w:r>
      <w:r>
        <w:rPr>
          <w:color w:val="0B0B0B"/>
          <w:spacing w:val="-4"/>
        </w:rPr>
        <w:t> </w:t>
      </w:r>
      <w:r>
        <w:rPr>
          <w:color w:val="0B0B0B"/>
        </w:rPr>
        <w:t>tienen</w:t>
      </w:r>
      <w:r>
        <w:rPr>
          <w:color w:val="0B0B0B"/>
          <w:spacing w:val="-3"/>
        </w:rPr>
        <w:t> </w:t>
      </w:r>
      <w:r>
        <w:rPr>
          <w:color w:val="0B0B0B"/>
        </w:rPr>
        <w:t>el</w:t>
      </w:r>
      <w:r>
        <w:rPr>
          <w:color w:val="0B0B0B"/>
          <w:spacing w:val="-4"/>
        </w:rPr>
        <w:t> </w:t>
      </w:r>
      <w:r>
        <w:rPr>
          <w:color w:val="0B0B0B"/>
        </w:rPr>
        <w:t>carácter</w:t>
      </w:r>
      <w:r>
        <w:rPr>
          <w:color w:val="0B0B0B"/>
          <w:spacing w:val="-3"/>
        </w:rPr>
        <w:t> </w:t>
      </w:r>
      <w:r>
        <w:rPr>
          <w:color w:val="0B0B0B"/>
        </w:rPr>
        <w:t>de</w:t>
      </w:r>
      <w:r>
        <w:rPr>
          <w:color w:val="0B0B0B"/>
          <w:spacing w:val="-4"/>
        </w:rPr>
        <w:t> </w:t>
      </w:r>
      <w:r>
        <w:rPr>
          <w:color w:val="0B0B0B"/>
        </w:rPr>
        <w:t>esquemas</w:t>
      </w:r>
      <w:r>
        <w:rPr>
          <w:color w:val="0B0B0B"/>
          <w:spacing w:val="-3"/>
        </w:rPr>
        <w:t> </w:t>
      </w:r>
      <w:r>
        <w:rPr>
          <w:color w:val="0B0B0B"/>
        </w:rPr>
        <w:t>reportables</w:t>
      </w:r>
      <w:r>
        <w:rPr>
          <w:color w:val="0B0B0B"/>
          <w:spacing w:val="-3"/>
        </w:rPr>
        <w:t> </w:t>
      </w:r>
      <w:r>
        <w:rPr>
          <w:color w:val="0B0B0B"/>
        </w:rPr>
        <w:t>personalizados, cuyo monto agregado del beneficio fiscal obtenido o que se espere obtener en México es inferior de cien millones de pesos, con el propósito de actualizar la excepción establecida</w:t>
      </w:r>
      <w:r>
        <w:rPr>
          <w:color w:val="0B0B0B"/>
          <w:spacing w:val="-2"/>
        </w:rPr>
        <w:t> </w:t>
      </w:r>
      <w:r>
        <w:rPr>
          <w:color w:val="0B0B0B"/>
        </w:rPr>
        <w:t>en</w:t>
      </w:r>
      <w:r>
        <w:rPr>
          <w:color w:val="0B0B0B"/>
          <w:spacing w:val="-1"/>
        </w:rPr>
        <w:t> </w:t>
      </w:r>
      <w:r>
        <w:rPr>
          <w:color w:val="0B0B0B"/>
        </w:rPr>
        <w:t>el</w:t>
      </w:r>
      <w:r>
        <w:rPr>
          <w:color w:val="0B0B0B"/>
          <w:spacing w:val="-3"/>
        </w:rPr>
        <w:t> </w:t>
      </w:r>
      <w:r>
        <w:rPr>
          <w:color w:val="0B0B0B"/>
        </w:rPr>
        <w:t>Acuerdo</w:t>
      </w:r>
      <w:r>
        <w:rPr>
          <w:color w:val="0B0B0B"/>
          <w:spacing w:val="-2"/>
        </w:rPr>
        <w:t> </w:t>
      </w:r>
      <w:r>
        <w:rPr>
          <w:color w:val="0B0B0B"/>
        </w:rPr>
        <w:t>antes</w:t>
      </w:r>
      <w:r>
        <w:rPr>
          <w:color w:val="0B0B0B"/>
          <w:spacing w:val="-3"/>
        </w:rPr>
        <w:t> </w:t>
      </w:r>
      <w:r>
        <w:rPr>
          <w:color w:val="0B0B0B"/>
        </w:rPr>
        <w:t>referido,</w:t>
      </w:r>
      <w:r>
        <w:rPr>
          <w:color w:val="0B0B0B"/>
          <w:spacing w:val="-1"/>
        </w:rPr>
        <w:t> </w:t>
      </w:r>
      <w:r>
        <w:rPr>
          <w:color w:val="0B0B0B"/>
        </w:rPr>
        <w:t>en</w:t>
      </w:r>
      <w:r>
        <w:rPr>
          <w:color w:val="0B0B0B"/>
          <w:spacing w:val="-1"/>
        </w:rPr>
        <w:t> </w:t>
      </w:r>
      <w:r>
        <w:rPr>
          <w:color w:val="0B0B0B"/>
        </w:rPr>
        <w:t>relación</w:t>
      </w:r>
      <w:r>
        <w:rPr>
          <w:color w:val="0B0B0B"/>
          <w:spacing w:val="-2"/>
        </w:rPr>
        <w:t> </w:t>
      </w:r>
      <w:r>
        <w:rPr>
          <w:color w:val="0B0B0B"/>
        </w:rPr>
        <w:t>con</w:t>
      </w:r>
      <w:r>
        <w:rPr>
          <w:color w:val="0B0B0B"/>
          <w:spacing w:val="-3"/>
        </w:rPr>
        <w:t> </w:t>
      </w:r>
      <w:r>
        <w:rPr>
          <w:color w:val="0B0B0B"/>
        </w:rPr>
        <w:t>el</w:t>
      </w:r>
      <w:r>
        <w:rPr>
          <w:color w:val="0B0B0B"/>
          <w:spacing w:val="-2"/>
        </w:rPr>
        <w:t> </w:t>
      </w:r>
      <w:r>
        <w:rPr>
          <w:color w:val="0B0B0B"/>
        </w:rPr>
        <w:t>artículo</w:t>
      </w:r>
      <w:r>
        <w:rPr>
          <w:color w:val="0B0B0B"/>
          <w:spacing w:val="-2"/>
        </w:rPr>
        <w:t> </w:t>
      </w:r>
      <w:r>
        <w:rPr>
          <w:color w:val="0B0B0B"/>
        </w:rPr>
        <w:t>199,</w:t>
      </w:r>
      <w:r>
        <w:rPr>
          <w:color w:val="0B0B0B"/>
          <w:spacing w:val="-3"/>
        </w:rPr>
        <w:t> </w:t>
      </w:r>
      <w:r>
        <w:rPr>
          <w:color w:val="0B0B0B"/>
        </w:rPr>
        <w:t>cuarto</w:t>
      </w:r>
      <w:r>
        <w:rPr>
          <w:color w:val="0B0B0B"/>
          <w:spacing w:val="-2"/>
        </w:rPr>
        <w:t> </w:t>
      </w:r>
      <w:r>
        <w:rPr>
          <w:color w:val="0B0B0B"/>
        </w:rPr>
        <w:t>párrafo del CFF y, en consecuencia, evitar presentar la declaración informativa para revelar el esquema reportable generalizado.</w:t>
      </w:r>
    </w:p>
    <w:p>
      <w:pPr>
        <w:pStyle w:val="BodyText"/>
        <w:spacing w:line="295" w:lineRule="auto" w:before="104"/>
        <w:ind w:right="257"/>
      </w:pPr>
      <w:r>
        <w:rPr>
          <w:color w:val="0B0B0B"/>
        </w:rPr>
        <w:t>Al respecto, el artículo 199, último párrafo</w:t>
      </w:r>
      <w:r>
        <w:rPr>
          <w:color w:val="0B0B0B"/>
        </w:rPr>
        <w:t> del CFF establece que será reportable cualquier mecanismo que evite la aplicación de dicho artículo.</w:t>
      </w:r>
      <w:r>
        <w:rPr>
          <w:color w:val="0B0B0B"/>
        </w:rPr>
        <w:t> En</w:t>
      </w:r>
      <w:r>
        <w:rPr>
          <w:color w:val="0B0B0B"/>
        </w:rPr>
        <w:t> ese sentido, se considera mecanismo cualquier plan, proyecto,</w:t>
      </w:r>
      <w:r>
        <w:rPr>
          <w:color w:val="0B0B0B"/>
        </w:rPr>
        <w:t> propuesta,</w:t>
      </w:r>
      <w:r>
        <w:rPr>
          <w:color w:val="0B0B0B"/>
        </w:rPr>
        <w:t> asesoría,</w:t>
      </w:r>
      <w:r>
        <w:rPr>
          <w:color w:val="0B0B0B"/>
        </w:rPr>
        <w:t> instrucción, recomendación o nombre que se le otorgue, ya sea externado de forma expresa o tácita,</w:t>
      </w:r>
      <w:r>
        <w:rPr>
          <w:color w:val="0B0B0B"/>
          <w:spacing w:val="28"/>
        </w:rPr>
        <w:t> </w:t>
      </w:r>
      <w:r>
        <w:rPr>
          <w:color w:val="0B0B0B"/>
        </w:rPr>
        <w:t>cuya</w:t>
      </w:r>
      <w:r>
        <w:rPr>
          <w:color w:val="0B0B0B"/>
          <w:spacing w:val="28"/>
        </w:rPr>
        <w:t> </w:t>
      </w:r>
      <w:r>
        <w:rPr>
          <w:color w:val="0B0B0B"/>
        </w:rPr>
        <w:t>finalidad</w:t>
      </w:r>
      <w:r>
        <w:rPr>
          <w:color w:val="0B0B0B"/>
          <w:spacing w:val="28"/>
        </w:rPr>
        <w:t> </w:t>
      </w:r>
      <w:r>
        <w:rPr>
          <w:color w:val="0B0B0B"/>
        </w:rPr>
        <w:t>sea</w:t>
      </w:r>
      <w:r>
        <w:rPr>
          <w:color w:val="0B0B0B"/>
          <w:spacing w:val="29"/>
        </w:rPr>
        <w:t> </w:t>
      </w:r>
      <w:r>
        <w:rPr>
          <w:color w:val="0B0B0B"/>
        </w:rPr>
        <w:t>impedir</w:t>
      </w:r>
      <w:r>
        <w:rPr>
          <w:color w:val="0B0B0B"/>
          <w:spacing w:val="29"/>
        </w:rPr>
        <w:t> </w:t>
      </w:r>
      <w:r>
        <w:rPr>
          <w:color w:val="0B0B0B"/>
        </w:rPr>
        <w:t>que</w:t>
      </w:r>
      <w:r>
        <w:rPr>
          <w:color w:val="0B0B0B"/>
          <w:spacing w:val="29"/>
        </w:rPr>
        <w:t> </w:t>
      </w:r>
      <w:r>
        <w:rPr>
          <w:color w:val="0B0B0B"/>
        </w:rPr>
        <w:t>se</w:t>
      </w:r>
      <w:r>
        <w:rPr>
          <w:color w:val="0B0B0B"/>
          <w:spacing w:val="28"/>
        </w:rPr>
        <w:t> </w:t>
      </w:r>
      <w:r>
        <w:rPr>
          <w:color w:val="0B0B0B"/>
        </w:rPr>
        <w:t>actualice</w:t>
      </w:r>
      <w:r>
        <w:rPr>
          <w:color w:val="0B0B0B"/>
          <w:spacing w:val="28"/>
        </w:rPr>
        <w:t> </w:t>
      </w:r>
      <w:r>
        <w:rPr>
          <w:color w:val="0B0B0B"/>
        </w:rPr>
        <w:t>lo</w:t>
      </w:r>
      <w:r>
        <w:rPr>
          <w:color w:val="0B0B0B"/>
          <w:spacing w:val="29"/>
        </w:rPr>
        <w:t> </w:t>
      </w:r>
      <w:r>
        <w:rPr>
          <w:color w:val="0B0B0B"/>
        </w:rPr>
        <w:t>establecido</w:t>
      </w:r>
      <w:r>
        <w:rPr>
          <w:color w:val="0B0B0B"/>
          <w:spacing w:val="29"/>
        </w:rPr>
        <w:t> </w:t>
      </w:r>
      <w:r>
        <w:rPr>
          <w:color w:val="0B0B0B"/>
        </w:rPr>
        <w:t>en</w:t>
      </w:r>
      <w:r>
        <w:rPr>
          <w:color w:val="0B0B0B"/>
          <w:spacing w:val="29"/>
        </w:rPr>
        <w:t> </w:t>
      </w:r>
      <w:r>
        <w:rPr>
          <w:color w:val="0B0B0B"/>
        </w:rPr>
        <w:t>el</w:t>
      </w:r>
      <w:r>
        <w:rPr>
          <w:color w:val="0B0B0B"/>
          <w:spacing w:val="29"/>
        </w:rPr>
        <w:t> </w:t>
      </w:r>
      <w:r>
        <w:rPr>
          <w:color w:val="0B0B0B"/>
        </w:rPr>
        <w:t>artículo</w:t>
      </w:r>
      <w:r>
        <w:rPr>
          <w:color w:val="0B0B0B"/>
          <w:spacing w:val="28"/>
        </w:rPr>
        <w:t> </w:t>
      </w:r>
      <w:r>
        <w:rPr>
          <w:color w:val="0B0B0B"/>
        </w:rPr>
        <w:t>199 del CFF.</w:t>
      </w:r>
    </w:p>
    <w:p>
      <w:pPr>
        <w:pStyle w:val="BodyText"/>
        <w:spacing w:line="295" w:lineRule="auto" w:before="105"/>
        <w:ind w:right="257"/>
      </w:pPr>
      <w:r>
        <w:rPr>
          <w:color w:val="0B0B0B"/>
        </w:rPr>
        <w:t>Atento</w:t>
      </w:r>
      <w:r>
        <w:rPr>
          <w:color w:val="0B0B0B"/>
        </w:rPr>
        <w:t> a ello, no presentar la declaración informativa para revelar un esquema reportable generalizado, en virtud de hacer aparentar deliberadamente que este tiene el carácter de un esquema reportable personalizado, cuyo monto agregado del beneficio fiscal obtenido o que se espere obtener en México es inferior de cien</w:t>
      </w:r>
      <w:r>
        <w:rPr>
          <w:color w:val="0B0B0B"/>
          <w:spacing w:val="40"/>
        </w:rPr>
        <w:t> </w:t>
      </w:r>
      <w:r>
        <w:rPr>
          <w:color w:val="0B0B0B"/>
        </w:rPr>
        <w:t>millones de pesos, con el propósito de evitar presentar la declaración informativa para revelar el esquema reportable generalizado, constituye un mecanismo para evitar la aplicación del artículo 199 del CFF.</w:t>
      </w:r>
    </w:p>
    <w:p>
      <w:pPr>
        <w:pStyle w:val="BodyText"/>
        <w:spacing w:after="0" w:line="295" w:lineRule="auto"/>
        <w:sectPr>
          <w:headerReference w:type="default" r:id="rId10"/>
          <w:pgSz w:w="12240" w:h="15840"/>
          <w:pgMar w:header="690" w:footer="0" w:top="1040" w:bottom="280" w:left="1440" w:right="1440"/>
        </w:sectPr>
      </w:pPr>
    </w:p>
    <w:p>
      <w:pPr>
        <w:pStyle w:val="BodyText"/>
        <w:spacing w:before="122"/>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
        </w:numPr>
        <w:tabs>
          <w:tab w:pos="2664" w:val="left" w:leader="none"/>
        </w:tabs>
        <w:spacing w:line="266" w:lineRule="auto" w:before="125" w:after="0"/>
        <w:ind w:left="2664" w:right="258" w:hanging="504"/>
        <w:jc w:val="both"/>
        <w:rPr>
          <w:sz w:val="18"/>
        </w:rPr>
      </w:pPr>
      <w:r>
        <w:rPr>
          <w:color w:val="0B0B0B"/>
          <w:sz w:val="18"/>
        </w:rPr>
        <w:t>Los asesores fiscales que no presenten la declaración informativa para revelar un esquema reportable generalizado, en virtud de que deliberadamente hacen aparentar que un esquema reportable generalizado tiene el carácter de un esquema reportable personalizado, cuyo monto agregado del beneficio fiscal obtenido o que se espere obtener en México sea inferior</w:t>
      </w:r>
      <w:r>
        <w:rPr>
          <w:color w:val="0B0B0B"/>
          <w:sz w:val="18"/>
        </w:rPr>
        <w:t> a cien millones de pesos, a pesar</w:t>
      </w:r>
      <w:r>
        <w:rPr>
          <w:color w:val="0B0B0B"/>
          <w:sz w:val="18"/>
        </w:rPr>
        <w:t> de que el esquema reportable reúne las características de un esquema reportable generalizado.</w:t>
      </w:r>
    </w:p>
    <w:p>
      <w:pPr>
        <w:pStyle w:val="ListParagraph"/>
        <w:numPr>
          <w:ilvl w:val="0"/>
          <w:numId w:val="2"/>
        </w:numPr>
        <w:tabs>
          <w:tab w:pos="2664" w:val="left" w:leader="none"/>
        </w:tabs>
        <w:spacing w:line="266" w:lineRule="auto" w:before="102" w:after="0"/>
        <w:ind w:left="2664" w:right="258" w:hanging="504"/>
        <w:jc w:val="both"/>
        <w:rPr>
          <w:sz w:val="18"/>
        </w:rPr>
      </w:pPr>
      <w:r>
        <w:rPr>
          <w:color w:val="0B0B0B"/>
          <w:sz w:val="18"/>
        </w:rPr>
        <w:t>Los asesores fiscales que no presenten la declaración informativa para revelar un mecanismo para evitar la aplicación del artículo 199 del CFF, en virtud de</w:t>
      </w:r>
      <w:r>
        <w:rPr>
          <w:color w:val="0B0B0B"/>
          <w:spacing w:val="40"/>
          <w:sz w:val="18"/>
        </w:rPr>
        <w:t> </w:t>
      </w:r>
      <w:r>
        <w:rPr>
          <w:color w:val="0B0B0B"/>
          <w:sz w:val="18"/>
        </w:rPr>
        <w:t>que hacen aparentar que un esquema reportable generalizado, tiene el carácter de un esquema reportable personalizado, cuyo monto agregado del beneficio fiscal obtenido o que se espere obtener en México sea inferior a cien millones</w:t>
      </w:r>
      <w:r>
        <w:rPr>
          <w:color w:val="0B0B0B"/>
          <w:spacing w:val="40"/>
          <w:sz w:val="18"/>
        </w:rPr>
        <w:t> </w:t>
      </w:r>
      <w:r>
        <w:rPr>
          <w:color w:val="0B0B0B"/>
          <w:sz w:val="18"/>
        </w:rPr>
        <w:t>de pesos, a pesar de que el esquema reportable reúne las características de un esquema reportable generalizado.</w:t>
      </w:r>
    </w:p>
    <w:p>
      <w:pPr>
        <w:pStyle w:val="ListParagraph"/>
        <w:numPr>
          <w:ilvl w:val="0"/>
          <w:numId w:val="2"/>
        </w:numPr>
        <w:tabs>
          <w:tab w:pos="2662" w:val="left" w:leader="none"/>
          <w:tab w:pos="2664" w:val="left" w:leader="none"/>
        </w:tabs>
        <w:spacing w:line="266" w:lineRule="auto" w:before="103" w:after="0"/>
        <w:ind w:left="2664" w:right="259" w:hanging="504"/>
        <w:jc w:val="both"/>
        <w:rPr>
          <w:sz w:val="18"/>
        </w:rPr>
      </w:pPr>
      <w:r>
        <w:rPr>
          <w:color w:val="0B0B0B"/>
          <w:sz w:val="18"/>
        </w:rPr>
        <w:t>Quien asesore, aconseje, preste</w:t>
      </w:r>
      <w:r>
        <w:rPr>
          <w:color w:val="0B0B0B"/>
          <w:sz w:val="18"/>
        </w:rPr>
        <w:t> servicios o participe en la realización o la implementación de las prácticas anteriores.</w:t>
      </w:r>
    </w:p>
    <w:p>
      <w:pPr>
        <w:pStyle w:val="BodyText"/>
        <w:spacing w:before="6"/>
        <w:ind w:left="0"/>
        <w:jc w:val="left"/>
        <w:rPr>
          <w:sz w:val="7"/>
        </w:rPr>
      </w:pPr>
    </w:p>
    <w:tbl>
      <w:tblPr>
        <w:tblW w:w="0" w:type="auto"/>
        <w:jc w:val="left"/>
        <w:tblInd w:w="224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88"/>
        <w:gridCol w:w="4108"/>
      </w:tblGrid>
      <w:tr>
        <w:trPr>
          <w:trHeight w:val="330" w:hRule="atLeast"/>
        </w:trPr>
        <w:tc>
          <w:tcPr>
            <w:tcW w:w="2688" w:type="dxa"/>
            <w:shd w:val="clear" w:color="auto" w:fill="BDBDBD"/>
          </w:tcPr>
          <w:p>
            <w:pPr>
              <w:pStyle w:val="TableParagraph"/>
              <w:spacing w:before="34"/>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34"/>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1" w:hRule="atLeast"/>
        </w:trPr>
        <w:tc>
          <w:tcPr>
            <w:tcW w:w="2688" w:type="dxa"/>
          </w:tcPr>
          <w:p>
            <w:pPr>
              <w:pStyle w:val="TableParagraph"/>
              <w:tabs>
                <w:tab w:pos="1138" w:val="left" w:leader="none"/>
                <w:tab w:pos="2437" w:val="left" w:leader="none"/>
              </w:tabs>
              <w:spacing w:line="300" w:lineRule="auto" w:before="34"/>
              <w:ind w:right="55"/>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2021</w:t>
            </w:r>
          </w:p>
        </w:tc>
        <w:tc>
          <w:tcPr>
            <w:tcW w:w="4108" w:type="dxa"/>
          </w:tcPr>
          <w:p>
            <w:pPr>
              <w:pStyle w:val="TableParagraph"/>
              <w:spacing w:line="300" w:lineRule="auto" w:before="34"/>
              <w:rPr>
                <w:sz w:val="16"/>
              </w:rPr>
            </w:pPr>
            <w:r>
              <w:rPr>
                <w:color w:val="0B0B0B"/>
                <w:sz w:val="16"/>
              </w:rPr>
              <w:t>Publicada en el DOF el 3 de mayo de 2021, Anexo 3, publicado en el DOF el 10 de mayo de 2021.</w:t>
            </w:r>
          </w:p>
        </w:tc>
      </w:tr>
    </w:tbl>
    <w:p>
      <w:pPr>
        <w:pStyle w:val="BodyText"/>
        <w:spacing w:before="140"/>
        <w:ind w:left="0"/>
        <w:jc w:val="left"/>
      </w:pPr>
    </w:p>
    <w:p>
      <w:pPr>
        <w:pStyle w:val="Heading1"/>
        <w:tabs>
          <w:tab w:pos="2144" w:val="left" w:leader="none"/>
        </w:tabs>
        <w:ind w:left="1137" w:firstLine="0"/>
      </w:pPr>
      <w:r>
        <w:rPr>
          <w:color w:val="0B0B0B"/>
          <w:spacing w:val="-2"/>
        </w:rPr>
        <w:t>3/CFF/PI</w:t>
      </w:r>
      <w:r>
        <w:rPr>
          <w:color w:val="0B0B0B"/>
        </w:rPr>
        <w:tab/>
        <w:t>Elusión</w:t>
      </w:r>
      <w:r>
        <w:rPr>
          <w:color w:val="0B0B0B"/>
          <w:spacing w:val="-3"/>
        </w:rPr>
        <w:t> </w:t>
      </w:r>
      <w:r>
        <w:rPr>
          <w:color w:val="0B0B0B"/>
        </w:rPr>
        <w:t>de</w:t>
      </w:r>
      <w:r>
        <w:rPr>
          <w:color w:val="0B0B0B"/>
          <w:spacing w:val="-1"/>
        </w:rPr>
        <w:t> </w:t>
      </w:r>
      <w:r>
        <w:rPr>
          <w:color w:val="0B0B0B"/>
        </w:rPr>
        <w:t>los</w:t>
      </w:r>
      <w:r>
        <w:rPr>
          <w:color w:val="0B0B0B"/>
          <w:spacing w:val="-1"/>
        </w:rPr>
        <w:t> </w:t>
      </w:r>
      <w:r>
        <w:rPr>
          <w:color w:val="0B0B0B"/>
        </w:rPr>
        <w:t>efectos</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restricción</w:t>
      </w:r>
      <w:r>
        <w:rPr>
          <w:color w:val="0B0B0B"/>
          <w:spacing w:val="-1"/>
        </w:rPr>
        <w:t> </w:t>
      </w:r>
      <w:r>
        <w:rPr>
          <w:color w:val="0B0B0B"/>
        </w:rPr>
        <w:t>temporal</w:t>
      </w:r>
      <w:r>
        <w:rPr>
          <w:color w:val="0B0B0B"/>
          <w:spacing w:val="-1"/>
        </w:rPr>
        <w:t> </w:t>
      </w:r>
      <w:r>
        <w:rPr>
          <w:color w:val="0B0B0B"/>
        </w:rPr>
        <w:t>o</w:t>
      </w:r>
      <w:r>
        <w:rPr>
          <w:color w:val="0B0B0B"/>
          <w:spacing w:val="-2"/>
        </w:rPr>
        <w:t> </w:t>
      </w:r>
      <w:r>
        <w:rPr>
          <w:color w:val="0B0B0B"/>
        </w:rPr>
        <w:t>cancelación</w:t>
      </w:r>
      <w:r>
        <w:rPr>
          <w:color w:val="0B0B0B"/>
          <w:spacing w:val="-1"/>
        </w:rPr>
        <w:t> </w:t>
      </w:r>
      <w:r>
        <w:rPr>
          <w:color w:val="0B0B0B"/>
        </w:rPr>
        <w:t>del</w:t>
      </w:r>
      <w:r>
        <w:rPr>
          <w:color w:val="0B0B0B"/>
          <w:spacing w:val="-1"/>
        </w:rPr>
        <w:t> </w:t>
      </w:r>
      <w:r>
        <w:rPr>
          <w:color w:val="0B0B0B"/>
        </w:rPr>
        <w:t>uso</w:t>
      </w:r>
      <w:r>
        <w:rPr>
          <w:color w:val="0B0B0B"/>
          <w:spacing w:val="-1"/>
        </w:rPr>
        <w:t> </w:t>
      </w:r>
      <w:r>
        <w:rPr>
          <w:color w:val="0B0B0B"/>
        </w:rPr>
        <w:t>del</w:t>
      </w:r>
      <w:r>
        <w:rPr>
          <w:color w:val="0B0B0B"/>
          <w:spacing w:val="-1"/>
        </w:rPr>
        <w:t> </w:t>
      </w:r>
      <w:r>
        <w:rPr>
          <w:color w:val="0B0B0B"/>
          <w:spacing w:val="-4"/>
        </w:rPr>
        <w:t>CSD.</w:t>
      </w:r>
    </w:p>
    <w:p>
      <w:pPr>
        <w:pStyle w:val="BodyText"/>
        <w:spacing w:line="276" w:lineRule="auto" w:before="131"/>
        <w:ind w:right="257"/>
      </w:pPr>
      <w:r>
        <w:rPr>
          <w:color w:val="0B0B0B"/>
        </w:rPr>
        <w:t>Conforme a los artículos 17-H y 17-H Bis del CFF, cuando las autoridades fiscales detecten conductas irregulares por parte de los contribuyentes,</w:t>
      </w:r>
      <w:r>
        <w:rPr>
          <w:color w:val="0B0B0B"/>
        </w:rPr>
        <w:t> podrán dejar</w:t>
      </w:r>
      <w:r>
        <w:rPr>
          <w:color w:val="0B0B0B"/>
        </w:rPr>
        <w:t> sin efectos</w:t>
      </w:r>
      <w:r>
        <w:rPr>
          <w:color w:val="0B0B0B"/>
          <w:spacing w:val="-3"/>
        </w:rPr>
        <w:t> </w:t>
      </w:r>
      <w:r>
        <w:rPr>
          <w:color w:val="0B0B0B"/>
        </w:rPr>
        <w:t>o</w:t>
      </w:r>
      <w:r>
        <w:rPr>
          <w:color w:val="0B0B0B"/>
          <w:spacing w:val="-3"/>
        </w:rPr>
        <w:t> </w:t>
      </w:r>
      <w:r>
        <w:rPr>
          <w:color w:val="0B0B0B"/>
        </w:rPr>
        <w:t>restringir</w:t>
      </w:r>
      <w:r>
        <w:rPr>
          <w:color w:val="0B0B0B"/>
          <w:spacing w:val="-3"/>
        </w:rPr>
        <w:t> </w:t>
      </w:r>
      <w:r>
        <w:rPr>
          <w:color w:val="0B0B0B"/>
        </w:rPr>
        <w:t>de</w:t>
      </w:r>
      <w:r>
        <w:rPr>
          <w:color w:val="0B0B0B"/>
          <w:spacing w:val="-3"/>
        </w:rPr>
        <w:t> </w:t>
      </w:r>
      <w:r>
        <w:rPr>
          <w:color w:val="0B0B0B"/>
        </w:rPr>
        <w:t>forma</w:t>
      </w:r>
      <w:r>
        <w:rPr>
          <w:color w:val="0B0B0B"/>
          <w:spacing w:val="-3"/>
        </w:rPr>
        <w:t> </w:t>
      </w:r>
      <w:r>
        <w:rPr>
          <w:color w:val="0B0B0B"/>
        </w:rPr>
        <w:t>temporal</w:t>
      </w:r>
      <w:r>
        <w:rPr>
          <w:color w:val="0B0B0B"/>
          <w:spacing w:val="-3"/>
        </w:rPr>
        <w:t> </w:t>
      </w:r>
      <w:r>
        <w:rPr>
          <w:color w:val="0B0B0B"/>
        </w:rPr>
        <w:t>el</w:t>
      </w:r>
      <w:r>
        <w:rPr>
          <w:color w:val="0B0B0B"/>
          <w:spacing w:val="-2"/>
        </w:rPr>
        <w:t> </w:t>
      </w:r>
      <w:r>
        <w:rPr>
          <w:color w:val="0B0B0B"/>
        </w:rPr>
        <w:t>uso</w:t>
      </w:r>
      <w:r>
        <w:rPr>
          <w:color w:val="0B0B0B"/>
          <w:spacing w:val="-3"/>
        </w:rPr>
        <w:t> </w:t>
      </w:r>
      <w:r>
        <w:rPr>
          <w:color w:val="0B0B0B"/>
        </w:rPr>
        <w:t>de</w:t>
      </w:r>
      <w:r>
        <w:rPr>
          <w:color w:val="0B0B0B"/>
          <w:spacing w:val="-3"/>
        </w:rPr>
        <w:t> </w:t>
      </w:r>
      <w:r>
        <w:rPr>
          <w:color w:val="0B0B0B"/>
        </w:rPr>
        <w:t>los</w:t>
      </w:r>
      <w:r>
        <w:rPr>
          <w:color w:val="0B0B0B"/>
          <w:spacing w:val="-4"/>
        </w:rPr>
        <w:t> </w:t>
      </w:r>
      <w:r>
        <w:rPr>
          <w:color w:val="0B0B0B"/>
        </w:rPr>
        <w:t>CSD</w:t>
      </w:r>
      <w:r>
        <w:rPr>
          <w:color w:val="0B0B0B"/>
          <w:spacing w:val="-3"/>
        </w:rPr>
        <w:t> </w:t>
      </w:r>
      <w:r>
        <w:rPr>
          <w:color w:val="0B0B0B"/>
        </w:rPr>
        <w:t>para</w:t>
      </w:r>
      <w:r>
        <w:rPr>
          <w:color w:val="0B0B0B"/>
          <w:spacing w:val="-3"/>
        </w:rPr>
        <w:t> </w:t>
      </w:r>
      <w:r>
        <w:rPr>
          <w:color w:val="0B0B0B"/>
        </w:rPr>
        <w:t>la</w:t>
      </w:r>
      <w:r>
        <w:rPr>
          <w:color w:val="0B0B0B"/>
          <w:spacing w:val="-3"/>
        </w:rPr>
        <w:t> </w:t>
      </w:r>
      <w:r>
        <w:rPr>
          <w:color w:val="0B0B0B"/>
        </w:rPr>
        <w:t>expedición</w:t>
      </w:r>
      <w:r>
        <w:rPr>
          <w:color w:val="0B0B0B"/>
          <w:spacing w:val="-3"/>
        </w:rPr>
        <w:t> </w:t>
      </w:r>
      <w:r>
        <w:rPr>
          <w:color w:val="0B0B0B"/>
        </w:rPr>
        <w:t>de</w:t>
      </w:r>
      <w:r>
        <w:rPr>
          <w:color w:val="0B0B0B"/>
          <w:spacing w:val="-3"/>
        </w:rPr>
        <w:t> </w:t>
      </w:r>
      <w:r>
        <w:rPr>
          <w:color w:val="0B0B0B"/>
        </w:rPr>
        <w:t>CFDI,</w:t>
      </w:r>
      <w:r>
        <w:rPr>
          <w:color w:val="0B0B0B"/>
          <w:spacing w:val="-3"/>
        </w:rPr>
        <w:t> </w:t>
      </w:r>
      <w:r>
        <w:rPr>
          <w:color w:val="0B0B0B"/>
        </w:rPr>
        <w:t>lo que representa una consecuencia ante las irregularidades detectadas, reflejándose en el impedimento de expedir comprobantes fiscales, hasta en tanto no se subsanen o desvirtúen dichas irregularidades por parte de los contribuyentes.</w:t>
      </w:r>
    </w:p>
    <w:p>
      <w:pPr>
        <w:pStyle w:val="BodyText"/>
        <w:spacing w:line="276" w:lineRule="auto" w:before="101"/>
        <w:ind w:right="256"/>
      </w:pPr>
      <w:r>
        <w:rPr>
          <w:color w:val="0B0B0B"/>
        </w:rPr>
        <w:t>De conformidad con el artículo 29, primer párrafo del CFF, cuando las leyes fiscales establezcan la obligación de expedir CFDI por los actos o actividades que se realicen, por</w:t>
      </w:r>
      <w:r>
        <w:rPr>
          <w:color w:val="0B0B0B"/>
          <w:spacing w:val="-1"/>
        </w:rPr>
        <w:t> </w:t>
      </w:r>
      <w:r>
        <w:rPr>
          <w:color w:val="0B0B0B"/>
        </w:rPr>
        <w:t>los</w:t>
      </w:r>
      <w:r>
        <w:rPr>
          <w:color w:val="0B0B0B"/>
          <w:spacing w:val="-1"/>
        </w:rPr>
        <w:t> </w:t>
      </w:r>
      <w:r>
        <w:rPr>
          <w:color w:val="0B0B0B"/>
        </w:rPr>
        <w:t>ingresos</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perciban</w:t>
      </w:r>
      <w:r>
        <w:rPr>
          <w:color w:val="0B0B0B"/>
          <w:spacing w:val="-1"/>
        </w:rPr>
        <w:t> </w:t>
      </w:r>
      <w:r>
        <w:rPr>
          <w:color w:val="0B0B0B"/>
        </w:rPr>
        <w:t>o</w:t>
      </w:r>
      <w:r>
        <w:rPr>
          <w:color w:val="0B0B0B"/>
          <w:spacing w:val="-1"/>
        </w:rPr>
        <w:t> </w:t>
      </w:r>
      <w:r>
        <w:rPr>
          <w:color w:val="0B0B0B"/>
        </w:rPr>
        <w:t>por</w:t>
      </w:r>
      <w:r>
        <w:rPr>
          <w:color w:val="0B0B0B"/>
          <w:spacing w:val="-1"/>
        </w:rPr>
        <w:t> </w:t>
      </w:r>
      <w:r>
        <w:rPr>
          <w:color w:val="0B0B0B"/>
        </w:rPr>
        <w:t>las</w:t>
      </w:r>
      <w:r>
        <w:rPr>
          <w:color w:val="0B0B0B"/>
          <w:spacing w:val="-1"/>
        </w:rPr>
        <w:t> </w:t>
      </w:r>
      <w:r>
        <w:rPr>
          <w:color w:val="0B0B0B"/>
        </w:rPr>
        <w:t>retenciones de</w:t>
      </w:r>
      <w:r>
        <w:rPr>
          <w:color w:val="0B0B0B"/>
          <w:spacing w:val="-1"/>
        </w:rPr>
        <w:t> </w:t>
      </w:r>
      <w:r>
        <w:rPr>
          <w:color w:val="0B0B0B"/>
        </w:rPr>
        <w:t>contribuciones</w:t>
      </w:r>
      <w:r>
        <w:rPr>
          <w:color w:val="0B0B0B"/>
          <w:spacing w:val="-1"/>
        </w:rPr>
        <w:t> </w:t>
      </w:r>
      <w:r>
        <w:rPr>
          <w:color w:val="0B0B0B"/>
        </w:rPr>
        <w:t>que</w:t>
      </w:r>
      <w:r>
        <w:rPr>
          <w:color w:val="0B0B0B"/>
          <w:spacing w:val="-1"/>
        </w:rPr>
        <w:t> </w:t>
      </w:r>
      <w:r>
        <w:rPr>
          <w:color w:val="0B0B0B"/>
        </w:rPr>
        <w:t>efectúen, los contribuyentes que lleven a cabo las operaciones correspondientes se encuentran obligados a emitirlos, asimismo, las personas que, entre otros supuestos, adquieran bienes,</w:t>
      </w:r>
      <w:r>
        <w:rPr>
          <w:color w:val="0B0B0B"/>
          <w:spacing w:val="-1"/>
        </w:rPr>
        <w:t> </w:t>
      </w:r>
      <w:r>
        <w:rPr>
          <w:color w:val="0B0B0B"/>
        </w:rPr>
        <w:t>disfruten</w:t>
      </w:r>
      <w:r>
        <w:rPr>
          <w:color w:val="0B0B0B"/>
          <w:spacing w:val="-1"/>
        </w:rPr>
        <w:t> </w:t>
      </w:r>
      <w:r>
        <w:rPr>
          <w:color w:val="0B0B0B"/>
        </w:rPr>
        <w:t>de</w:t>
      </w:r>
      <w:r>
        <w:rPr>
          <w:color w:val="0B0B0B"/>
          <w:spacing w:val="-1"/>
        </w:rPr>
        <w:t> </w:t>
      </w:r>
      <w:r>
        <w:rPr>
          <w:color w:val="0B0B0B"/>
        </w:rPr>
        <w:t>su</w:t>
      </w:r>
      <w:r>
        <w:rPr>
          <w:color w:val="0B0B0B"/>
          <w:spacing w:val="-1"/>
        </w:rPr>
        <w:t> </w:t>
      </w:r>
      <w:r>
        <w:rPr>
          <w:color w:val="0B0B0B"/>
        </w:rPr>
        <w:t>uso</w:t>
      </w:r>
      <w:r>
        <w:rPr>
          <w:color w:val="0B0B0B"/>
          <w:spacing w:val="-1"/>
        </w:rPr>
        <w:t> </w:t>
      </w:r>
      <w:r>
        <w:rPr>
          <w:color w:val="0B0B0B"/>
        </w:rPr>
        <w:t>o goce</w:t>
      </w:r>
      <w:r>
        <w:rPr>
          <w:color w:val="0B0B0B"/>
          <w:spacing w:val="-1"/>
        </w:rPr>
        <w:t> </w:t>
      </w:r>
      <w:r>
        <w:rPr>
          <w:color w:val="0B0B0B"/>
        </w:rPr>
        <w:t>temporal, reciban</w:t>
      </w:r>
      <w:r>
        <w:rPr>
          <w:color w:val="0B0B0B"/>
          <w:spacing w:val="-1"/>
        </w:rPr>
        <w:t> </w:t>
      </w:r>
      <w:r>
        <w:rPr>
          <w:color w:val="0B0B0B"/>
        </w:rPr>
        <w:t>servicios,</w:t>
      </w:r>
      <w:r>
        <w:rPr>
          <w:color w:val="0B0B0B"/>
          <w:spacing w:val="-1"/>
        </w:rPr>
        <w:t> </w:t>
      </w:r>
      <w:r>
        <w:rPr>
          <w:color w:val="0B0B0B"/>
        </w:rPr>
        <w:t>o</w:t>
      </w:r>
      <w:r>
        <w:rPr>
          <w:color w:val="0B0B0B"/>
          <w:spacing w:val="-1"/>
        </w:rPr>
        <w:t> </w:t>
      </w:r>
      <w:r>
        <w:rPr>
          <w:color w:val="0B0B0B"/>
        </w:rPr>
        <w:t>aquéllas a</w:t>
      </w:r>
      <w:r>
        <w:rPr>
          <w:color w:val="0B0B0B"/>
          <w:spacing w:val="-1"/>
        </w:rPr>
        <w:t> </w:t>
      </w:r>
      <w:r>
        <w:rPr>
          <w:color w:val="0B0B0B"/>
        </w:rPr>
        <w:t>las que les hubieren retenido contribuciones, deberán solicitar el CFDI respectivo.</w:t>
      </w:r>
    </w:p>
    <w:p>
      <w:pPr>
        <w:pStyle w:val="BodyText"/>
        <w:spacing w:line="276" w:lineRule="auto" w:before="100"/>
        <w:ind w:right="257"/>
      </w:pPr>
      <w:r>
        <w:rPr>
          <w:color w:val="0B0B0B"/>
        </w:rPr>
        <w:t>Por su parte, el artículo 113 Bis del CFF establece una sanción de dos a nueve años de prisión, al que por sí o por interpósita persona, expida, enajene, compre o adquiera comprobantes fiscales que amparen operaciones inexistentes, falsas o actos jurídicos </w:t>
      </w:r>
      <w:r>
        <w:rPr>
          <w:color w:val="0B0B0B"/>
          <w:spacing w:val="-2"/>
        </w:rPr>
        <w:t>simulados.</w:t>
      </w:r>
    </w:p>
    <w:p>
      <w:pPr>
        <w:pStyle w:val="BodyText"/>
        <w:spacing w:line="276" w:lineRule="auto" w:before="102"/>
        <w:ind w:right="255"/>
      </w:pPr>
      <w:r>
        <w:rPr>
          <w:color w:val="0B0B0B"/>
        </w:rPr>
        <w:t>En este sentido, resulta evidente que, por una parte, los contribuyentes a los que se</w:t>
      </w:r>
      <w:r>
        <w:rPr>
          <w:color w:val="0B0B0B"/>
          <w:spacing w:val="40"/>
        </w:rPr>
        <w:t> </w:t>
      </w:r>
      <w:r>
        <w:rPr>
          <w:color w:val="0B0B0B"/>
        </w:rPr>
        <w:t>les haya restringido temporalmente el uso de su CSD para la expedición de CFDI o se les haya dejado sin efectos el mismo, previo a que continúen emitiendo comprobantes fiscales, deberán subsanar las irregularidades detectadas, o bien, desvirtuar las</w:t>
      </w:r>
      <w:r>
        <w:rPr>
          <w:color w:val="0B0B0B"/>
          <w:spacing w:val="40"/>
        </w:rPr>
        <w:t> </w:t>
      </w:r>
      <w:r>
        <w:rPr>
          <w:color w:val="0B0B0B"/>
        </w:rPr>
        <w:t>causas que motivaron la aplicación de la medida, según corresponda al procedimiento de que se trate, y obtener</w:t>
      </w:r>
      <w:r>
        <w:rPr>
          <w:color w:val="0B0B0B"/>
        </w:rPr>
        <w:t> la resolución positiva por parte del SAT, debiendo posteriormente, expedir los CFDI respectivos únicamente por los actos o actividades que efectivamente realicen dichos contribuyentes y, por otra parte, que las personas que adquieran bienes, disfruten de su uso o goce temporal, reciban servicios, o aquéllas a las que les hubieren retenido contribuciones,</w:t>
      </w:r>
      <w:r>
        <w:rPr>
          <w:color w:val="0B0B0B"/>
        </w:rPr>
        <w:t> deberán solicitar el CFDI únicamente de la persona con la cual celebraron la operación correspondiente, evitándose con ello la emisión de comprobantes</w:t>
      </w:r>
      <w:r>
        <w:rPr>
          <w:color w:val="0B0B0B"/>
        </w:rPr>
        <w:t> fiscales que pudieran amparar operaciones falsas o simuladas.</w:t>
      </w:r>
    </w:p>
    <w:p>
      <w:pPr>
        <w:pStyle w:val="BodyText"/>
        <w:spacing w:after="0" w:line="276" w:lineRule="auto"/>
        <w:sectPr>
          <w:headerReference w:type="default" r:id="rId11"/>
          <w:pgSz w:w="12240" w:h="15840"/>
          <w:pgMar w:header="690" w:footer="0" w:top="1040" w:bottom="280" w:left="1440" w:right="1440"/>
        </w:sectPr>
      </w:pPr>
    </w:p>
    <w:p>
      <w:pPr>
        <w:pStyle w:val="BodyText"/>
        <w:spacing w:line="283" w:lineRule="auto" w:before="134"/>
        <w:ind w:right="257"/>
      </w:pPr>
      <w:r>
        <w:rPr>
          <w:color w:val="0B0B0B"/>
        </w:rPr>
        <w:t>Al respecto, se ha detectado, por una parte, que algunos contribuyentes a los que se les restringió de forma temporal el uso de los CSD o se les dejó sin efectos el CSD, y que aún no han subsanado o desvirtuado las inconsistencias detectadas,</w:t>
      </w:r>
      <w:r>
        <w:rPr>
          <w:color w:val="0B0B0B"/>
        </w:rPr>
        <w:t> realizan diversos actos mercantiles o corporativos en los cuales otra persona física o moral emite los comprobantes que amparan la operación realizada por aquél, eludiendo de esta forma la imposibilidad de expedir CFDI, en virtud de ubicarse en alguno de los supuestos a los que se refieren los artículos 17-H y 17-H Bis del CFF, y por otra, que existen contribuyentes que a sabiendas de que el comprobante fiscal fue emitido por interpósita persona pretenden realizar deducciones y/o acreditamientos con base en dichos comprobantes fiscales.</w:t>
      </w:r>
    </w:p>
    <w:p>
      <w:pPr>
        <w:pStyle w:val="BodyText"/>
        <w:spacing w:line="283" w:lineRule="auto" w:before="98"/>
        <w:ind w:right="258"/>
      </w:pPr>
      <w:r>
        <w:rPr>
          <w:color w:val="0B0B0B"/>
        </w:rPr>
        <w:t>Por lo tanto, se considera que realizan una práctica fiscal indebida aquellos contribuyentes que:</w:t>
      </w:r>
    </w:p>
    <w:p>
      <w:pPr>
        <w:pStyle w:val="ListParagraph"/>
        <w:numPr>
          <w:ilvl w:val="0"/>
          <w:numId w:val="3"/>
        </w:numPr>
        <w:tabs>
          <w:tab w:pos="2664" w:val="left" w:leader="none"/>
        </w:tabs>
        <w:spacing w:line="283" w:lineRule="auto" w:before="101" w:after="0"/>
        <w:ind w:left="2664" w:right="258" w:hanging="504"/>
        <w:jc w:val="both"/>
        <w:rPr>
          <w:sz w:val="18"/>
        </w:rPr>
      </w:pPr>
      <w:r>
        <w:rPr>
          <w:color w:val="0B0B0B"/>
          <w:sz w:val="18"/>
        </w:rPr>
        <w:t>Se les haya restringido temporalmente el uso de su CSD para la expedición de CFDI o dejado sin efectos el mismo, y que aún no hayan subsanado las irregularidades detectadas o bien, desvirtuado las causas que motivaron la aplicación de la medida, según corresponda al procedimiento de que se trate, y realicen cualquier acto, independientemente del nombre con el que se denomine, mediante el cual, emitan CFDI a través de interpósita persona.</w:t>
      </w:r>
    </w:p>
    <w:p>
      <w:pPr>
        <w:pStyle w:val="ListParagraph"/>
        <w:numPr>
          <w:ilvl w:val="0"/>
          <w:numId w:val="3"/>
        </w:numPr>
        <w:tabs>
          <w:tab w:pos="2663" w:val="left" w:leader="none"/>
        </w:tabs>
        <w:spacing w:line="283" w:lineRule="auto" w:before="99" w:after="0"/>
        <w:ind w:left="2663" w:right="259" w:hanging="504"/>
        <w:jc w:val="both"/>
        <w:rPr>
          <w:sz w:val="18"/>
        </w:rPr>
      </w:pPr>
      <w:r>
        <w:rPr>
          <w:color w:val="0B0B0B"/>
          <w:sz w:val="18"/>
        </w:rPr>
        <w:t>Emitan comprobantes</w:t>
      </w:r>
      <w:r>
        <w:rPr>
          <w:color w:val="0B0B0B"/>
          <w:sz w:val="18"/>
        </w:rPr>
        <w:t> fiscales que pretendan amparar actos o actividades realizados por un contribuyente al que se le hayan restringido temporalmente o dejado sin efectos los CSD.</w:t>
      </w:r>
    </w:p>
    <w:p>
      <w:pPr>
        <w:pStyle w:val="ListParagraph"/>
        <w:numPr>
          <w:ilvl w:val="0"/>
          <w:numId w:val="3"/>
        </w:numPr>
        <w:tabs>
          <w:tab w:pos="2661" w:val="left" w:leader="none"/>
          <w:tab w:pos="2663" w:val="left" w:leader="none"/>
        </w:tabs>
        <w:spacing w:line="283" w:lineRule="auto" w:before="102" w:after="0"/>
        <w:ind w:left="2663" w:right="256" w:hanging="504"/>
        <w:jc w:val="both"/>
        <w:rPr>
          <w:sz w:val="18"/>
        </w:rPr>
      </w:pPr>
      <w:r>
        <w:rPr>
          <w:color w:val="0B0B0B"/>
          <w:sz w:val="18"/>
        </w:rPr>
        <w:t>Deduzcan y/o acrediten alguna cantidad con base en los comprobantes fiscales emitidos por una persona diferente de la que adquirieron bienes, disfrutaron de su uso o goce temporal, recibieron servicios o les hubiera retenido contribuciones, a sabiendas de que actualiza alguno de los supuestos a los que refieren los artículos 17-H y 17-H Bis del CFF y está impedida legalmente para</w:t>
      </w:r>
      <w:r>
        <w:rPr>
          <w:color w:val="0B0B0B"/>
          <w:spacing w:val="40"/>
          <w:sz w:val="18"/>
        </w:rPr>
        <w:t> </w:t>
      </w:r>
      <w:r>
        <w:rPr>
          <w:color w:val="0B0B0B"/>
          <w:sz w:val="18"/>
        </w:rPr>
        <w:t>la expedición de CFDI.</w:t>
      </w:r>
    </w:p>
    <w:p>
      <w:pPr>
        <w:pStyle w:val="ListParagraph"/>
        <w:numPr>
          <w:ilvl w:val="0"/>
          <w:numId w:val="3"/>
        </w:numPr>
        <w:tabs>
          <w:tab w:pos="2663" w:val="left" w:leader="none"/>
        </w:tabs>
        <w:spacing w:line="283" w:lineRule="auto" w:before="99" w:after="0"/>
        <w:ind w:left="2663" w:right="258"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5"/>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192"/>
      </w:tblGrid>
      <w:tr>
        <w:trPr>
          <w:trHeight w:val="345" w:hRule="atLeast"/>
        </w:trPr>
        <w:tc>
          <w:tcPr>
            <w:tcW w:w="2694" w:type="dxa"/>
            <w:shd w:val="clear" w:color="auto" w:fill="BDBDBD"/>
          </w:tcPr>
          <w:p>
            <w:pPr>
              <w:pStyle w:val="TableParagraph"/>
              <w:spacing w:before="45"/>
              <w:ind w:left="12"/>
              <w:jc w:val="center"/>
              <w:rPr>
                <w:rFonts w:ascii="Arial"/>
                <w:b/>
                <w:sz w:val="16"/>
              </w:rPr>
            </w:pPr>
            <w:r>
              <w:rPr>
                <w:rFonts w:ascii="Arial"/>
                <w:b/>
                <w:color w:val="0B0B0B"/>
                <w:spacing w:val="-2"/>
                <w:sz w:val="16"/>
              </w:rPr>
              <w:t>Origen</w:t>
            </w:r>
          </w:p>
        </w:tc>
        <w:tc>
          <w:tcPr>
            <w:tcW w:w="4192" w:type="dxa"/>
            <w:shd w:val="clear" w:color="auto" w:fill="BDBDBD"/>
          </w:tcPr>
          <w:p>
            <w:pPr>
              <w:pStyle w:val="TableParagraph"/>
              <w:spacing w:before="45"/>
              <w:ind w:left="135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87" w:hRule="atLeast"/>
        </w:trPr>
        <w:tc>
          <w:tcPr>
            <w:tcW w:w="2694" w:type="dxa"/>
          </w:tcPr>
          <w:p>
            <w:pPr>
              <w:pStyle w:val="TableParagraph"/>
              <w:spacing w:before="4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2022</w:t>
            </w:r>
          </w:p>
        </w:tc>
        <w:tc>
          <w:tcPr>
            <w:tcW w:w="4192" w:type="dxa"/>
          </w:tcPr>
          <w:p>
            <w:pPr>
              <w:pStyle w:val="TableParagraph"/>
              <w:spacing w:line="316" w:lineRule="auto" w:before="45"/>
              <w:ind w:firstLine="1"/>
              <w:rPr>
                <w:sz w:val="16"/>
              </w:rPr>
            </w:pPr>
            <w:r>
              <w:rPr>
                <w:color w:val="0B0B0B"/>
                <w:sz w:val="16"/>
              </w:rPr>
              <w:t>Publicada en el DOF el 27 de diciembre de 2021, Anexo 3, publicado en el DOF el 05 de enero de 2022.</w:t>
            </w:r>
          </w:p>
        </w:tc>
      </w:tr>
    </w:tbl>
    <w:p>
      <w:pPr>
        <w:pStyle w:val="BodyText"/>
        <w:spacing w:before="166"/>
        <w:ind w:left="0"/>
        <w:jc w:val="left"/>
      </w:pPr>
    </w:p>
    <w:p>
      <w:pPr>
        <w:pStyle w:val="Heading1"/>
        <w:tabs>
          <w:tab w:pos="2145" w:val="left" w:leader="none"/>
        </w:tabs>
        <w:spacing w:line="283" w:lineRule="auto"/>
        <w:ind w:right="257"/>
      </w:pPr>
      <w:r>
        <w:rPr>
          <w:color w:val="0B0B0B"/>
          <w:spacing w:val="-2"/>
        </w:rPr>
        <w:t>4/CFF/PI</w:t>
      </w:r>
      <w:r>
        <w:rPr>
          <w:color w:val="0B0B0B"/>
        </w:rPr>
        <w:tab/>
        <w:t>Aplicación</w:t>
      </w:r>
      <w:r>
        <w:rPr>
          <w:color w:val="0B0B0B"/>
          <w:spacing w:val="78"/>
        </w:rPr>
        <w:t> </w:t>
      </w:r>
      <w:r>
        <w:rPr>
          <w:color w:val="0B0B0B"/>
        </w:rPr>
        <w:t>indebida</w:t>
      </w:r>
      <w:r>
        <w:rPr>
          <w:color w:val="0B0B0B"/>
          <w:spacing w:val="78"/>
        </w:rPr>
        <w:t> </w:t>
      </w:r>
      <w:r>
        <w:rPr>
          <w:color w:val="0B0B0B"/>
        </w:rPr>
        <w:t>de</w:t>
      </w:r>
      <w:r>
        <w:rPr>
          <w:color w:val="0B0B0B"/>
          <w:spacing w:val="78"/>
        </w:rPr>
        <w:t> </w:t>
      </w:r>
      <w:r>
        <w:rPr>
          <w:color w:val="0B0B0B"/>
        </w:rPr>
        <w:t>estímulos</w:t>
      </w:r>
      <w:r>
        <w:rPr>
          <w:color w:val="0B0B0B"/>
          <w:spacing w:val="78"/>
        </w:rPr>
        <w:t> </w:t>
      </w:r>
      <w:r>
        <w:rPr>
          <w:color w:val="0B0B0B"/>
        </w:rPr>
        <w:t>fiscales,</w:t>
      </w:r>
      <w:r>
        <w:rPr>
          <w:color w:val="0B0B0B"/>
          <w:spacing w:val="77"/>
        </w:rPr>
        <w:t> </w:t>
      </w:r>
      <w:r>
        <w:rPr>
          <w:color w:val="0B0B0B"/>
        </w:rPr>
        <w:t>bajo</w:t>
      </w:r>
      <w:r>
        <w:rPr>
          <w:color w:val="0B0B0B"/>
          <w:spacing w:val="78"/>
        </w:rPr>
        <w:t> </w:t>
      </w:r>
      <w:r>
        <w:rPr>
          <w:color w:val="0B0B0B"/>
        </w:rPr>
        <w:t>la</w:t>
      </w:r>
      <w:r>
        <w:rPr>
          <w:color w:val="0B0B0B"/>
          <w:spacing w:val="76"/>
        </w:rPr>
        <w:t> </w:t>
      </w:r>
      <w:r>
        <w:rPr>
          <w:color w:val="0B0B0B"/>
        </w:rPr>
        <w:t>figura</w:t>
      </w:r>
      <w:r>
        <w:rPr>
          <w:color w:val="0B0B0B"/>
          <w:spacing w:val="78"/>
        </w:rPr>
        <w:t> </w:t>
      </w:r>
      <w:r>
        <w:rPr>
          <w:color w:val="0B0B0B"/>
        </w:rPr>
        <w:t>de</w:t>
      </w:r>
      <w:r>
        <w:rPr>
          <w:color w:val="0B0B0B"/>
          <w:spacing w:val="78"/>
        </w:rPr>
        <w:t> </w:t>
      </w:r>
      <w:r>
        <w:rPr>
          <w:color w:val="0B0B0B"/>
        </w:rPr>
        <w:t>asunción</w:t>
      </w:r>
      <w:r>
        <w:rPr>
          <w:color w:val="0B0B0B"/>
          <w:spacing w:val="76"/>
        </w:rPr>
        <w:t> </w:t>
      </w:r>
      <w:r>
        <w:rPr>
          <w:color w:val="0B0B0B"/>
        </w:rPr>
        <w:t>de responsabilidad solidaria.</w:t>
      </w:r>
    </w:p>
    <w:p>
      <w:pPr>
        <w:pStyle w:val="BodyText"/>
        <w:spacing w:line="283" w:lineRule="auto" w:before="101"/>
        <w:ind w:right="257"/>
      </w:pPr>
      <w:r>
        <w:rPr>
          <w:color w:val="171717"/>
        </w:rPr>
        <w:t>En términos del artículo 39, fracción III del Código Fiscal de la Federación, el Ejecutivo Federal, mediante resoluciones de carácter general, podrá c</w:t>
      </w:r>
      <w:r>
        <w:rPr>
          <w:color w:val="0B0B0B"/>
        </w:rPr>
        <w:t>onceder subsidios o estímulos fiscales, los cuales están dirigidos a sectores de contribuyentes atendiendo</w:t>
      </w:r>
      <w:r>
        <w:rPr>
          <w:color w:val="0B0B0B"/>
          <w:spacing w:val="40"/>
        </w:rPr>
        <w:t> </w:t>
      </w:r>
      <w:r>
        <w:rPr>
          <w:color w:val="0B0B0B"/>
        </w:rPr>
        <w:t>a las características y necesidades del sector al que se otorgan, o bien, la emergencia o área económica que se busca incentivar o proteger, siempre que de manera estricta los beneficiarios o sujetos a quienes está dirigido el estímulo de que se trate, cumplan con los requisitos y condiciones que se establezcan para tales efectos, por lo que la aplicación de un estímulo fiscal sin ser</w:t>
      </w:r>
      <w:r>
        <w:rPr>
          <w:color w:val="0B0B0B"/>
        </w:rPr>
        <w:t> sujeto del mismo o sin cumplir con los</w:t>
      </w:r>
      <w:r>
        <w:rPr>
          <w:color w:val="0B0B0B"/>
          <w:spacing w:val="40"/>
        </w:rPr>
        <w:t> </w:t>
      </w:r>
      <w:r>
        <w:rPr>
          <w:color w:val="0B0B0B"/>
        </w:rPr>
        <w:t>requisitos para tal efecto constituye una acción en perjuicio del fisco federal.</w:t>
      </w:r>
    </w:p>
    <w:p>
      <w:pPr>
        <w:pStyle w:val="BodyText"/>
        <w:spacing w:line="283" w:lineRule="auto" w:before="99"/>
        <w:ind w:right="256"/>
      </w:pPr>
      <w:r>
        <w:rPr>
          <w:color w:val="171717"/>
        </w:rPr>
        <w:t>Ahora bien, se han identificado contribuyentes que asumen que son sujetos</w:t>
      </w:r>
      <w:r>
        <w:rPr>
          <w:color w:val="171717"/>
        </w:rPr>
        <w:t> de estímulos y que cuentan con montos de estímulos fiscales generados a su favor a la luz del Decreto que otorga los estímulos de que se trate, quienes a través de figuras como la asunción de responsabilidad solidaria, o de cualquier otro acto jurídico, transfieren indebida e ilegalmente el importe del estímulo fiscal, con el objetivo de que un</w:t>
      </w:r>
      <w:r>
        <w:rPr>
          <w:color w:val="171717"/>
          <w:spacing w:val="32"/>
        </w:rPr>
        <w:t> </w:t>
      </w:r>
      <w:r>
        <w:rPr>
          <w:color w:val="171717"/>
        </w:rPr>
        <w:t>tercero</w:t>
      </w:r>
      <w:r>
        <w:rPr>
          <w:color w:val="171717"/>
          <w:spacing w:val="32"/>
        </w:rPr>
        <w:t> </w:t>
      </w:r>
      <w:r>
        <w:rPr>
          <w:color w:val="171717"/>
        </w:rPr>
        <w:t>pague</w:t>
      </w:r>
      <w:r>
        <w:rPr>
          <w:color w:val="171717"/>
          <w:spacing w:val="32"/>
        </w:rPr>
        <w:t> </w:t>
      </w:r>
      <w:r>
        <w:rPr>
          <w:color w:val="171717"/>
        </w:rPr>
        <w:t>sus</w:t>
      </w:r>
      <w:r>
        <w:rPr>
          <w:color w:val="171717"/>
          <w:spacing w:val="32"/>
        </w:rPr>
        <w:t> </w:t>
      </w:r>
      <w:r>
        <w:rPr>
          <w:color w:val="171717"/>
        </w:rPr>
        <w:t>contribuciones</w:t>
      </w:r>
      <w:r>
        <w:rPr>
          <w:color w:val="171717"/>
          <w:spacing w:val="33"/>
        </w:rPr>
        <w:t> </w:t>
      </w:r>
      <w:r>
        <w:rPr>
          <w:color w:val="171717"/>
        </w:rPr>
        <w:t>causadas</w:t>
      </w:r>
      <w:r>
        <w:rPr>
          <w:color w:val="171717"/>
          <w:spacing w:val="33"/>
        </w:rPr>
        <w:t> </w:t>
      </w:r>
      <w:r>
        <w:rPr>
          <w:color w:val="171717"/>
        </w:rPr>
        <w:t>o</w:t>
      </w:r>
      <w:r>
        <w:rPr>
          <w:color w:val="171717"/>
          <w:spacing w:val="32"/>
        </w:rPr>
        <w:t> </w:t>
      </w:r>
      <w:r>
        <w:rPr>
          <w:color w:val="171717"/>
        </w:rPr>
        <w:t>a</w:t>
      </w:r>
      <w:r>
        <w:rPr>
          <w:color w:val="171717"/>
          <w:spacing w:val="32"/>
        </w:rPr>
        <w:t> </w:t>
      </w:r>
      <w:r>
        <w:rPr>
          <w:color w:val="171717"/>
        </w:rPr>
        <w:t>cargo,</w:t>
      </w:r>
      <w:r>
        <w:rPr>
          <w:color w:val="171717"/>
          <w:spacing w:val="32"/>
        </w:rPr>
        <w:t> </w:t>
      </w:r>
      <w:r>
        <w:rPr>
          <w:color w:val="171717"/>
        </w:rPr>
        <w:t>acreditando</w:t>
      </w:r>
      <w:r>
        <w:rPr>
          <w:color w:val="171717"/>
          <w:spacing w:val="33"/>
        </w:rPr>
        <w:t> </w:t>
      </w:r>
      <w:r>
        <w:rPr>
          <w:color w:val="171717"/>
        </w:rPr>
        <w:t>importes</w:t>
      </w:r>
      <w:r>
        <w:rPr>
          <w:color w:val="171717"/>
          <w:spacing w:val="33"/>
        </w:rPr>
        <w:t> </w:t>
      </w:r>
      <w:r>
        <w:rPr>
          <w:color w:val="171717"/>
        </w:rPr>
        <w:t>de</w:t>
      </w:r>
    </w:p>
    <w:p>
      <w:pPr>
        <w:pStyle w:val="BodyText"/>
        <w:spacing w:after="0" w:line="283" w:lineRule="auto"/>
        <w:sectPr>
          <w:headerReference w:type="default" r:id="rId12"/>
          <w:pgSz w:w="12240" w:h="15840"/>
          <w:pgMar w:header="690" w:footer="0" w:top="1040" w:bottom="280" w:left="1440" w:right="1440"/>
        </w:sectPr>
      </w:pPr>
    </w:p>
    <w:p>
      <w:pPr>
        <w:pStyle w:val="BodyText"/>
        <w:spacing w:line="283" w:lineRule="auto" w:before="134"/>
        <w:ind w:right="256"/>
      </w:pPr>
      <w:r>
        <w:rPr>
          <w:color w:val="171717"/>
        </w:rPr>
        <w:t>estímulos</w:t>
      </w:r>
      <w:r>
        <w:rPr>
          <w:color w:val="171717"/>
        </w:rPr>
        <w:t> fiscales a los que no tiene derecho, obteniendo con ello </w:t>
      </w:r>
      <w:r>
        <w:rPr>
          <w:color w:val="0B0B0B"/>
        </w:rPr>
        <w:t>un beneficio indebido en perjuicio del fisco federal, es decir, se actualiza una conducta equiparable al delito de defraudación fiscal al beneficiarse de un estímulo fiscal sin tener derecho a ello, conforme al artículo 109, primer párrafo, fracción III del Código Fiscal de la </w:t>
      </w:r>
      <w:r>
        <w:rPr>
          <w:color w:val="0B0B0B"/>
          <w:spacing w:val="-2"/>
        </w:rPr>
        <w:t>Federación.</w:t>
      </w:r>
    </w:p>
    <w:p>
      <w:pPr>
        <w:spacing w:line="266" w:lineRule="auto" w:before="88"/>
        <w:ind w:left="2145" w:right="257" w:firstLine="0"/>
        <w:jc w:val="both"/>
        <w:rPr>
          <w:sz w:val="18"/>
        </w:rPr>
      </w:pPr>
      <w:r>
        <w:rPr>
          <w:color w:val="171717"/>
          <w:sz w:val="18"/>
        </w:rPr>
        <w:t>Por ejemplo, la realización de estas conductas se ha advertido en la aplicación del estímulo fiscal contenido en el “</w:t>
      </w:r>
      <w:r>
        <w:rPr>
          <w:rFonts w:ascii="Arial" w:hAnsi="Arial"/>
          <w:i/>
          <w:color w:val="171717"/>
          <w:sz w:val="18"/>
        </w:rPr>
        <w:t>Decreto por el que se establecen estímulos fiscales en materia del impuesto especial sobre producción y servicios aplicables a los combustibles que se indican</w:t>
      </w:r>
      <w:r>
        <w:rPr>
          <w:color w:val="171717"/>
          <w:sz w:val="18"/>
        </w:rPr>
        <w:t>”, publicado en el Diario Oficial de la Federación el 27 de diciembre de 2016 y sus posteriores modificaciones.</w:t>
      </w:r>
    </w:p>
    <w:p>
      <w:pPr>
        <w:pStyle w:val="BodyText"/>
        <w:spacing w:before="102"/>
      </w:pPr>
      <w:r>
        <w:rPr>
          <w:color w:val="171717"/>
        </w:rPr>
        <w:t>Por</w:t>
      </w:r>
      <w:r>
        <w:rPr>
          <w:color w:val="171717"/>
          <w:spacing w:val="-8"/>
        </w:rPr>
        <w:t> </w:t>
      </w:r>
      <w:r>
        <w:rPr>
          <w:color w:val="171717"/>
        </w:rPr>
        <w:t>lo</w:t>
      </w:r>
      <w:r>
        <w:rPr>
          <w:color w:val="171717"/>
          <w:spacing w:val="-7"/>
        </w:rPr>
        <w:t> </w:t>
      </w:r>
      <w:r>
        <w:rPr>
          <w:color w:val="171717"/>
        </w:rPr>
        <w:t>anterior,</w:t>
      </w:r>
      <w:r>
        <w:rPr>
          <w:color w:val="171717"/>
          <w:spacing w:val="-6"/>
        </w:rPr>
        <w:t> </w:t>
      </w:r>
      <w:r>
        <w:rPr>
          <w:color w:val="171717"/>
        </w:rPr>
        <w:t>se</w:t>
      </w:r>
      <w:r>
        <w:rPr>
          <w:color w:val="171717"/>
          <w:spacing w:val="-7"/>
        </w:rPr>
        <w:t> </w:t>
      </w:r>
      <w:r>
        <w:rPr>
          <w:color w:val="171717"/>
        </w:rPr>
        <w:t>considera</w:t>
      </w:r>
      <w:r>
        <w:rPr>
          <w:color w:val="171717"/>
          <w:spacing w:val="-8"/>
        </w:rPr>
        <w:t> </w:t>
      </w:r>
      <w:r>
        <w:rPr>
          <w:color w:val="171717"/>
        </w:rPr>
        <w:t>que</w:t>
      </w:r>
      <w:r>
        <w:rPr>
          <w:color w:val="171717"/>
          <w:spacing w:val="-7"/>
        </w:rPr>
        <w:t> </w:t>
      </w:r>
      <w:r>
        <w:rPr>
          <w:color w:val="171717"/>
        </w:rPr>
        <w:t>realizan</w:t>
      </w:r>
      <w:r>
        <w:rPr>
          <w:color w:val="171717"/>
          <w:spacing w:val="-8"/>
        </w:rPr>
        <w:t> </w:t>
      </w:r>
      <w:r>
        <w:rPr>
          <w:color w:val="171717"/>
        </w:rPr>
        <w:t>una</w:t>
      </w:r>
      <w:r>
        <w:rPr>
          <w:color w:val="171717"/>
          <w:spacing w:val="-7"/>
        </w:rPr>
        <w:t> </w:t>
      </w:r>
      <w:r>
        <w:rPr>
          <w:color w:val="171717"/>
        </w:rPr>
        <w:t>práctica</w:t>
      </w:r>
      <w:r>
        <w:rPr>
          <w:color w:val="171717"/>
          <w:spacing w:val="-8"/>
        </w:rPr>
        <w:t> </w:t>
      </w:r>
      <w:r>
        <w:rPr>
          <w:color w:val="171717"/>
        </w:rPr>
        <w:t>fiscal</w:t>
      </w:r>
      <w:r>
        <w:rPr>
          <w:color w:val="171717"/>
          <w:spacing w:val="-7"/>
        </w:rPr>
        <w:t> </w:t>
      </w:r>
      <w:r>
        <w:rPr>
          <w:color w:val="171717"/>
          <w:spacing w:val="-2"/>
        </w:rPr>
        <w:t>indebida:</w:t>
      </w:r>
    </w:p>
    <w:p>
      <w:pPr>
        <w:pStyle w:val="ListParagraph"/>
        <w:numPr>
          <w:ilvl w:val="0"/>
          <w:numId w:val="4"/>
        </w:numPr>
        <w:tabs>
          <w:tab w:pos="2664" w:val="left" w:leader="none"/>
        </w:tabs>
        <w:spacing w:line="266" w:lineRule="auto" w:before="124" w:after="0"/>
        <w:ind w:left="2664" w:right="258" w:hanging="504"/>
        <w:jc w:val="both"/>
        <w:rPr>
          <w:sz w:val="18"/>
        </w:rPr>
      </w:pPr>
      <w:r>
        <w:rPr>
          <w:color w:val="171717"/>
          <w:sz w:val="18"/>
        </w:rPr>
        <w:t>Quienes asuman la responsabilidad solidaria o celebren cualquier acto jurídico, con la finalidad de transferir</w:t>
      </w:r>
      <w:r>
        <w:rPr>
          <w:color w:val="171717"/>
          <w:sz w:val="18"/>
        </w:rPr>
        <w:t> los beneficios de un estímulo fiscal del que consideran ser sujetos, para que indebidamente lo aplique un tercero que no es sujeto del estímulo, ni generó el monto del estímulo.</w:t>
      </w:r>
    </w:p>
    <w:p>
      <w:pPr>
        <w:pStyle w:val="ListParagraph"/>
        <w:numPr>
          <w:ilvl w:val="0"/>
          <w:numId w:val="4"/>
        </w:numPr>
        <w:tabs>
          <w:tab w:pos="2664" w:val="left" w:leader="none"/>
        </w:tabs>
        <w:spacing w:line="266" w:lineRule="auto" w:before="102" w:after="0"/>
        <w:ind w:left="2664" w:right="257" w:hanging="504"/>
        <w:jc w:val="both"/>
        <w:rPr>
          <w:sz w:val="18"/>
        </w:rPr>
      </w:pPr>
      <w:r>
        <w:rPr>
          <w:color w:val="171717"/>
          <w:sz w:val="18"/>
        </w:rPr>
        <w:t>Quienes cubran sus pagos por contribuciones propias, retenidas o trasladadas, acreditando estímulos fiscales que no les corresponden conforme a las disposiciones donde se otorgan los mismos, por la asunción de responsabilidad solidaria que otra persona asuma sobre el pago de dichas contribuciones o por la celebración de cualquier acto jurídico que indebidamente se los permita.</w:t>
      </w:r>
    </w:p>
    <w:p>
      <w:pPr>
        <w:pStyle w:val="ListParagraph"/>
        <w:numPr>
          <w:ilvl w:val="0"/>
          <w:numId w:val="4"/>
        </w:numPr>
        <w:tabs>
          <w:tab w:pos="2662" w:val="left" w:leader="none"/>
          <w:tab w:pos="2664" w:val="left" w:leader="none"/>
        </w:tabs>
        <w:spacing w:line="266" w:lineRule="auto" w:before="103" w:after="0"/>
        <w:ind w:left="2664" w:right="257" w:hanging="504"/>
        <w:jc w:val="both"/>
        <w:rPr>
          <w:sz w:val="18"/>
        </w:rPr>
      </w:pPr>
      <w:r>
        <w:rPr>
          <w:color w:val="171717"/>
          <w:sz w:val="18"/>
        </w:rPr>
        <w:t>Quienes asesoren, aconsejen, presten servicios o participen en la realización o la implementación de las prácticas anteriores.</w:t>
      </w:r>
    </w:p>
    <w:p>
      <w:pPr>
        <w:pStyle w:val="BodyText"/>
        <w:spacing w:line="266" w:lineRule="auto" w:before="101"/>
        <w:ind w:right="258"/>
      </w:pPr>
      <w:r>
        <w:rPr>
          <w:color w:val="171717"/>
        </w:rPr>
        <w:t>Lo anterior con independencia de los delitos fiscales que se pudieran actualizar por la realización de las prácticas anteriormente descritas.</w:t>
      </w:r>
    </w:p>
    <w:p>
      <w:pPr>
        <w:pStyle w:val="BodyText"/>
        <w:spacing w:before="7"/>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1"/>
        <w:gridCol w:w="4232"/>
      </w:tblGrid>
      <w:tr>
        <w:trPr>
          <w:trHeight w:val="330" w:hRule="atLeast"/>
        </w:trPr>
        <w:tc>
          <w:tcPr>
            <w:tcW w:w="2671"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232" w:type="dxa"/>
            <w:shd w:val="clear" w:color="auto" w:fill="BCBCBC"/>
          </w:tcPr>
          <w:p>
            <w:pPr>
              <w:pStyle w:val="TableParagraph"/>
              <w:spacing w:before="33"/>
              <w:ind w:left="137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4" w:hRule="atLeast"/>
        </w:trPr>
        <w:tc>
          <w:tcPr>
            <w:tcW w:w="2671" w:type="dxa"/>
            <w:tcBorders>
              <w:bottom w:val="nil"/>
            </w:tcBorders>
          </w:tcPr>
          <w:p>
            <w:pPr>
              <w:pStyle w:val="TableParagraph"/>
              <w:tabs>
                <w:tab w:pos="1068" w:val="left" w:leader="none"/>
                <w:tab w:pos="2363" w:val="left" w:leader="none"/>
              </w:tabs>
              <w:spacing w:before="33"/>
              <w:ind w:left="14"/>
              <w:jc w:val="center"/>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5"/>
                <w:sz w:val="16"/>
              </w:rPr>
              <w:t>de</w:t>
            </w:r>
          </w:p>
        </w:tc>
        <w:tc>
          <w:tcPr>
            <w:tcW w:w="4232" w:type="dxa"/>
            <w:tcBorders>
              <w:bottom w:val="nil"/>
            </w:tcBorders>
          </w:tcPr>
          <w:p>
            <w:pPr>
              <w:pStyle w:val="TableParagraph"/>
              <w:spacing w:before="33"/>
              <w:rPr>
                <w:sz w:val="16"/>
              </w:rPr>
            </w:pPr>
            <w:r>
              <w:rPr>
                <w:color w:val="0B0B0B"/>
                <w:sz w:val="16"/>
              </w:rPr>
              <w:t>Publicada</w:t>
            </w:r>
            <w:r>
              <w:rPr>
                <w:color w:val="0B0B0B"/>
                <w:spacing w:val="17"/>
                <w:sz w:val="16"/>
              </w:rPr>
              <w:t> </w:t>
            </w:r>
            <w:r>
              <w:rPr>
                <w:color w:val="0B0B0B"/>
                <w:sz w:val="16"/>
              </w:rPr>
              <w:t>en</w:t>
            </w:r>
            <w:r>
              <w:rPr>
                <w:color w:val="0B0B0B"/>
                <w:spacing w:val="17"/>
                <w:sz w:val="16"/>
              </w:rPr>
              <w:t> </w:t>
            </w:r>
            <w:r>
              <w:rPr>
                <w:color w:val="0B0B0B"/>
                <w:sz w:val="16"/>
              </w:rPr>
              <w:t>el</w:t>
            </w:r>
            <w:r>
              <w:rPr>
                <w:color w:val="0B0B0B"/>
                <w:spacing w:val="16"/>
                <w:sz w:val="16"/>
              </w:rPr>
              <w:t> </w:t>
            </w:r>
            <w:r>
              <w:rPr>
                <w:color w:val="0B0B0B"/>
                <w:sz w:val="16"/>
              </w:rPr>
              <w:t>DOF</w:t>
            </w:r>
            <w:r>
              <w:rPr>
                <w:color w:val="0B0B0B"/>
                <w:spacing w:val="17"/>
                <w:sz w:val="16"/>
              </w:rPr>
              <w:t> </w:t>
            </w:r>
            <w:r>
              <w:rPr>
                <w:color w:val="0B0B0B"/>
                <w:sz w:val="16"/>
              </w:rPr>
              <w:t>el</w:t>
            </w:r>
            <w:r>
              <w:rPr>
                <w:color w:val="0B0B0B"/>
                <w:spacing w:val="17"/>
                <w:sz w:val="16"/>
              </w:rPr>
              <w:t> </w:t>
            </w:r>
            <w:r>
              <w:rPr>
                <w:color w:val="0B0B0B"/>
                <w:sz w:val="16"/>
              </w:rPr>
              <w:t>13</w:t>
            </w:r>
            <w:r>
              <w:rPr>
                <w:color w:val="0B0B0B"/>
                <w:spacing w:val="17"/>
                <w:sz w:val="16"/>
              </w:rPr>
              <w:t> </w:t>
            </w:r>
            <w:r>
              <w:rPr>
                <w:color w:val="0B0B0B"/>
                <w:sz w:val="16"/>
              </w:rPr>
              <w:t>de</w:t>
            </w:r>
            <w:r>
              <w:rPr>
                <w:color w:val="0B0B0B"/>
                <w:spacing w:val="17"/>
                <w:sz w:val="16"/>
              </w:rPr>
              <w:t> </w:t>
            </w:r>
            <w:r>
              <w:rPr>
                <w:color w:val="0B0B0B"/>
                <w:sz w:val="16"/>
              </w:rPr>
              <w:t>mayo</w:t>
            </w:r>
            <w:r>
              <w:rPr>
                <w:color w:val="0B0B0B"/>
                <w:spacing w:val="17"/>
                <w:sz w:val="16"/>
              </w:rPr>
              <w:t> </w:t>
            </w:r>
            <w:r>
              <w:rPr>
                <w:color w:val="0B0B0B"/>
                <w:sz w:val="16"/>
              </w:rPr>
              <w:t>de</w:t>
            </w:r>
            <w:r>
              <w:rPr>
                <w:color w:val="0B0B0B"/>
                <w:spacing w:val="17"/>
                <w:sz w:val="16"/>
              </w:rPr>
              <w:t> </w:t>
            </w:r>
            <w:r>
              <w:rPr>
                <w:color w:val="0B0B0B"/>
                <w:sz w:val="16"/>
              </w:rPr>
              <w:t>2025,</w:t>
            </w:r>
            <w:r>
              <w:rPr>
                <w:color w:val="0B0B0B"/>
                <w:spacing w:val="17"/>
                <w:sz w:val="16"/>
              </w:rPr>
              <w:t> </w:t>
            </w:r>
            <w:r>
              <w:rPr>
                <w:color w:val="0B0B0B"/>
                <w:sz w:val="16"/>
              </w:rPr>
              <w:t>Anexo</w:t>
            </w:r>
            <w:r>
              <w:rPr>
                <w:color w:val="0B0B0B"/>
                <w:spacing w:val="17"/>
                <w:sz w:val="16"/>
              </w:rPr>
              <w:t> </w:t>
            </w:r>
            <w:r>
              <w:rPr>
                <w:color w:val="0B0B0B"/>
                <w:spacing w:val="-5"/>
                <w:sz w:val="16"/>
              </w:rPr>
              <w:t>3,</w:t>
            </w:r>
          </w:p>
        </w:tc>
      </w:tr>
      <w:tr>
        <w:trPr>
          <w:trHeight w:val="230" w:hRule="atLeast"/>
        </w:trPr>
        <w:tc>
          <w:tcPr>
            <w:tcW w:w="2671" w:type="dxa"/>
            <w:tcBorders>
              <w:top w:val="nil"/>
              <w:bottom w:val="nil"/>
            </w:tcBorders>
          </w:tcPr>
          <w:p>
            <w:pPr>
              <w:pStyle w:val="TableParagraph"/>
              <w:spacing w:before="19"/>
              <w:ind w:left="2"/>
              <w:jc w:val="center"/>
              <w:rPr>
                <w:sz w:val="16"/>
              </w:rPr>
            </w:pPr>
            <w:r>
              <w:rPr>
                <w:color w:val="0B0B0B"/>
                <w:sz w:val="16"/>
              </w:rPr>
              <w:t>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2025</w:t>
            </w:r>
          </w:p>
        </w:tc>
        <w:tc>
          <w:tcPr>
            <w:tcW w:w="4232" w:type="dxa"/>
            <w:tcBorders>
              <w:top w:val="nil"/>
              <w:bottom w:val="nil"/>
            </w:tcBorders>
          </w:tcPr>
          <w:p>
            <w:pPr>
              <w:pStyle w:val="TableParagraph"/>
              <w:spacing w:before="19"/>
              <w:rPr>
                <w:sz w:val="16"/>
              </w:rPr>
            </w:pPr>
            <w:r>
              <w:rPr>
                <w:color w:val="0B0B0B"/>
                <w:sz w:val="16"/>
              </w:rPr>
              <w:t>publicado</w:t>
            </w:r>
            <w:r>
              <w:rPr>
                <w:color w:val="0B0B0B"/>
                <w:spacing w:val="72"/>
                <w:w w:val="150"/>
                <w:sz w:val="16"/>
              </w:rPr>
              <w:t> </w:t>
            </w:r>
            <w:r>
              <w:rPr>
                <w:color w:val="0B0B0B"/>
                <w:sz w:val="16"/>
              </w:rPr>
              <w:t>en</w:t>
            </w:r>
            <w:r>
              <w:rPr>
                <w:color w:val="0B0B0B"/>
                <w:spacing w:val="73"/>
                <w:w w:val="150"/>
                <w:sz w:val="16"/>
              </w:rPr>
              <w:t> </w:t>
            </w:r>
            <w:r>
              <w:rPr>
                <w:color w:val="0B0B0B"/>
                <w:sz w:val="16"/>
              </w:rPr>
              <w:t>el</w:t>
            </w:r>
            <w:r>
              <w:rPr>
                <w:color w:val="0B0B0B"/>
                <w:spacing w:val="73"/>
                <w:w w:val="150"/>
                <w:sz w:val="16"/>
              </w:rPr>
              <w:t> </w:t>
            </w:r>
            <w:r>
              <w:rPr>
                <w:color w:val="0B0B0B"/>
                <w:sz w:val="16"/>
              </w:rPr>
              <w:t>DOF</w:t>
            </w:r>
            <w:r>
              <w:rPr>
                <w:color w:val="0B0B0B"/>
                <w:spacing w:val="73"/>
                <w:w w:val="150"/>
                <w:sz w:val="16"/>
              </w:rPr>
              <w:t> </w:t>
            </w:r>
            <w:r>
              <w:rPr>
                <w:color w:val="0B0B0B"/>
                <w:sz w:val="16"/>
              </w:rPr>
              <w:t>en</w:t>
            </w:r>
            <w:r>
              <w:rPr>
                <w:color w:val="0B0B0B"/>
                <w:spacing w:val="73"/>
                <w:w w:val="150"/>
                <w:sz w:val="16"/>
              </w:rPr>
              <w:t> </w:t>
            </w:r>
            <w:r>
              <w:rPr>
                <w:color w:val="0B0B0B"/>
                <w:sz w:val="16"/>
              </w:rPr>
              <w:t>la</w:t>
            </w:r>
            <w:r>
              <w:rPr>
                <w:color w:val="0B0B0B"/>
                <w:spacing w:val="73"/>
                <w:w w:val="150"/>
                <w:sz w:val="16"/>
              </w:rPr>
              <w:t> </w:t>
            </w:r>
            <w:r>
              <w:rPr>
                <w:color w:val="0B0B0B"/>
                <w:sz w:val="16"/>
              </w:rPr>
              <w:t>misma</w:t>
            </w:r>
            <w:r>
              <w:rPr>
                <w:color w:val="0B0B0B"/>
                <w:spacing w:val="73"/>
                <w:w w:val="150"/>
                <w:sz w:val="16"/>
              </w:rPr>
              <w:t> </w:t>
            </w:r>
            <w:r>
              <w:rPr>
                <w:color w:val="0B0B0B"/>
                <w:sz w:val="16"/>
              </w:rPr>
              <w:t>fecha</w:t>
            </w:r>
            <w:r>
              <w:rPr>
                <w:color w:val="0B0B0B"/>
                <w:spacing w:val="73"/>
                <w:w w:val="150"/>
                <w:sz w:val="16"/>
              </w:rPr>
              <w:t> </w:t>
            </w:r>
            <w:r>
              <w:rPr>
                <w:color w:val="0B0B0B"/>
                <w:sz w:val="16"/>
              </w:rPr>
              <w:t>de</w:t>
            </w:r>
            <w:r>
              <w:rPr>
                <w:color w:val="0B0B0B"/>
                <w:spacing w:val="73"/>
                <w:w w:val="150"/>
                <w:sz w:val="16"/>
              </w:rPr>
              <w:t> </w:t>
            </w:r>
            <w:r>
              <w:rPr>
                <w:color w:val="0B0B0B"/>
                <w:spacing w:val="-5"/>
                <w:sz w:val="16"/>
              </w:rPr>
              <w:t>la</w:t>
            </w:r>
          </w:p>
        </w:tc>
      </w:tr>
      <w:tr>
        <w:trPr>
          <w:trHeight w:val="315" w:hRule="atLeast"/>
        </w:trPr>
        <w:tc>
          <w:tcPr>
            <w:tcW w:w="2671" w:type="dxa"/>
            <w:tcBorders>
              <w:top w:val="nil"/>
            </w:tcBorders>
          </w:tcPr>
          <w:p>
            <w:pPr>
              <w:pStyle w:val="TableParagraph"/>
              <w:spacing w:before="0"/>
              <w:ind w:left="0"/>
              <w:rPr>
                <w:rFonts w:ascii="Times New Roman"/>
                <w:sz w:val="16"/>
              </w:rPr>
            </w:pPr>
          </w:p>
        </w:tc>
        <w:tc>
          <w:tcPr>
            <w:tcW w:w="4232" w:type="dxa"/>
            <w:tcBorders>
              <w:top w:val="nil"/>
            </w:tcBorders>
          </w:tcPr>
          <w:p>
            <w:pPr>
              <w:pStyle w:val="TableParagraph"/>
              <w:spacing w:before="19"/>
              <w:rPr>
                <w:sz w:val="16"/>
              </w:rPr>
            </w:pPr>
            <w:r>
              <w:rPr>
                <w:color w:val="0B0B0B"/>
                <w:spacing w:val="-2"/>
                <w:sz w:val="16"/>
              </w:rPr>
              <w:t>Modificación.</w:t>
            </w:r>
          </w:p>
        </w:tc>
      </w:tr>
    </w:tbl>
    <w:p>
      <w:pPr>
        <w:pStyle w:val="BodyText"/>
        <w:spacing w:before="141"/>
        <w:ind w:left="0"/>
        <w:jc w:val="left"/>
      </w:pPr>
    </w:p>
    <w:p>
      <w:pPr>
        <w:pStyle w:val="Heading1"/>
        <w:numPr>
          <w:ilvl w:val="1"/>
          <w:numId w:val="1"/>
        </w:numPr>
        <w:tabs>
          <w:tab w:pos="1123" w:val="left" w:leader="none"/>
        </w:tabs>
        <w:spacing w:line="240" w:lineRule="auto" w:before="0" w:after="0"/>
        <w:ind w:left="1123" w:right="0" w:hanging="432"/>
        <w:jc w:val="left"/>
      </w:pPr>
      <w:r>
        <w:rPr>
          <w:color w:val="0B0B0B"/>
        </w:rPr>
        <w:t>Criterios de la Ley</w:t>
      </w:r>
      <w:r>
        <w:rPr>
          <w:color w:val="0B0B0B"/>
          <w:spacing w:val="-2"/>
        </w:rPr>
        <w:t> </w:t>
      </w:r>
      <w:r>
        <w:rPr>
          <w:color w:val="0B0B0B"/>
        </w:rPr>
        <w:t>del </w:t>
      </w:r>
      <w:r>
        <w:rPr>
          <w:color w:val="0B0B0B"/>
          <w:spacing w:val="-5"/>
        </w:rPr>
        <w:t>ISR</w:t>
      </w:r>
    </w:p>
    <w:p>
      <w:pPr>
        <w:tabs>
          <w:tab w:pos="2145" w:val="left" w:leader="none"/>
        </w:tabs>
        <w:spacing w:before="124"/>
        <w:ind w:left="1137" w:right="0" w:firstLine="0"/>
        <w:jc w:val="left"/>
        <w:rPr>
          <w:rFonts w:ascii="Arial"/>
          <w:b/>
          <w:sz w:val="18"/>
        </w:rPr>
      </w:pPr>
      <w:r>
        <w:rPr>
          <w:rFonts w:ascii="Arial"/>
          <w:b/>
          <w:color w:val="0B0B0B"/>
          <w:spacing w:val="-2"/>
          <w:sz w:val="18"/>
        </w:rPr>
        <w:t>1/ISR/PI</w:t>
      </w:r>
      <w:r>
        <w:rPr>
          <w:rFonts w:ascii="Arial"/>
          <w:b/>
          <w:color w:val="0B0B0B"/>
          <w:sz w:val="18"/>
        </w:rPr>
        <w:tab/>
        <w:t>Establecimiento </w:t>
      </w:r>
      <w:r>
        <w:rPr>
          <w:rFonts w:ascii="Arial"/>
          <w:b/>
          <w:color w:val="0B0B0B"/>
          <w:spacing w:val="-2"/>
          <w:sz w:val="18"/>
        </w:rPr>
        <w:t>permanente.</w:t>
      </w:r>
    </w:p>
    <w:p>
      <w:pPr>
        <w:pStyle w:val="BodyText"/>
        <w:spacing w:line="266" w:lineRule="auto" w:before="125"/>
        <w:ind w:right="258"/>
      </w:pPr>
      <w:r>
        <w:rPr>
          <w:color w:val="0B0B0B"/>
        </w:rPr>
        <w:t>Conforme al artículo 1, fracción II de la Ley del ISR, las personas físicas y las morales están obligadas al pago del ISR cuando se trate de residentes en el extranjero que tengan un establecimiento permanente en el país, respecto de los ingresos atribuibles a dicho establecimiento permanente.</w:t>
      </w:r>
    </w:p>
    <w:p>
      <w:pPr>
        <w:pStyle w:val="BodyText"/>
        <w:spacing w:line="266" w:lineRule="auto" w:before="100"/>
        <w:ind w:right="257"/>
      </w:pPr>
      <w:r>
        <w:rPr>
          <w:color w:val="0B0B0B"/>
        </w:rPr>
        <w:t>Conforme al artículo 2, segundo párrafo de la Ley del ISR, el artículo 5 de los tratados para evitar la doble</w:t>
      </w:r>
      <w:r>
        <w:rPr>
          <w:color w:val="0B0B0B"/>
          <w:spacing w:val="-1"/>
        </w:rPr>
        <w:t> </w:t>
      </w:r>
      <w:r>
        <w:rPr>
          <w:color w:val="0B0B0B"/>
        </w:rPr>
        <w:t>tributación que México</w:t>
      </w:r>
      <w:r>
        <w:rPr>
          <w:color w:val="0B0B0B"/>
          <w:spacing w:val="-1"/>
        </w:rPr>
        <w:t> </w:t>
      </w:r>
      <w:r>
        <w:rPr>
          <w:color w:val="0B0B0B"/>
        </w:rPr>
        <w:t>tiene</w:t>
      </w:r>
      <w:r>
        <w:rPr>
          <w:color w:val="0B0B0B"/>
          <w:spacing w:val="-1"/>
        </w:rPr>
        <w:t> </w:t>
      </w:r>
      <w:r>
        <w:rPr>
          <w:color w:val="0B0B0B"/>
        </w:rPr>
        <w:t>en</w:t>
      </w:r>
      <w:r>
        <w:rPr>
          <w:color w:val="0B0B0B"/>
          <w:spacing w:val="-1"/>
        </w:rPr>
        <w:t> </w:t>
      </w:r>
      <w:r>
        <w:rPr>
          <w:color w:val="0B0B0B"/>
        </w:rPr>
        <w:t>vigor y los</w:t>
      </w:r>
      <w:r>
        <w:rPr>
          <w:color w:val="0B0B0B"/>
          <w:spacing w:val="-1"/>
        </w:rPr>
        <w:t> </w:t>
      </w:r>
      <w:r>
        <w:rPr>
          <w:color w:val="0B0B0B"/>
        </w:rPr>
        <w:t>párrafos 82</w:t>
      </w:r>
      <w:r>
        <w:rPr>
          <w:color w:val="0B0B0B"/>
          <w:spacing w:val="-1"/>
        </w:rPr>
        <w:t> </w:t>
      </w:r>
      <w:r>
        <w:rPr>
          <w:color w:val="0B0B0B"/>
        </w:rPr>
        <w:t>a 101 de</w:t>
      </w:r>
      <w:r>
        <w:rPr>
          <w:color w:val="0B0B0B"/>
          <w:spacing w:val="-1"/>
        </w:rPr>
        <w:t> </w:t>
      </w:r>
      <w:r>
        <w:rPr>
          <w:color w:val="0B0B0B"/>
        </w:rPr>
        <w:t>los Comentarios al artículo 5 del “Modelo de Convenio Tributario sobre la Renta y el Patrimonio”, a que hace referencia la recomendación adoptada por el Consejo de la OCDE el 23 de octubre de 1997, tal como fueron publicados después de la adopción por dicho Consejo de la décimo primera actualización o de aquella que la sustituya, se considera que el residente en el extranjero tiene un establecimiento permanente en el país cuando se encuentre vinculado en los términos del derecho común con los actos que habitualmente efectúen personas físicas o morales distintas de un agente independiente por cuenta de él, con un residente en México.</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2"/>
          <w:numId w:val="1"/>
        </w:numPr>
        <w:tabs>
          <w:tab w:pos="2664" w:val="left" w:leader="none"/>
        </w:tabs>
        <w:spacing w:line="266" w:lineRule="auto" w:before="124" w:after="0"/>
        <w:ind w:left="2664" w:right="258" w:hanging="504"/>
        <w:jc w:val="both"/>
        <w:rPr>
          <w:sz w:val="18"/>
        </w:rPr>
      </w:pPr>
      <w:r>
        <w:rPr>
          <w:color w:val="0B0B0B"/>
          <w:sz w:val="18"/>
        </w:rPr>
        <w:t>El residente en el extranjero que no pague el ISR en México al considerar que no tiene un establecimiento permanente en el país cuando se encuentre vinculado en los términos del derecho común con los actos que habitualmente efectúen personas físicas o morales distintas de un agente independiente por cuenta de él, con un residente en México.</w:t>
      </w:r>
    </w:p>
    <w:p>
      <w:pPr>
        <w:pStyle w:val="ListParagraph"/>
        <w:spacing w:after="0" w:line="266" w:lineRule="auto"/>
        <w:jc w:val="both"/>
        <w:rPr>
          <w:sz w:val="18"/>
        </w:rPr>
        <w:sectPr>
          <w:headerReference w:type="default" r:id="rId13"/>
          <w:pgSz w:w="12240" w:h="15840"/>
          <w:pgMar w:header="690" w:footer="0" w:top="1040" w:bottom="280" w:left="1440" w:right="1440"/>
        </w:sectPr>
      </w:pPr>
    </w:p>
    <w:p>
      <w:pPr>
        <w:pStyle w:val="ListParagraph"/>
        <w:numPr>
          <w:ilvl w:val="2"/>
          <w:numId w:val="1"/>
        </w:numPr>
        <w:tabs>
          <w:tab w:pos="2664" w:val="left" w:leader="none"/>
        </w:tabs>
        <w:spacing w:line="302" w:lineRule="auto" w:before="146"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4"/>
        <w:ind w:left="0"/>
        <w:jc w:val="left"/>
        <w:rPr>
          <w:sz w:val="5"/>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60" w:hRule="atLeast"/>
        </w:trPr>
        <w:tc>
          <w:tcPr>
            <w:tcW w:w="2778" w:type="dxa"/>
            <w:shd w:val="clear" w:color="auto" w:fill="BDBDBD"/>
          </w:tcPr>
          <w:p>
            <w:pPr>
              <w:pStyle w:val="TableParagraph"/>
              <w:spacing w:before="57"/>
              <w:ind w:left="12" w:right="1"/>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57"/>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80" w:hRule="atLeast"/>
        </w:trPr>
        <w:tc>
          <w:tcPr>
            <w:tcW w:w="2778" w:type="dxa"/>
          </w:tcPr>
          <w:p>
            <w:pPr>
              <w:pStyle w:val="TableParagraph"/>
              <w:tabs>
                <w:tab w:pos="1179" w:val="left" w:leader="none"/>
                <w:tab w:pos="2526" w:val="left" w:leader="none"/>
              </w:tabs>
              <w:spacing w:line="340" w:lineRule="auto" w:before="57"/>
              <w:ind w:right="56"/>
              <w:rPr>
                <w:sz w:val="16"/>
              </w:rPr>
            </w:pPr>
            <w:r>
              <w:rPr>
                <w:color w:val="0B0B0B"/>
                <w:spacing w:val="-2"/>
                <w:sz w:val="16"/>
              </w:rPr>
              <w:t>Novena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4126" w:type="dxa"/>
          </w:tcPr>
          <w:p>
            <w:pPr>
              <w:pStyle w:val="TableParagraph"/>
              <w:spacing w:line="340" w:lineRule="auto" w:before="57"/>
              <w:ind w:right="57"/>
              <w:jc w:val="both"/>
              <w:rPr>
                <w:sz w:val="16"/>
              </w:rPr>
            </w:pPr>
            <w:r>
              <w:rPr>
                <w:color w:val="0B0B0B"/>
                <w:sz w:val="16"/>
              </w:rPr>
              <w:t>Publicada en el DOF el 30 de noviembre de 2006, Anexo 26, publicado en el DOF el 7 de diciembre </w:t>
            </w:r>
            <w:r>
              <w:rPr>
                <w:color w:val="0B0B0B"/>
                <w:sz w:val="16"/>
              </w:rPr>
              <w:t>de 2006, con el número de criterio no vinculativo 12/ISR.</w:t>
            </w:r>
          </w:p>
        </w:tc>
      </w:tr>
    </w:tbl>
    <w:p>
      <w:pPr>
        <w:pStyle w:val="BodyText"/>
        <w:spacing w:before="194"/>
        <w:ind w:left="0"/>
        <w:jc w:val="left"/>
      </w:pPr>
    </w:p>
    <w:p>
      <w:pPr>
        <w:pStyle w:val="Heading1"/>
        <w:tabs>
          <w:tab w:pos="2144" w:val="left" w:leader="none"/>
        </w:tabs>
        <w:ind w:left="1137" w:firstLine="0"/>
      </w:pPr>
      <w:r>
        <w:rPr>
          <w:color w:val="0B0B0B"/>
          <w:spacing w:val="-2"/>
        </w:rPr>
        <w:t>2/ISR/PI</w:t>
      </w:r>
      <w:r>
        <w:rPr>
          <w:color w:val="0B0B0B"/>
        </w:rPr>
        <w:tab/>
        <w:t>Enajenación</w:t>
      </w:r>
      <w:r>
        <w:rPr>
          <w:color w:val="0B0B0B"/>
          <w:spacing w:val="-7"/>
        </w:rPr>
        <w:t> </w:t>
      </w:r>
      <w:r>
        <w:rPr>
          <w:color w:val="0B0B0B"/>
        </w:rPr>
        <w:t>de</w:t>
      </w:r>
      <w:r>
        <w:rPr>
          <w:color w:val="0B0B0B"/>
          <w:spacing w:val="-5"/>
        </w:rPr>
        <w:t> </w:t>
      </w:r>
      <w:r>
        <w:rPr>
          <w:color w:val="0B0B0B"/>
        </w:rPr>
        <w:t>bienes</w:t>
      </w:r>
      <w:r>
        <w:rPr>
          <w:color w:val="0B0B0B"/>
          <w:spacing w:val="-4"/>
        </w:rPr>
        <w:t> </w:t>
      </w:r>
      <w:r>
        <w:rPr>
          <w:color w:val="0B0B0B"/>
        </w:rPr>
        <w:t>de</w:t>
      </w:r>
      <w:r>
        <w:rPr>
          <w:color w:val="0B0B0B"/>
          <w:spacing w:val="-5"/>
        </w:rPr>
        <w:t> </w:t>
      </w:r>
      <w:r>
        <w:rPr>
          <w:color w:val="0B0B0B"/>
        </w:rPr>
        <w:t>activo</w:t>
      </w:r>
      <w:r>
        <w:rPr>
          <w:color w:val="0B0B0B"/>
          <w:spacing w:val="-4"/>
        </w:rPr>
        <w:t> </w:t>
      </w:r>
      <w:r>
        <w:rPr>
          <w:color w:val="0B0B0B"/>
          <w:spacing w:val="-2"/>
        </w:rPr>
        <w:t>fijo.</w:t>
      </w:r>
    </w:p>
    <w:p>
      <w:pPr>
        <w:pStyle w:val="BodyText"/>
        <w:spacing w:line="302" w:lineRule="auto" w:before="155"/>
        <w:ind w:right="256"/>
      </w:pPr>
      <w:r>
        <w:rPr>
          <w:color w:val="0B0B0B"/>
        </w:rPr>
        <w:t>El artículo 18, fracción IV de la Ley del ISR, establece que los contribuyentes que enajenen bienes de activo fijo, están obligados a acumular</w:t>
      </w:r>
      <w:r>
        <w:rPr>
          <w:color w:val="0B0B0B"/>
        </w:rPr>
        <w:t> la ganancia derivada de</w:t>
      </w:r>
      <w:r>
        <w:rPr>
          <w:color w:val="0B0B0B"/>
          <w:spacing w:val="40"/>
        </w:rPr>
        <w:t> </w:t>
      </w:r>
      <w:r>
        <w:rPr>
          <w:color w:val="0B0B0B"/>
        </w:rPr>
        <w:t>esa enajenación. Para calcular dicha ganancia, la Ley del ISR establece que esta se determina como la diferencia entre el precio de venta y el monto original de la inversión, disminuido de las cantidades ya deducidas.</w:t>
      </w:r>
      <w:r>
        <w:rPr>
          <w:color w:val="0B0B0B"/>
        </w:rPr>
        <w:t> Lo anterior se desprende específicamente de lo precisado en el artículo 31 de dicha Ley que establece que cuando se enajenen dichos bienes el contribuyente tiene derecho a deducir la parte aún no deducida.</w:t>
      </w:r>
    </w:p>
    <w:p>
      <w:pPr>
        <w:pStyle w:val="BodyText"/>
        <w:spacing w:line="302" w:lineRule="auto" w:before="94"/>
        <w:ind w:right="257"/>
      </w:pPr>
      <w:r>
        <w:rPr>
          <w:color w:val="0B0B0B"/>
        </w:rPr>
        <w:t>Los artículos 27, fracción IV y 105, fracción IV de la Ley del ISR establecen que las deducciones de las personas morales y físicas con actividades empresariales y profesionales requieren estar debidamente registradas en contabilidad y ser restadas una sola vez. El artículo 147, fracción III del citado ordenamiento establece este último requisito,</w:t>
      </w:r>
      <w:r>
        <w:rPr>
          <w:color w:val="0B0B0B"/>
        </w:rPr>
        <w:t> tratándose de las deducciones de las personas físicas del régimen de los ingresos por arrendamiento y en general por otorgar el uso o goce temporal de bienes inmuebles; del régimen de los ingresos por enajenación de bienes y régimen de los ingresos por adquisición de bienes.</w:t>
      </w:r>
    </w:p>
    <w:p>
      <w:pPr>
        <w:pStyle w:val="BodyText"/>
        <w:spacing w:before="9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
        </w:numPr>
        <w:tabs>
          <w:tab w:pos="2664" w:val="left" w:leader="none"/>
        </w:tabs>
        <w:spacing w:line="302" w:lineRule="auto" w:before="154" w:after="0"/>
        <w:ind w:left="2664" w:right="258" w:hanging="504"/>
        <w:jc w:val="both"/>
        <w:rPr>
          <w:sz w:val="18"/>
        </w:rPr>
      </w:pPr>
      <w:r>
        <w:rPr>
          <w:color w:val="0B0B0B"/>
          <w:sz w:val="18"/>
        </w:rPr>
        <w:t>El contribuyente que para la determinación de la utilidad fiscal del ejercicio efectúe</w:t>
      </w:r>
      <w:r>
        <w:rPr>
          <w:color w:val="0B0B0B"/>
          <w:sz w:val="18"/>
        </w:rPr>
        <w:t> la deducción del saldo pendiente de depreciar de aquellos bienes de activo fijo que hubiera enajenado en el ejercicio y por los cuales para el cálculo de la ganancia acumulable por la enajenación de dichos bienes ya hubiera considerado dicha deducción, ya que ello constituye una doble deducción que contraviene lo indicado en los artículos 27, fracción IV, 105, fracción IV y 147, fracción III de la Ley del ISR.</w:t>
      </w:r>
    </w:p>
    <w:p>
      <w:pPr>
        <w:pStyle w:val="ListParagraph"/>
        <w:numPr>
          <w:ilvl w:val="0"/>
          <w:numId w:val="5"/>
        </w:numPr>
        <w:tabs>
          <w:tab w:pos="2664" w:val="left" w:leader="none"/>
        </w:tabs>
        <w:spacing w:line="302" w:lineRule="auto" w:before="95" w:after="0"/>
        <w:ind w:left="2664" w:right="256" w:hanging="504"/>
        <w:jc w:val="both"/>
        <w:rPr>
          <w:sz w:val="18"/>
        </w:rPr>
      </w:pPr>
      <w:r>
        <w:rPr>
          <w:color w:val="0B0B0B"/>
          <w:sz w:val="18"/>
        </w:rPr>
        <w:t>El contribuyente que para la determinación de la utilidad fiscal del ejercicio efectúe</w:t>
      </w:r>
      <w:r>
        <w:rPr>
          <w:color w:val="0B0B0B"/>
          <w:sz w:val="18"/>
        </w:rPr>
        <w:t> la deducción del saldo pendiente de depreciar de aquellos bienes de activo fijo que hubiera enajenado a través de un contrato de arrendamiento financiero en el ejercicio y por los cuales para el cálculo de la ganancia acumulable por la enajenación de dichos bienes ya hubiera considerado dicha deducción, ya que ello constituye una doble deducción que contraviene lo señalado</w:t>
      </w:r>
      <w:r>
        <w:rPr>
          <w:color w:val="0B0B0B"/>
          <w:spacing w:val="-1"/>
          <w:sz w:val="18"/>
        </w:rPr>
        <w:t> </w:t>
      </w:r>
      <w:r>
        <w:rPr>
          <w:color w:val="0B0B0B"/>
          <w:sz w:val="18"/>
        </w:rPr>
        <w:t>en</w:t>
      </w:r>
      <w:r>
        <w:rPr>
          <w:color w:val="0B0B0B"/>
          <w:spacing w:val="-1"/>
          <w:sz w:val="18"/>
        </w:rPr>
        <w:t> </w:t>
      </w:r>
      <w:r>
        <w:rPr>
          <w:color w:val="0B0B0B"/>
          <w:sz w:val="18"/>
        </w:rPr>
        <w:t>los</w:t>
      </w:r>
      <w:r>
        <w:rPr>
          <w:color w:val="0B0B0B"/>
          <w:spacing w:val="-1"/>
          <w:sz w:val="18"/>
        </w:rPr>
        <w:t> </w:t>
      </w:r>
      <w:r>
        <w:rPr>
          <w:color w:val="0B0B0B"/>
          <w:sz w:val="18"/>
        </w:rPr>
        <w:t>artículos</w:t>
      </w:r>
      <w:r>
        <w:rPr>
          <w:color w:val="0B0B0B"/>
          <w:spacing w:val="-1"/>
          <w:sz w:val="18"/>
        </w:rPr>
        <w:t> </w:t>
      </w:r>
      <w:r>
        <w:rPr>
          <w:color w:val="0B0B0B"/>
          <w:sz w:val="18"/>
        </w:rPr>
        <w:t>27,</w:t>
      </w:r>
      <w:r>
        <w:rPr>
          <w:color w:val="0B0B0B"/>
          <w:spacing w:val="-1"/>
          <w:sz w:val="18"/>
        </w:rPr>
        <w:t> </w:t>
      </w:r>
      <w:r>
        <w:rPr>
          <w:color w:val="0B0B0B"/>
          <w:sz w:val="18"/>
        </w:rPr>
        <w:t>fracción</w:t>
      </w:r>
      <w:r>
        <w:rPr>
          <w:color w:val="0B0B0B"/>
          <w:spacing w:val="-1"/>
          <w:sz w:val="18"/>
        </w:rPr>
        <w:t> </w:t>
      </w:r>
      <w:r>
        <w:rPr>
          <w:color w:val="0B0B0B"/>
          <w:sz w:val="18"/>
        </w:rPr>
        <w:t>IV,</w:t>
      </w:r>
      <w:r>
        <w:rPr>
          <w:color w:val="0B0B0B"/>
          <w:spacing w:val="-1"/>
          <w:sz w:val="18"/>
        </w:rPr>
        <w:t> </w:t>
      </w:r>
      <w:r>
        <w:rPr>
          <w:color w:val="0B0B0B"/>
          <w:sz w:val="18"/>
        </w:rPr>
        <w:t>105,</w:t>
      </w:r>
      <w:r>
        <w:rPr>
          <w:color w:val="0B0B0B"/>
          <w:spacing w:val="-1"/>
          <w:sz w:val="18"/>
        </w:rPr>
        <w:t> </w:t>
      </w:r>
      <w:r>
        <w:rPr>
          <w:color w:val="0B0B0B"/>
          <w:sz w:val="18"/>
        </w:rPr>
        <w:t>fracción</w:t>
      </w:r>
      <w:r>
        <w:rPr>
          <w:color w:val="0B0B0B"/>
          <w:spacing w:val="-1"/>
          <w:sz w:val="18"/>
        </w:rPr>
        <w:t> </w:t>
      </w:r>
      <w:r>
        <w:rPr>
          <w:color w:val="0B0B0B"/>
          <w:sz w:val="18"/>
        </w:rPr>
        <w:t>IV</w:t>
      </w:r>
      <w:r>
        <w:rPr>
          <w:color w:val="0B0B0B"/>
          <w:spacing w:val="-1"/>
          <w:sz w:val="18"/>
        </w:rPr>
        <w:t> </w:t>
      </w:r>
      <w:r>
        <w:rPr>
          <w:color w:val="0B0B0B"/>
          <w:sz w:val="18"/>
        </w:rPr>
        <w:t>y</w:t>
      </w:r>
      <w:r>
        <w:rPr>
          <w:color w:val="0B0B0B"/>
          <w:spacing w:val="-2"/>
          <w:sz w:val="18"/>
        </w:rPr>
        <w:t> </w:t>
      </w:r>
      <w:r>
        <w:rPr>
          <w:color w:val="0B0B0B"/>
          <w:sz w:val="18"/>
        </w:rPr>
        <w:t>147,</w:t>
      </w:r>
      <w:r>
        <w:rPr>
          <w:color w:val="0B0B0B"/>
          <w:spacing w:val="-1"/>
          <w:sz w:val="18"/>
        </w:rPr>
        <w:t> </w:t>
      </w:r>
      <w:r>
        <w:rPr>
          <w:color w:val="0B0B0B"/>
          <w:sz w:val="18"/>
        </w:rPr>
        <w:t>fracción</w:t>
      </w:r>
      <w:r>
        <w:rPr>
          <w:color w:val="0B0B0B"/>
          <w:spacing w:val="-1"/>
          <w:sz w:val="18"/>
        </w:rPr>
        <w:t> </w:t>
      </w:r>
      <w:r>
        <w:rPr>
          <w:color w:val="0B0B0B"/>
          <w:sz w:val="18"/>
        </w:rPr>
        <w:t>III</w:t>
      </w:r>
      <w:r>
        <w:rPr>
          <w:color w:val="0B0B0B"/>
          <w:spacing w:val="-1"/>
          <w:sz w:val="18"/>
        </w:rPr>
        <w:t> </w:t>
      </w:r>
      <w:r>
        <w:rPr>
          <w:color w:val="0B0B0B"/>
          <w:sz w:val="18"/>
        </w:rPr>
        <w:t>de</w:t>
      </w:r>
      <w:r>
        <w:rPr>
          <w:color w:val="0B0B0B"/>
          <w:spacing w:val="-1"/>
          <w:sz w:val="18"/>
        </w:rPr>
        <w:t> </w:t>
      </w:r>
      <w:r>
        <w:rPr>
          <w:color w:val="0B0B0B"/>
          <w:sz w:val="18"/>
        </w:rPr>
        <w:t>la Ley del ISR.</w:t>
      </w:r>
    </w:p>
    <w:p>
      <w:pPr>
        <w:pStyle w:val="ListParagraph"/>
        <w:numPr>
          <w:ilvl w:val="0"/>
          <w:numId w:val="5"/>
        </w:numPr>
        <w:tabs>
          <w:tab w:pos="2662" w:val="left" w:leader="none"/>
          <w:tab w:pos="2664" w:val="left" w:leader="none"/>
        </w:tabs>
        <w:spacing w:line="302" w:lineRule="auto" w:before="95"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2"/>
        <w:ind w:left="0"/>
        <w:jc w:val="left"/>
        <w:rPr>
          <w:sz w:val="5"/>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61" w:hRule="atLeast"/>
        </w:trPr>
        <w:tc>
          <w:tcPr>
            <w:tcW w:w="2760" w:type="dxa"/>
            <w:shd w:val="clear" w:color="auto" w:fill="BDBDBD"/>
          </w:tcPr>
          <w:p>
            <w:pPr>
              <w:pStyle w:val="TableParagraph"/>
              <w:spacing w:before="58"/>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58"/>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80" w:hRule="atLeast"/>
        </w:trPr>
        <w:tc>
          <w:tcPr>
            <w:tcW w:w="2760" w:type="dxa"/>
          </w:tcPr>
          <w:p>
            <w:pPr>
              <w:pStyle w:val="TableParagraph"/>
              <w:tabs>
                <w:tab w:pos="1169" w:val="left" w:leader="none"/>
                <w:tab w:pos="2509" w:val="left" w:leader="none"/>
              </w:tabs>
              <w:spacing w:line="340" w:lineRule="auto" w:before="57"/>
              <w:ind w:right="56"/>
              <w:rPr>
                <w:sz w:val="16"/>
              </w:rPr>
            </w:pPr>
            <w:r>
              <w:rPr>
                <w:color w:val="0B0B0B"/>
                <w:spacing w:val="-2"/>
                <w:sz w:val="16"/>
              </w:rPr>
              <w:t>Novena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4126" w:type="dxa"/>
          </w:tcPr>
          <w:p>
            <w:pPr>
              <w:pStyle w:val="TableParagraph"/>
              <w:spacing w:line="340" w:lineRule="auto" w:before="57"/>
              <w:ind w:right="57"/>
              <w:jc w:val="both"/>
              <w:rPr>
                <w:sz w:val="16"/>
              </w:rPr>
            </w:pPr>
            <w:r>
              <w:rPr>
                <w:color w:val="0B0B0B"/>
                <w:sz w:val="16"/>
              </w:rPr>
              <w:t>Publicada en el DOF el 30 de noviembre de 2006, Anexo 26, publicado en el DOF el 7 de diciembre </w:t>
            </w:r>
            <w:r>
              <w:rPr>
                <w:color w:val="0B0B0B"/>
                <w:sz w:val="16"/>
              </w:rPr>
              <w:t>de </w:t>
            </w:r>
            <w:r>
              <w:rPr>
                <w:color w:val="0B0B0B"/>
                <w:spacing w:val="-2"/>
                <w:sz w:val="16"/>
              </w:rPr>
              <w:t>2006.</w:t>
            </w:r>
          </w:p>
        </w:tc>
      </w:tr>
    </w:tbl>
    <w:p>
      <w:pPr>
        <w:pStyle w:val="TableParagraph"/>
        <w:spacing w:after="0" w:line="340" w:lineRule="auto"/>
        <w:jc w:val="both"/>
        <w:rPr>
          <w:sz w:val="16"/>
        </w:rPr>
        <w:sectPr>
          <w:headerReference w:type="default" r:id="rId14"/>
          <w:pgSz w:w="12240" w:h="15840"/>
          <w:pgMar w:header="690" w:footer="0" w:top="1040" w:bottom="280" w:left="1440" w:right="1440"/>
        </w:sectPr>
      </w:pPr>
    </w:p>
    <w:p>
      <w:pPr>
        <w:pStyle w:val="Heading1"/>
        <w:tabs>
          <w:tab w:pos="2145" w:val="left" w:leader="none"/>
        </w:tabs>
        <w:spacing w:line="249" w:lineRule="auto" w:before="112"/>
        <w:ind w:right="257"/>
      </w:pPr>
      <w:r>
        <w:rPr>
          <w:color w:val="0B0B0B"/>
          <w:spacing w:val="-2"/>
        </w:rPr>
        <w:t>3/ISR/PI</w:t>
      </w:r>
      <w:r>
        <w:rPr>
          <w:color w:val="0B0B0B"/>
        </w:rPr>
        <w:tab/>
        <w:t>Reservas</w:t>
      </w:r>
      <w:r>
        <w:rPr>
          <w:color w:val="0B0B0B"/>
          <w:spacing w:val="40"/>
        </w:rPr>
        <w:t> </w:t>
      </w:r>
      <w:r>
        <w:rPr>
          <w:color w:val="0B0B0B"/>
        </w:rPr>
        <w:t>para</w:t>
      </w:r>
      <w:r>
        <w:rPr>
          <w:color w:val="0B0B0B"/>
          <w:spacing w:val="40"/>
        </w:rPr>
        <w:t> </w:t>
      </w:r>
      <w:r>
        <w:rPr>
          <w:color w:val="0B0B0B"/>
        </w:rPr>
        <w:t>fondos</w:t>
      </w:r>
      <w:r>
        <w:rPr>
          <w:color w:val="0B0B0B"/>
          <w:spacing w:val="40"/>
        </w:rPr>
        <w:t> </w:t>
      </w:r>
      <w:r>
        <w:rPr>
          <w:color w:val="0B0B0B"/>
        </w:rPr>
        <w:t>de</w:t>
      </w:r>
      <w:r>
        <w:rPr>
          <w:color w:val="0B0B0B"/>
          <w:spacing w:val="40"/>
        </w:rPr>
        <w:t> </w:t>
      </w:r>
      <w:r>
        <w:rPr>
          <w:color w:val="0B0B0B"/>
        </w:rPr>
        <w:t>pensiones</w:t>
      </w:r>
      <w:r>
        <w:rPr>
          <w:color w:val="0B0B0B"/>
          <w:spacing w:val="40"/>
        </w:rPr>
        <w:t> </w:t>
      </w:r>
      <w:r>
        <w:rPr>
          <w:color w:val="0B0B0B"/>
        </w:rPr>
        <w:t>o</w:t>
      </w:r>
      <w:r>
        <w:rPr>
          <w:color w:val="0B0B0B"/>
          <w:spacing w:val="40"/>
        </w:rPr>
        <w:t> </w:t>
      </w:r>
      <w:r>
        <w:rPr>
          <w:color w:val="0B0B0B"/>
        </w:rPr>
        <w:t>jubilaciones.</w:t>
      </w:r>
      <w:r>
        <w:rPr>
          <w:color w:val="0B0B0B"/>
          <w:spacing w:val="40"/>
        </w:rPr>
        <w:t> </w:t>
      </w:r>
      <w:r>
        <w:rPr>
          <w:color w:val="0B0B0B"/>
        </w:rPr>
        <w:t>No</w:t>
      </w:r>
      <w:r>
        <w:rPr>
          <w:color w:val="0B0B0B"/>
          <w:spacing w:val="40"/>
        </w:rPr>
        <w:t> </w:t>
      </w:r>
      <w:r>
        <w:rPr>
          <w:color w:val="0B0B0B"/>
        </w:rPr>
        <w:t>son</w:t>
      </w:r>
      <w:r>
        <w:rPr>
          <w:color w:val="0B0B0B"/>
          <w:spacing w:val="40"/>
        </w:rPr>
        <w:t> </w:t>
      </w:r>
      <w:r>
        <w:rPr>
          <w:color w:val="0B0B0B"/>
        </w:rPr>
        <w:t>deducibles</w:t>
      </w:r>
      <w:r>
        <w:rPr>
          <w:color w:val="0B0B0B"/>
          <w:spacing w:val="40"/>
        </w:rPr>
        <w:t> </w:t>
      </w:r>
      <w:r>
        <w:rPr>
          <w:color w:val="0B0B0B"/>
        </w:rPr>
        <w:t>los intereses derivados de la inversión o reinversión de los fondos.</w:t>
      </w:r>
    </w:p>
    <w:p>
      <w:pPr>
        <w:pStyle w:val="BodyText"/>
        <w:spacing w:line="249" w:lineRule="auto" w:before="91"/>
        <w:ind w:right="255"/>
      </w:pPr>
      <w:r>
        <w:rPr>
          <w:color w:val="0B0B0B"/>
        </w:rPr>
        <w:t>De conformidad con el artículo 29 de la Ley del ISR y 35 de su Reglamento,</w:t>
      </w:r>
      <w:r>
        <w:rPr>
          <w:color w:val="0B0B0B"/>
        </w:rPr>
        <w:t> los intereses derivados de la inversión o reinversión de los fondos destinados a la</w:t>
      </w:r>
      <w:r>
        <w:rPr>
          <w:color w:val="0B0B0B"/>
          <w:spacing w:val="40"/>
        </w:rPr>
        <w:t> </w:t>
      </w:r>
      <w:r>
        <w:rPr>
          <w:color w:val="0B0B0B"/>
        </w:rPr>
        <w:t>creación o incremento de reservas para el otorgamiento de pensiones o jubilaciones del</w:t>
      </w:r>
      <w:r>
        <w:rPr>
          <w:color w:val="0B0B0B"/>
          <w:spacing w:val="-3"/>
        </w:rPr>
        <w:t> </w:t>
      </w:r>
      <w:r>
        <w:rPr>
          <w:color w:val="0B0B0B"/>
        </w:rPr>
        <w:t>personal,</w:t>
      </w:r>
      <w:r>
        <w:rPr>
          <w:color w:val="0B0B0B"/>
          <w:spacing w:val="-3"/>
        </w:rPr>
        <w:t> </w:t>
      </w:r>
      <w:r>
        <w:rPr>
          <w:color w:val="0B0B0B"/>
        </w:rPr>
        <w:t>complementarias</w:t>
      </w:r>
      <w:r>
        <w:rPr>
          <w:color w:val="0B0B0B"/>
          <w:spacing w:val="-3"/>
        </w:rPr>
        <w:t> </w:t>
      </w:r>
      <w:r>
        <w:rPr>
          <w:color w:val="0B0B0B"/>
        </w:rPr>
        <w:t>a</w:t>
      </w:r>
      <w:r>
        <w:rPr>
          <w:color w:val="0B0B0B"/>
          <w:spacing w:val="-3"/>
        </w:rPr>
        <w:t> </w:t>
      </w:r>
      <w:r>
        <w:rPr>
          <w:color w:val="0B0B0B"/>
        </w:rPr>
        <w:t>las</w:t>
      </w:r>
      <w:r>
        <w:rPr>
          <w:color w:val="0B0B0B"/>
          <w:spacing w:val="-3"/>
        </w:rPr>
        <w:t> </w:t>
      </w:r>
      <w:r>
        <w:rPr>
          <w:color w:val="0B0B0B"/>
        </w:rPr>
        <w:t>previstas</w:t>
      </w:r>
      <w:r>
        <w:rPr>
          <w:color w:val="0B0B0B"/>
          <w:spacing w:val="-3"/>
        </w:rPr>
        <w:t> </w:t>
      </w:r>
      <w:r>
        <w:rPr>
          <w:color w:val="0B0B0B"/>
        </w:rPr>
        <w:t>en</w:t>
      </w:r>
      <w:r>
        <w:rPr>
          <w:color w:val="0B0B0B"/>
          <w:spacing w:val="-3"/>
        </w:rPr>
        <w:t> </w:t>
      </w:r>
      <w:r>
        <w:rPr>
          <w:color w:val="0B0B0B"/>
        </w:rPr>
        <w:t>la</w:t>
      </w:r>
      <w:r>
        <w:rPr>
          <w:color w:val="0B0B0B"/>
          <w:spacing w:val="-3"/>
        </w:rPr>
        <w:t> </w:t>
      </w:r>
      <w:r>
        <w:rPr>
          <w:color w:val="0B0B0B"/>
        </w:rPr>
        <w:t>LSS</w:t>
      </w:r>
      <w:r>
        <w:rPr>
          <w:color w:val="0B0B0B"/>
          <w:spacing w:val="-2"/>
        </w:rPr>
        <w:t> </w:t>
      </w:r>
      <w:r>
        <w:rPr>
          <w:color w:val="0B0B0B"/>
        </w:rPr>
        <w:t>y</w:t>
      </w:r>
      <w:r>
        <w:rPr>
          <w:color w:val="0B0B0B"/>
          <w:spacing w:val="-3"/>
        </w:rPr>
        <w:t> </w:t>
      </w:r>
      <w:r>
        <w:rPr>
          <w:color w:val="0B0B0B"/>
        </w:rPr>
        <w:t>de</w:t>
      </w:r>
      <w:r>
        <w:rPr>
          <w:color w:val="0B0B0B"/>
          <w:spacing w:val="-3"/>
        </w:rPr>
        <w:t> </w:t>
      </w:r>
      <w:r>
        <w:rPr>
          <w:color w:val="0B0B0B"/>
        </w:rPr>
        <w:t>primas</w:t>
      </w:r>
      <w:r>
        <w:rPr>
          <w:color w:val="0B0B0B"/>
          <w:spacing w:val="-3"/>
        </w:rPr>
        <w:t> </w:t>
      </w:r>
      <w:r>
        <w:rPr>
          <w:color w:val="0B0B0B"/>
        </w:rPr>
        <w:t>de</w:t>
      </w:r>
      <w:r>
        <w:rPr>
          <w:color w:val="0B0B0B"/>
          <w:spacing w:val="-3"/>
        </w:rPr>
        <w:t> </w:t>
      </w:r>
      <w:r>
        <w:rPr>
          <w:color w:val="0B0B0B"/>
        </w:rPr>
        <w:t>antigüedad,</w:t>
      </w:r>
      <w:r>
        <w:rPr>
          <w:color w:val="0B0B0B"/>
          <w:spacing w:val="-3"/>
        </w:rPr>
        <w:t> </w:t>
      </w:r>
      <w:r>
        <w:rPr>
          <w:color w:val="0B0B0B"/>
        </w:rPr>
        <w:t>no son deducibles para el contribuyente (fideicomitente).</w:t>
      </w:r>
    </w:p>
    <w:p>
      <w:pPr>
        <w:pStyle w:val="BodyText"/>
        <w:spacing w:line="249" w:lineRule="auto" w:before="94"/>
        <w:ind w:right="257"/>
      </w:pPr>
      <w:r>
        <w:rPr>
          <w:color w:val="0B0B0B"/>
        </w:rPr>
        <w:t>Toda vez, que dicho fideicomitente a través del fideicomiso constituye un patrimonio autónomo,</w:t>
      </w:r>
      <w:r>
        <w:rPr>
          <w:color w:val="0B0B0B"/>
        </w:rPr>
        <w:t> en virtud de que los bienes entregados salen de su patrimonio y su titularidad</w:t>
      </w:r>
      <w:r>
        <w:rPr>
          <w:color w:val="0B0B0B"/>
          <w:spacing w:val="-1"/>
        </w:rPr>
        <w:t> </w:t>
      </w:r>
      <w:r>
        <w:rPr>
          <w:color w:val="0B0B0B"/>
        </w:rPr>
        <w:t>se</w:t>
      </w:r>
      <w:r>
        <w:rPr>
          <w:color w:val="0B0B0B"/>
          <w:spacing w:val="-1"/>
        </w:rPr>
        <w:t> </w:t>
      </w:r>
      <w:r>
        <w:rPr>
          <w:color w:val="0B0B0B"/>
        </w:rPr>
        <w:t>atribuye al</w:t>
      </w:r>
      <w:r>
        <w:rPr>
          <w:color w:val="0B0B0B"/>
          <w:spacing w:val="-1"/>
        </w:rPr>
        <w:t> </w:t>
      </w:r>
      <w:r>
        <w:rPr>
          <w:color w:val="0B0B0B"/>
        </w:rPr>
        <w:t>fiduciario,</w:t>
      </w:r>
      <w:r>
        <w:rPr>
          <w:color w:val="0B0B0B"/>
          <w:spacing w:val="-1"/>
        </w:rPr>
        <w:t> </w:t>
      </w:r>
      <w:r>
        <w:rPr>
          <w:color w:val="0B0B0B"/>
        </w:rPr>
        <w:t>para</w:t>
      </w:r>
      <w:r>
        <w:rPr>
          <w:color w:val="0B0B0B"/>
          <w:spacing w:val="-1"/>
        </w:rPr>
        <w:t> </w:t>
      </w:r>
      <w:r>
        <w:rPr>
          <w:color w:val="0B0B0B"/>
        </w:rPr>
        <w:t>la</w:t>
      </w:r>
      <w:r>
        <w:rPr>
          <w:color w:val="0B0B0B"/>
          <w:spacing w:val="-1"/>
        </w:rPr>
        <w:t> </w:t>
      </w:r>
      <w:r>
        <w:rPr>
          <w:color w:val="0B0B0B"/>
        </w:rPr>
        <w:t>realización</w:t>
      </w:r>
      <w:r>
        <w:rPr>
          <w:color w:val="0B0B0B"/>
          <w:spacing w:val="-1"/>
        </w:rPr>
        <w:t> </w:t>
      </w:r>
      <w:r>
        <w:rPr>
          <w:color w:val="0B0B0B"/>
        </w:rPr>
        <w:t>de</w:t>
      </w:r>
      <w:r>
        <w:rPr>
          <w:color w:val="0B0B0B"/>
          <w:spacing w:val="-1"/>
        </w:rPr>
        <w:t> </w:t>
      </w:r>
      <w:r>
        <w:rPr>
          <w:color w:val="0B0B0B"/>
        </w:rPr>
        <w:t>un fin</w:t>
      </w:r>
      <w:r>
        <w:rPr>
          <w:color w:val="0B0B0B"/>
          <w:spacing w:val="-1"/>
        </w:rPr>
        <w:t> </w:t>
      </w:r>
      <w:r>
        <w:rPr>
          <w:color w:val="0B0B0B"/>
        </w:rPr>
        <w:t>determinado,</w:t>
      </w:r>
      <w:r>
        <w:rPr>
          <w:color w:val="0B0B0B"/>
          <w:spacing w:val="-1"/>
        </w:rPr>
        <w:t> </w:t>
      </w:r>
      <w:r>
        <w:rPr>
          <w:color w:val="0B0B0B"/>
        </w:rPr>
        <w:t>por</w:t>
      </w:r>
      <w:r>
        <w:rPr>
          <w:color w:val="0B0B0B"/>
          <w:spacing w:val="-1"/>
        </w:rPr>
        <w:t> </w:t>
      </w:r>
      <w:r>
        <w:rPr>
          <w:color w:val="0B0B0B"/>
        </w:rPr>
        <w:t>lo</w:t>
      </w:r>
      <w:r>
        <w:rPr>
          <w:color w:val="0B0B0B"/>
          <w:spacing w:val="-1"/>
        </w:rPr>
        <w:t> </w:t>
      </w:r>
      <w:r>
        <w:rPr>
          <w:color w:val="0B0B0B"/>
        </w:rPr>
        <w:t>que en ese supuesto los intereses de que se trata ya no afectan de manera positiva o negativa el patrimonio del fideicomitente,</w:t>
      </w:r>
      <w:r>
        <w:rPr>
          <w:color w:val="0B0B0B"/>
        </w:rPr>
        <w:t> máxime</w:t>
      </w:r>
      <w:r>
        <w:rPr>
          <w:color w:val="0B0B0B"/>
        </w:rPr>
        <w:t> que no derivan de una erogación</w:t>
      </w:r>
      <w:r>
        <w:rPr>
          <w:color w:val="0B0B0B"/>
          <w:spacing w:val="40"/>
        </w:rPr>
        <w:t> </w:t>
      </w:r>
      <w:r>
        <w:rPr>
          <w:color w:val="0B0B0B"/>
        </w:rPr>
        <w:t>que él hubiere hecho.</w:t>
      </w:r>
    </w:p>
    <w:p>
      <w:pPr>
        <w:pStyle w:val="BodyText"/>
        <w:spacing w:before="9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
        </w:numPr>
        <w:tabs>
          <w:tab w:pos="2664" w:val="left" w:leader="none"/>
        </w:tabs>
        <w:spacing w:line="249" w:lineRule="auto" w:before="99" w:after="0"/>
        <w:ind w:left="2664" w:right="258" w:hanging="504"/>
        <w:jc w:val="both"/>
        <w:rPr>
          <w:sz w:val="18"/>
        </w:rPr>
      </w:pPr>
      <w:r>
        <w:rPr>
          <w:color w:val="0B0B0B"/>
          <w:sz w:val="18"/>
        </w:rPr>
        <w:t>El fideicomitente que deduzca los intereses</w:t>
      </w:r>
      <w:r>
        <w:rPr>
          <w:color w:val="0B0B0B"/>
          <w:sz w:val="18"/>
        </w:rPr>
        <w:t> derivados de la inversión o reinversión de los fondos destinados para la creación o incremento de reservas para</w:t>
      </w:r>
      <w:r>
        <w:rPr>
          <w:color w:val="0B0B0B"/>
          <w:spacing w:val="-2"/>
          <w:sz w:val="18"/>
        </w:rPr>
        <w:t> </w:t>
      </w:r>
      <w:r>
        <w:rPr>
          <w:color w:val="0B0B0B"/>
          <w:sz w:val="18"/>
        </w:rPr>
        <w:t>el</w:t>
      </w:r>
      <w:r>
        <w:rPr>
          <w:color w:val="0B0B0B"/>
          <w:spacing w:val="-2"/>
          <w:sz w:val="18"/>
        </w:rPr>
        <w:t> </w:t>
      </w:r>
      <w:r>
        <w:rPr>
          <w:color w:val="0B0B0B"/>
          <w:sz w:val="18"/>
        </w:rPr>
        <w:t>otorgamiento</w:t>
      </w:r>
      <w:r>
        <w:rPr>
          <w:color w:val="0B0B0B"/>
          <w:spacing w:val="-2"/>
          <w:sz w:val="18"/>
        </w:rPr>
        <w:t> </w:t>
      </w:r>
      <w:r>
        <w:rPr>
          <w:color w:val="0B0B0B"/>
          <w:sz w:val="18"/>
        </w:rPr>
        <w:t>de</w:t>
      </w:r>
      <w:r>
        <w:rPr>
          <w:color w:val="0B0B0B"/>
          <w:spacing w:val="-2"/>
          <w:sz w:val="18"/>
        </w:rPr>
        <w:t> </w:t>
      </w:r>
      <w:r>
        <w:rPr>
          <w:color w:val="0B0B0B"/>
          <w:sz w:val="18"/>
        </w:rPr>
        <w:t>pensiones</w:t>
      </w:r>
      <w:r>
        <w:rPr>
          <w:color w:val="0B0B0B"/>
          <w:spacing w:val="-2"/>
          <w:sz w:val="18"/>
        </w:rPr>
        <w:t> </w:t>
      </w:r>
      <w:r>
        <w:rPr>
          <w:color w:val="0B0B0B"/>
          <w:sz w:val="18"/>
        </w:rPr>
        <w:t>o</w:t>
      </w:r>
      <w:r>
        <w:rPr>
          <w:color w:val="0B0B0B"/>
          <w:spacing w:val="-2"/>
          <w:sz w:val="18"/>
        </w:rPr>
        <w:t> </w:t>
      </w:r>
      <w:r>
        <w:rPr>
          <w:color w:val="0B0B0B"/>
          <w:sz w:val="18"/>
        </w:rPr>
        <w:t>jubilaciones</w:t>
      </w:r>
      <w:r>
        <w:rPr>
          <w:color w:val="0B0B0B"/>
          <w:spacing w:val="-2"/>
          <w:sz w:val="18"/>
        </w:rPr>
        <w:t> </w:t>
      </w:r>
      <w:r>
        <w:rPr>
          <w:color w:val="0B0B0B"/>
          <w:sz w:val="18"/>
        </w:rPr>
        <w:t>del</w:t>
      </w:r>
      <w:r>
        <w:rPr>
          <w:color w:val="0B0B0B"/>
          <w:spacing w:val="-2"/>
          <w:sz w:val="18"/>
        </w:rPr>
        <w:t> </w:t>
      </w:r>
      <w:r>
        <w:rPr>
          <w:color w:val="0B0B0B"/>
          <w:sz w:val="18"/>
        </w:rPr>
        <w:t>personal,</w:t>
      </w:r>
      <w:r>
        <w:rPr>
          <w:color w:val="0B0B0B"/>
          <w:spacing w:val="-2"/>
          <w:sz w:val="18"/>
        </w:rPr>
        <w:t> </w:t>
      </w:r>
      <w:r>
        <w:rPr>
          <w:color w:val="0B0B0B"/>
          <w:sz w:val="18"/>
        </w:rPr>
        <w:t>complementarias a las previstas en la LSS y de primas de antigüedad.</w:t>
      </w:r>
    </w:p>
    <w:p>
      <w:pPr>
        <w:pStyle w:val="ListParagraph"/>
        <w:numPr>
          <w:ilvl w:val="0"/>
          <w:numId w:val="6"/>
        </w:numPr>
        <w:tabs>
          <w:tab w:pos="2664" w:val="left" w:leader="none"/>
        </w:tabs>
        <w:spacing w:line="249" w:lineRule="auto" w:before="93"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7"/>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84"/>
        <w:gridCol w:w="3901"/>
      </w:tblGrid>
      <w:tr>
        <w:trPr>
          <w:trHeight w:val="306" w:hRule="atLeast"/>
        </w:trPr>
        <w:tc>
          <w:tcPr>
            <w:tcW w:w="2984" w:type="dxa"/>
            <w:shd w:val="clear" w:color="auto" w:fill="BDBDBD"/>
          </w:tcPr>
          <w:p>
            <w:pPr>
              <w:pStyle w:val="TableParagraph"/>
              <w:ind w:left="12"/>
              <w:jc w:val="center"/>
              <w:rPr>
                <w:rFonts w:ascii="Arial"/>
                <w:b/>
                <w:sz w:val="16"/>
              </w:rPr>
            </w:pPr>
            <w:r>
              <w:rPr>
                <w:rFonts w:ascii="Arial"/>
                <w:b/>
                <w:color w:val="0B0B0B"/>
                <w:spacing w:val="-2"/>
                <w:sz w:val="16"/>
              </w:rPr>
              <w:t>Origen</w:t>
            </w:r>
          </w:p>
        </w:tc>
        <w:tc>
          <w:tcPr>
            <w:tcW w:w="3901" w:type="dxa"/>
            <w:shd w:val="clear" w:color="auto" w:fill="BDBDBD"/>
          </w:tcPr>
          <w:p>
            <w:pPr>
              <w:pStyle w:val="TableParagraph"/>
              <w:ind w:left="12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7" w:hRule="atLeast"/>
        </w:trPr>
        <w:tc>
          <w:tcPr>
            <w:tcW w:w="2984" w:type="dxa"/>
          </w:tcPr>
          <w:p>
            <w:pPr>
              <w:pStyle w:val="TableParagraph"/>
              <w:spacing w:line="280" w:lineRule="auto" w:before="22"/>
              <w:ind w:right="26"/>
              <w:rPr>
                <w:sz w:val="16"/>
              </w:rPr>
            </w:pPr>
            <w:r>
              <w:rPr>
                <w:color w:val="0B0B0B"/>
                <w:sz w:val="16"/>
              </w:rPr>
              <w:t>Novena</w:t>
            </w:r>
            <w:r>
              <w:rPr>
                <w:color w:val="0B0B0B"/>
                <w:spacing w:val="30"/>
                <w:sz w:val="16"/>
              </w:rPr>
              <w:t> </w:t>
            </w:r>
            <w:r>
              <w:rPr>
                <w:color w:val="0B0B0B"/>
                <w:sz w:val="16"/>
              </w:rPr>
              <w:t>Resolución</w:t>
            </w:r>
            <w:r>
              <w:rPr>
                <w:color w:val="0B0B0B"/>
                <w:spacing w:val="30"/>
                <w:sz w:val="16"/>
              </w:rPr>
              <w:t> </w:t>
            </w:r>
            <w:r>
              <w:rPr>
                <w:color w:val="0B0B0B"/>
                <w:sz w:val="16"/>
              </w:rPr>
              <w:t>de</w:t>
            </w:r>
            <w:r>
              <w:rPr>
                <w:color w:val="0B0B0B"/>
                <w:spacing w:val="30"/>
                <w:sz w:val="16"/>
              </w:rPr>
              <w:t> </w:t>
            </w:r>
            <w:r>
              <w:rPr>
                <w:color w:val="0B0B0B"/>
                <w:sz w:val="16"/>
              </w:rPr>
              <w:t>Modificaciones a la RMF para 2006</w:t>
            </w:r>
          </w:p>
        </w:tc>
        <w:tc>
          <w:tcPr>
            <w:tcW w:w="3901" w:type="dxa"/>
          </w:tcPr>
          <w:p>
            <w:pPr>
              <w:pStyle w:val="TableParagraph"/>
              <w:spacing w:line="280" w:lineRule="auto" w:before="22"/>
              <w:ind w:left="72" w:right="56"/>
              <w:jc w:val="both"/>
              <w:rPr>
                <w:sz w:val="16"/>
              </w:rPr>
            </w:pPr>
            <w:r>
              <w:rPr>
                <w:color w:val="0B0B0B"/>
                <w:sz w:val="16"/>
              </w:rPr>
              <w:t>Publicada en el DOF el 30 de noviembre de 2006, Anexo 26, publicado en el DOF el 7 de diciembre de 2006, con el número de criterio no vinculativo 4/ISR.</w:t>
            </w:r>
          </w:p>
        </w:tc>
      </w:tr>
    </w:tbl>
    <w:p>
      <w:pPr>
        <w:pStyle w:val="BodyText"/>
        <w:spacing w:before="104"/>
        <w:ind w:left="0"/>
        <w:jc w:val="left"/>
      </w:pPr>
    </w:p>
    <w:p>
      <w:pPr>
        <w:pStyle w:val="Heading1"/>
        <w:tabs>
          <w:tab w:pos="2144" w:val="left" w:leader="none"/>
        </w:tabs>
        <w:spacing w:line="249" w:lineRule="auto"/>
        <w:ind w:right="257"/>
      </w:pPr>
      <w:r>
        <w:rPr>
          <w:color w:val="0B0B0B"/>
          <w:spacing w:val="-2"/>
        </w:rPr>
        <w:t>4/ISR/PI</w:t>
      </w:r>
      <w:r>
        <w:rPr>
          <w:color w:val="0B0B0B"/>
        </w:rPr>
        <w:tab/>
        <w:t>Regalías</w:t>
      </w:r>
      <w:r>
        <w:rPr>
          <w:color w:val="0B0B0B"/>
          <w:spacing w:val="78"/>
        </w:rPr>
        <w:t> </w:t>
      </w:r>
      <w:r>
        <w:rPr>
          <w:color w:val="0B0B0B"/>
        </w:rPr>
        <w:t>por</w:t>
      </w:r>
      <w:r>
        <w:rPr>
          <w:color w:val="0B0B0B"/>
          <w:spacing w:val="78"/>
        </w:rPr>
        <w:t> </w:t>
      </w:r>
      <w:r>
        <w:rPr>
          <w:color w:val="0B0B0B"/>
        </w:rPr>
        <w:t>activos</w:t>
      </w:r>
      <w:r>
        <w:rPr>
          <w:color w:val="0B0B0B"/>
          <w:spacing w:val="78"/>
        </w:rPr>
        <w:t> </w:t>
      </w:r>
      <w:r>
        <w:rPr>
          <w:color w:val="0B0B0B"/>
        </w:rPr>
        <w:t>intangibles</w:t>
      </w:r>
      <w:r>
        <w:rPr>
          <w:color w:val="0B0B0B"/>
          <w:spacing w:val="78"/>
        </w:rPr>
        <w:t> </w:t>
      </w:r>
      <w:r>
        <w:rPr>
          <w:color w:val="0B0B0B"/>
        </w:rPr>
        <w:t>originados</w:t>
      </w:r>
      <w:r>
        <w:rPr>
          <w:color w:val="0B0B0B"/>
          <w:spacing w:val="78"/>
        </w:rPr>
        <w:t> </w:t>
      </w:r>
      <w:r>
        <w:rPr>
          <w:color w:val="0B0B0B"/>
        </w:rPr>
        <w:t>en</w:t>
      </w:r>
      <w:r>
        <w:rPr>
          <w:color w:val="0B0B0B"/>
          <w:spacing w:val="78"/>
        </w:rPr>
        <w:t> </w:t>
      </w:r>
      <w:r>
        <w:rPr>
          <w:color w:val="0B0B0B"/>
        </w:rPr>
        <w:t>México,</w:t>
      </w:r>
      <w:r>
        <w:rPr>
          <w:color w:val="0B0B0B"/>
          <w:spacing w:val="78"/>
        </w:rPr>
        <w:t> </w:t>
      </w:r>
      <w:r>
        <w:rPr>
          <w:color w:val="0B0B0B"/>
        </w:rPr>
        <w:t>pagadas</w:t>
      </w:r>
      <w:r>
        <w:rPr>
          <w:color w:val="0B0B0B"/>
          <w:spacing w:val="78"/>
        </w:rPr>
        <w:t> </w:t>
      </w:r>
      <w:r>
        <w:rPr>
          <w:color w:val="0B0B0B"/>
        </w:rPr>
        <w:t>a</w:t>
      </w:r>
      <w:r>
        <w:rPr>
          <w:color w:val="0B0B0B"/>
          <w:spacing w:val="78"/>
        </w:rPr>
        <w:t> </w:t>
      </w:r>
      <w:r>
        <w:rPr>
          <w:color w:val="0B0B0B"/>
        </w:rPr>
        <w:t>partes relacionadas residentes en el extranjero.</w:t>
      </w:r>
    </w:p>
    <w:p>
      <w:pPr>
        <w:pStyle w:val="BodyText"/>
        <w:spacing w:line="249" w:lineRule="auto" w:before="92"/>
        <w:ind w:right="257"/>
      </w:pPr>
      <w:r>
        <w:rPr>
          <w:color w:val="0B0B0B"/>
        </w:rPr>
        <w:t>Los artículos 27 y 105 de la Ley del ISR, establecen los requisitos que deben cumplir las deducciones autorizadas y los casos específicos en que deben otorgarse, tratándose de personas morales y personas físicas con actividades empresariales y </w:t>
      </w:r>
      <w:r>
        <w:rPr>
          <w:color w:val="0B0B0B"/>
          <w:spacing w:val="-2"/>
        </w:rPr>
        <w:t>profesionales.</w:t>
      </w:r>
    </w:p>
    <w:p>
      <w:pPr>
        <w:pStyle w:val="BodyText"/>
        <w:spacing w:before="93"/>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7"/>
        </w:numPr>
        <w:tabs>
          <w:tab w:pos="2664" w:val="left" w:leader="none"/>
        </w:tabs>
        <w:spacing w:line="249" w:lineRule="auto" w:before="99" w:after="0"/>
        <w:ind w:left="2664" w:right="254" w:hanging="504"/>
        <w:jc w:val="both"/>
        <w:rPr>
          <w:sz w:val="18"/>
        </w:rPr>
      </w:pPr>
      <w:r>
        <w:rPr>
          <w:color w:val="0B0B0B"/>
          <w:sz w:val="18"/>
        </w:rPr>
        <w:t>Deducir las regalías pagadas a partes relacionadas residentes en el extranjero por</w:t>
      </w:r>
      <w:r>
        <w:rPr>
          <w:color w:val="0B0B0B"/>
          <w:spacing w:val="-1"/>
          <w:sz w:val="18"/>
        </w:rPr>
        <w:t> </w:t>
      </w:r>
      <w:r>
        <w:rPr>
          <w:color w:val="0B0B0B"/>
          <w:sz w:val="18"/>
        </w:rPr>
        <w:t>el</w:t>
      </w:r>
      <w:r>
        <w:rPr>
          <w:color w:val="0B0B0B"/>
          <w:spacing w:val="-1"/>
          <w:sz w:val="18"/>
        </w:rPr>
        <w:t> </w:t>
      </w:r>
      <w:r>
        <w:rPr>
          <w:color w:val="0B0B0B"/>
          <w:sz w:val="18"/>
        </w:rPr>
        <w:t>uso</w:t>
      </w:r>
      <w:r>
        <w:rPr>
          <w:color w:val="0B0B0B"/>
          <w:spacing w:val="-2"/>
          <w:sz w:val="18"/>
        </w:rPr>
        <w:t> </w:t>
      </w:r>
      <w:r>
        <w:rPr>
          <w:color w:val="0B0B0B"/>
          <w:sz w:val="18"/>
        </w:rPr>
        <w:t>o</w:t>
      </w:r>
      <w:r>
        <w:rPr>
          <w:color w:val="0B0B0B"/>
          <w:spacing w:val="-2"/>
          <w:sz w:val="18"/>
        </w:rPr>
        <w:t> </w:t>
      </w:r>
      <w:r>
        <w:rPr>
          <w:color w:val="0B0B0B"/>
          <w:sz w:val="18"/>
        </w:rPr>
        <w:t>goce</w:t>
      </w:r>
      <w:r>
        <w:rPr>
          <w:color w:val="0B0B0B"/>
          <w:spacing w:val="-2"/>
          <w:sz w:val="18"/>
        </w:rPr>
        <w:t> </w:t>
      </w:r>
      <w:r>
        <w:rPr>
          <w:color w:val="0B0B0B"/>
          <w:sz w:val="18"/>
        </w:rPr>
        <w:t>temporal</w:t>
      </w:r>
      <w:r>
        <w:rPr>
          <w:color w:val="0B0B0B"/>
          <w:spacing w:val="-1"/>
          <w:sz w:val="18"/>
        </w:rPr>
        <w:t> </w:t>
      </w:r>
      <w:r>
        <w:rPr>
          <w:color w:val="0B0B0B"/>
          <w:sz w:val="18"/>
        </w:rPr>
        <w:t>de</w:t>
      </w:r>
      <w:r>
        <w:rPr>
          <w:color w:val="0B0B0B"/>
          <w:spacing w:val="-2"/>
          <w:sz w:val="18"/>
        </w:rPr>
        <w:t> </w:t>
      </w:r>
      <w:r>
        <w:rPr>
          <w:color w:val="0B0B0B"/>
          <w:sz w:val="18"/>
        </w:rPr>
        <w:t>activos</w:t>
      </w:r>
      <w:r>
        <w:rPr>
          <w:color w:val="0B0B0B"/>
          <w:spacing w:val="-1"/>
          <w:sz w:val="18"/>
        </w:rPr>
        <w:t> </w:t>
      </w:r>
      <w:r>
        <w:rPr>
          <w:color w:val="0B0B0B"/>
          <w:sz w:val="18"/>
        </w:rPr>
        <w:t>intangibles,</w:t>
      </w:r>
      <w:r>
        <w:rPr>
          <w:color w:val="0B0B0B"/>
          <w:spacing w:val="-1"/>
          <w:sz w:val="18"/>
        </w:rPr>
        <w:t> </w:t>
      </w:r>
      <w:r>
        <w:rPr>
          <w:color w:val="0B0B0B"/>
          <w:sz w:val="18"/>
        </w:rPr>
        <w:t>que</w:t>
      </w:r>
      <w:r>
        <w:rPr>
          <w:color w:val="0B0B0B"/>
          <w:spacing w:val="-2"/>
          <w:sz w:val="18"/>
        </w:rPr>
        <w:t> </w:t>
      </w:r>
      <w:r>
        <w:rPr>
          <w:color w:val="0B0B0B"/>
          <w:sz w:val="18"/>
        </w:rPr>
        <w:t>hayan</w:t>
      </w:r>
      <w:r>
        <w:rPr>
          <w:color w:val="0B0B0B"/>
          <w:spacing w:val="-2"/>
          <w:sz w:val="18"/>
        </w:rPr>
        <w:t> </w:t>
      </w:r>
      <w:r>
        <w:rPr>
          <w:color w:val="0B0B0B"/>
          <w:sz w:val="18"/>
        </w:rPr>
        <w:t>tenido</w:t>
      </w:r>
      <w:r>
        <w:rPr>
          <w:color w:val="0B0B0B"/>
          <w:spacing w:val="-2"/>
          <w:sz w:val="18"/>
        </w:rPr>
        <w:t> </w:t>
      </w:r>
      <w:r>
        <w:rPr>
          <w:color w:val="0B0B0B"/>
          <w:sz w:val="18"/>
        </w:rPr>
        <w:t>su</w:t>
      </w:r>
      <w:r>
        <w:rPr>
          <w:color w:val="0B0B0B"/>
          <w:spacing w:val="-2"/>
          <w:sz w:val="18"/>
        </w:rPr>
        <w:t> </w:t>
      </w:r>
      <w:r>
        <w:rPr>
          <w:color w:val="0B0B0B"/>
          <w:sz w:val="18"/>
        </w:rPr>
        <w:t>origen</w:t>
      </w:r>
      <w:r>
        <w:rPr>
          <w:color w:val="0B0B0B"/>
          <w:spacing w:val="-2"/>
          <w:sz w:val="18"/>
        </w:rPr>
        <w:t> </w:t>
      </w:r>
      <w:r>
        <w:rPr>
          <w:color w:val="0B0B0B"/>
          <w:sz w:val="18"/>
        </w:rPr>
        <w:t>en México,</w:t>
      </w:r>
      <w:r>
        <w:rPr>
          <w:color w:val="0B0B0B"/>
          <w:sz w:val="18"/>
        </w:rPr>
        <w:t> hubiesen sido anteriormente propiedad del contribuyente o de alguna</w:t>
      </w:r>
      <w:r>
        <w:rPr>
          <w:color w:val="0B0B0B"/>
          <w:spacing w:val="40"/>
          <w:sz w:val="18"/>
        </w:rPr>
        <w:t> </w:t>
      </w:r>
      <w:r>
        <w:rPr>
          <w:color w:val="0B0B0B"/>
          <w:sz w:val="18"/>
        </w:rPr>
        <w:t>de sus partes relacionadas residentes en México y su transmisión se hubiese hecho sin recibir contraprestación alguna o a un precio inferior al de mercado; toda vez que no se justifica la necesidad de la migración y por ende el pago posterior de la regalía.</w:t>
      </w:r>
    </w:p>
    <w:p>
      <w:pPr>
        <w:pStyle w:val="ListParagraph"/>
        <w:numPr>
          <w:ilvl w:val="0"/>
          <w:numId w:val="7"/>
        </w:numPr>
        <w:tabs>
          <w:tab w:pos="2664" w:val="left" w:leader="none"/>
        </w:tabs>
        <w:spacing w:line="249" w:lineRule="auto" w:before="95" w:after="0"/>
        <w:ind w:left="2664" w:right="258" w:hanging="504"/>
        <w:jc w:val="both"/>
        <w:rPr>
          <w:sz w:val="18"/>
        </w:rPr>
      </w:pPr>
      <w:r>
        <w:rPr>
          <w:color w:val="0B0B0B"/>
          <w:sz w:val="18"/>
        </w:rPr>
        <w:t>Deducir las inversiones en activos intangibles que hayan tenido su origen en México,</w:t>
      </w:r>
      <w:r>
        <w:rPr>
          <w:color w:val="0B0B0B"/>
          <w:sz w:val="18"/>
        </w:rPr>
        <w:t> cuando se adquieran de una parte relacionada residente en el</w:t>
      </w:r>
      <w:r>
        <w:rPr>
          <w:color w:val="0B0B0B"/>
          <w:spacing w:val="40"/>
          <w:sz w:val="18"/>
        </w:rPr>
        <w:t> </w:t>
      </w:r>
      <w:r>
        <w:rPr>
          <w:color w:val="0B0B0B"/>
          <w:sz w:val="18"/>
        </w:rPr>
        <w:t>extranjero o esta parte relacionada cambie su residencia fiscal a México, salvo que dicha parte relacionada hubiese adquirido esas inversiones de una parte independiente y compruebe haber pagado efectivamente su costo de </w:t>
      </w:r>
      <w:r>
        <w:rPr>
          <w:color w:val="0B0B0B"/>
          <w:spacing w:val="-2"/>
          <w:sz w:val="18"/>
        </w:rPr>
        <w:t>adquisición.</w:t>
      </w:r>
    </w:p>
    <w:p>
      <w:pPr>
        <w:pStyle w:val="ListParagraph"/>
        <w:numPr>
          <w:ilvl w:val="0"/>
          <w:numId w:val="7"/>
        </w:numPr>
        <w:tabs>
          <w:tab w:pos="2662" w:val="left" w:leader="none"/>
          <w:tab w:pos="2664" w:val="left" w:leader="none"/>
        </w:tabs>
        <w:spacing w:line="249" w:lineRule="auto" w:before="94" w:after="0"/>
        <w:ind w:left="2664" w:right="259" w:hanging="504"/>
        <w:jc w:val="both"/>
        <w:rPr>
          <w:sz w:val="18"/>
        </w:rPr>
      </w:pPr>
      <w:r>
        <w:rPr>
          <w:color w:val="0B0B0B"/>
          <w:sz w:val="18"/>
        </w:rPr>
        <w:t>Deducir las inversiones en activos intangibles, que hayan tenido su origen en México, cuando se adquieran de un tercero que a su vez los haya adquirido de una parte relacionada residente en el extranjero.</w:t>
      </w:r>
    </w:p>
    <w:p>
      <w:pPr>
        <w:pStyle w:val="ListParagraph"/>
        <w:numPr>
          <w:ilvl w:val="0"/>
          <w:numId w:val="7"/>
        </w:numPr>
        <w:tabs>
          <w:tab w:pos="2662" w:val="left" w:leader="none"/>
          <w:tab w:pos="2664" w:val="left" w:leader="none"/>
        </w:tabs>
        <w:spacing w:line="249" w:lineRule="auto" w:before="93" w:after="0"/>
        <w:ind w:left="2664" w:right="259" w:hanging="505"/>
        <w:jc w:val="both"/>
        <w:rPr>
          <w:sz w:val="18"/>
        </w:rPr>
      </w:pPr>
      <w:r>
        <w:rPr>
          <w:color w:val="0B0B0B"/>
          <w:sz w:val="18"/>
        </w:rPr>
        <w:t>Asesorar, aconsejar, prestar servicios o participar en la realización o la implementación de cualquiera de las prácticas anteriores.</w:t>
      </w:r>
    </w:p>
    <w:p>
      <w:pPr>
        <w:pStyle w:val="BodyText"/>
        <w:spacing w:before="6" w:after="1"/>
        <w:ind w:left="0"/>
        <w:jc w:val="left"/>
        <w:rPr>
          <w:sz w:val="7"/>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3001"/>
        <w:gridCol w:w="3906"/>
      </w:tblGrid>
      <w:tr>
        <w:trPr>
          <w:trHeight w:val="305" w:hRule="atLeast"/>
        </w:trPr>
        <w:tc>
          <w:tcPr>
            <w:tcW w:w="3001"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3906" w:type="dxa"/>
            <w:shd w:val="clear" w:color="auto" w:fill="BDBDBD"/>
          </w:tcPr>
          <w:p>
            <w:pPr>
              <w:pStyle w:val="TableParagraph"/>
              <w:spacing w:before="22"/>
              <w:ind w:left="12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7" w:hRule="atLeast"/>
        </w:trPr>
        <w:tc>
          <w:tcPr>
            <w:tcW w:w="3001" w:type="dxa"/>
          </w:tcPr>
          <w:p>
            <w:pPr>
              <w:pStyle w:val="TableParagraph"/>
              <w:spacing w:line="280" w:lineRule="auto"/>
              <w:rPr>
                <w:sz w:val="16"/>
              </w:rPr>
            </w:pPr>
            <w:r>
              <w:rPr>
                <w:color w:val="0B0B0B"/>
                <w:sz w:val="16"/>
              </w:rPr>
              <w:t>Novena</w:t>
            </w:r>
            <w:r>
              <w:rPr>
                <w:color w:val="0B0B0B"/>
                <w:spacing w:val="-8"/>
                <w:sz w:val="16"/>
              </w:rPr>
              <w:t> </w:t>
            </w:r>
            <w:r>
              <w:rPr>
                <w:color w:val="0B0B0B"/>
                <w:sz w:val="16"/>
              </w:rPr>
              <w:t>Resolución</w:t>
            </w:r>
            <w:r>
              <w:rPr>
                <w:color w:val="0B0B0B"/>
                <w:spacing w:val="-8"/>
                <w:sz w:val="16"/>
              </w:rPr>
              <w:t> </w:t>
            </w:r>
            <w:r>
              <w:rPr>
                <w:color w:val="0B0B0B"/>
                <w:sz w:val="16"/>
              </w:rPr>
              <w:t>de</w:t>
            </w:r>
            <w:r>
              <w:rPr>
                <w:color w:val="0B0B0B"/>
                <w:spacing w:val="-8"/>
                <w:sz w:val="16"/>
              </w:rPr>
              <w:t> </w:t>
            </w:r>
            <w:r>
              <w:rPr>
                <w:color w:val="0B0B0B"/>
                <w:sz w:val="16"/>
              </w:rPr>
              <w:t>Modificaciones</w:t>
            </w:r>
            <w:r>
              <w:rPr>
                <w:color w:val="0B0B0B"/>
                <w:spacing w:val="-8"/>
                <w:sz w:val="16"/>
              </w:rPr>
              <w:t> </w:t>
            </w:r>
            <w:r>
              <w:rPr>
                <w:color w:val="0B0B0B"/>
                <w:sz w:val="16"/>
              </w:rPr>
              <w:t>a la RMF para 2006</w:t>
            </w:r>
          </w:p>
        </w:tc>
        <w:tc>
          <w:tcPr>
            <w:tcW w:w="3906" w:type="dxa"/>
          </w:tcPr>
          <w:p>
            <w:pPr>
              <w:pStyle w:val="TableParagraph"/>
              <w:spacing w:line="280" w:lineRule="auto"/>
              <w:ind w:left="70" w:right="56"/>
              <w:jc w:val="both"/>
              <w:rPr>
                <w:sz w:val="16"/>
              </w:rPr>
            </w:pPr>
            <w:r>
              <w:rPr>
                <w:color w:val="0B0B0B"/>
                <w:sz w:val="16"/>
              </w:rPr>
              <w:t>Publicada en el DOF el 30 de noviembre de 2006, Anexo 26, publicado en el DOF el 7 de diciembre de 2006, con el número de criterio no vinculativo 1/ISR.</w:t>
            </w:r>
          </w:p>
        </w:tc>
      </w:tr>
    </w:tbl>
    <w:p>
      <w:pPr>
        <w:pStyle w:val="TableParagraph"/>
        <w:spacing w:after="0" w:line="280" w:lineRule="auto"/>
        <w:jc w:val="both"/>
        <w:rPr>
          <w:sz w:val="16"/>
        </w:rPr>
        <w:sectPr>
          <w:headerReference w:type="default" r:id="rId15"/>
          <w:pgSz w:w="12240" w:h="15840"/>
          <w:pgMar w:header="690" w:footer="0" w:top="1040" w:bottom="280" w:left="1440" w:right="1440"/>
        </w:sectPr>
      </w:pPr>
    </w:p>
    <w:p>
      <w:pPr>
        <w:pStyle w:val="Heading1"/>
        <w:tabs>
          <w:tab w:pos="2145" w:val="left" w:leader="none"/>
        </w:tabs>
        <w:spacing w:before="113"/>
        <w:ind w:left="1137" w:firstLine="0"/>
      </w:pPr>
      <w:r>
        <w:rPr>
          <w:color w:val="0B0B0B"/>
          <w:spacing w:val="-2"/>
        </w:rPr>
        <w:t>5/ISR/PI</w:t>
      </w:r>
      <w:r>
        <w:rPr>
          <w:color w:val="0B0B0B"/>
        </w:rPr>
        <w:tab/>
        <w:t>Instituciones de fianzas. Pagos por </w:t>
      </w:r>
      <w:r>
        <w:rPr>
          <w:color w:val="0B0B0B"/>
          <w:spacing w:val="-2"/>
        </w:rPr>
        <w:t>reclamaciones.</w:t>
      </w:r>
    </w:p>
    <w:p>
      <w:pPr>
        <w:pStyle w:val="BodyText"/>
        <w:spacing w:line="252" w:lineRule="auto" w:before="112"/>
        <w:ind w:right="259"/>
      </w:pPr>
      <w:r>
        <w:rPr>
          <w:color w:val="0B0B0B"/>
        </w:rPr>
        <w:t>El artículo 27, fracción I de la Ley del ISR, establece como requisito de las</w:t>
      </w:r>
      <w:r>
        <w:rPr>
          <w:color w:val="0B0B0B"/>
          <w:spacing w:val="40"/>
        </w:rPr>
        <w:t> </w:t>
      </w:r>
      <w:r>
        <w:rPr>
          <w:color w:val="0B0B0B"/>
        </w:rPr>
        <w:t>deducciones que sean estrictamente indispensables para los fines de la actividad del </w:t>
      </w:r>
      <w:r>
        <w:rPr>
          <w:color w:val="0B0B0B"/>
          <w:spacing w:val="-2"/>
        </w:rPr>
        <w:t>contribuyente.</w:t>
      </w:r>
    </w:p>
    <w:p>
      <w:pPr>
        <w:pStyle w:val="BodyText"/>
        <w:spacing w:line="252" w:lineRule="auto" w:before="103"/>
        <w:ind w:right="258"/>
      </w:pPr>
      <w:r>
        <w:rPr>
          <w:color w:val="0B0B0B"/>
        </w:rPr>
        <w:t>El artículo 32 de la Ley de Instituciones de Seguros y de Fianzas, señala que el objeto de las instituciones de fianzas consiste preponderantemente en otorgar fianzas a título </w:t>
      </w:r>
      <w:r>
        <w:rPr>
          <w:color w:val="0B0B0B"/>
          <w:spacing w:val="-2"/>
        </w:rPr>
        <w:t>oneroso.</w:t>
      </w:r>
    </w:p>
    <w:p>
      <w:pPr>
        <w:pStyle w:val="BodyText"/>
        <w:spacing w:line="252" w:lineRule="auto" w:before="103"/>
        <w:ind w:right="257"/>
      </w:pPr>
      <w:r>
        <w:rPr>
          <w:color w:val="0B0B0B"/>
        </w:rPr>
        <w:t>Los artículos 167, 168 y 171 de la Ley de Instituciones de Seguros y de Fianzas establecen</w:t>
      </w:r>
      <w:r>
        <w:rPr>
          <w:color w:val="0B0B0B"/>
          <w:spacing w:val="-4"/>
        </w:rPr>
        <w:t> </w:t>
      </w:r>
      <w:r>
        <w:rPr>
          <w:color w:val="0B0B0B"/>
        </w:rPr>
        <w:t>esencialmente</w:t>
      </w:r>
      <w:r>
        <w:rPr>
          <w:color w:val="0B0B0B"/>
          <w:spacing w:val="-3"/>
        </w:rPr>
        <w:t> </w:t>
      </w:r>
      <w:r>
        <w:rPr>
          <w:color w:val="0B0B0B"/>
        </w:rPr>
        <w:t>que</w:t>
      </w:r>
      <w:r>
        <w:rPr>
          <w:color w:val="0B0B0B"/>
          <w:spacing w:val="-3"/>
        </w:rPr>
        <w:t> </w:t>
      </w:r>
      <w:r>
        <w:rPr>
          <w:color w:val="0B0B0B"/>
        </w:rPr>
        <w:t>las</w:t>
      </w:r>
      <w:r>
        <w:rPr>
          <w:color w:val="0B0B0B"/>
          <w:spacing w:val="-4"/>
        </w:rPr>
        <w:t> </w:t>
      </w:r>
      <w:r>
        <w:rPr>
          <w:color w:val="0B0B0B"/>
        </w:rPr>
        <w:t>instituciones</w:t>
      </w:r>
      <w:r>
        <w:rPr>
          <w:color w:val="0B0B0B"/>
          <w:spacing w:val="-4"/>
        </w:rPr>
        <w:t> </w:t>
      </w:r>
      <w:r>
        <w:rPr>
          <w:color w:val="0B0B0B"/>
        </w:rPr>
        <w:t>de</w:t>
      </w:r>
      <w:r>
        <w:rPr>
          <w:color w:val="0B0B0B"/>
          <w:spacing w:val="-4"/>
        </w:rPr>
        <w:t> </w:t>
      </w:r>
      <w:r>
        <w:rPr>
          <w:color w:val="0B0B0B"/>
        </w:rPr>
        <w:t>fianzas</w:t>
      </w:r>
      <w:r>
        <w:rPr>
          <w:color w:val="0B0B0B"/>
          <w:spacing w:val="-4"/>
        </w:rPr>
        <w:t> </w:t>
      </w:r>
      <w:r>
        <w:rPr>
          <w:color w:val="0B0B0B"/>
        </w:rPr>
        <w:t>deben</w:t>
      </w:r>
      <w:r>
        <w:rPr>
          <w:color w:val="0B0B0B"/>
          <w:spacing w:val="-4"/>
        </w:rPr>
        <w:t> </w:t>
      </w:r>
      <w:r>
        <w:rPr>
          <w:color w:val="0B0B0B"/>
        </w:rPr>
        <w:t>tener</w:t>
      </w:r>
      <w:r>
        <w:rPr>
          <w:color w:val="0B0B0B"/>
          <w:spacing w:val="-4"/>
        </w:rPr>
        <w:t> </w:t>
      </w:r>
      <w:r>
        <w:rPr>
          <w:color w:val="0B0B0B"/>
        </w:rPr>
        <w:t>suficientemente garantizada la recuperación del monto de las responsabilidades que contraigan mediante el otorgamiento de fianzas, además de estimar razonablemente que se dará cumplimiento a las obligaciones garantizadas.</w:t>
      </w:r>
    </w:p>
    <w:p>
      <w:pPr>
        <w:pStyle w:val="BodyText"/>
        <w:spacing w:line="252" w:lineRule="auto" w:before="104"/>
        <w:ind w:right="256"/>
      </w:pPr>
      <w:r>
        <w:rPr>
          <w:color w:val="0B0B0B"/>
        </w:rPr>
        <w:t>Al respecto, es importante destacar</w:t>
      </w:r>
      <w:r>
        <w:rPr>
          <w:color w:val="0B0B0B"/>
        </w:rPr>
        <w:t> que la institución afianzadora se constituye en acreedor del fiado una vez que se hace exigible la fianza y realiza el pago por la reclamación</w:t>
      </w:r>
      <w:r>
        <w:rPr>
          <w:color w:val="0B0B0B"/>
          <w:spacing w:val="-1"/>
        </w:rPr>
        <w:t> </w:t>
      </w:r>
      <w:r>
        <w:rPr>
          <w:color w:val="0B0B0B"/>
        </w:rPr>
        <w:t>correspondiente,</w:t>
      </w:r>
      <w:r>
        <w:rPr>
          <w:color w:val="0B0B0B"/>
          <w:spacing w:val="-1"/>
        </w:rPr>
        <w:t> </w:t>
      </w:r>
      <w:r>
        <w:rPr>
          <w:color w:val="0B0B0B"/>
        </w:rPr>
        <w:t>y</w:t>
      </w:r>
      <w:r>
        <w:rPr>
          <w:color w:val="0B0B0B"/>
          <w:spacing w:val="-1"/>
        </w:rPr>
        <w:t> </w:t>
      </w:r>
      <w:r>
        <w:rPr>
          <w:color w:val="0B0B0B"/>
        </w:rPr>
        <w:t>por ende,</w:t>
      </w:r>
      <w:r>
        <w:rPr>
          <w:color w:val="0B0B0B"/>
          <w:spacing w:val="-1"/>
        </w:rPr>
        <w:t> </w:t>
      </w:r>
      <w:r>
        <w:rPr>
          <w:color w:val="0B0B0B"/>
        </w:rPr>
        <w:t>tiene a</w:t>
      </w:r>
      <w:r>
        <w:rPr>
          <w:color w:val="0B0B0B"/>
          <w:spacing w:val="-1"/>
        </w:rPr>
        <w:t> </w:t>
      </w:r>
      <w:r>
        <w:rPr>
          <w:color w:val="0B0B0B"/>
        </w:rPr>
        <w:t>su</w:t>
      </w:r>
      <w:r>
        <w:rPr>
          <w:color w:val="0B0B0B"/>
          <w:spacing w:val="-1"/>
        </w:rPr>
        <w:t> </w:t>
      </w:r>
      <w:r>
        <w:rPr>
          <w:color w:val="0B0B0B"/>
        </w:rPr>
        <w:t>favor</w:t>
      </w:r>
      <w:r>
        <w:rPr>
          <w:color w:val="0B0B0B"/>
          <w:spacing w:val="-1"/>
        </w:rPr>
        <w:t> </w:t>
      </w:r>
      <w:r>
        <w:rPr>
          <w:color w:val="0B0B0B"/>
        </w:rPr>
        <w:t>un</w:t>
      </w:r>
      <w:r>
        <w:rPr>
          <w:color w:val="0B0B0B"/>
          <w:spacing w:val="-1"/>
        </w:rPr>
        <w:t> </w:t>
      </w:r>
      <w:r>
        <w:rPr>
          <w:color w:val="0B0B0B"/>
        </w:rPr>
        <w:t>crédito por el monto de</w:t>
      </w:r>
      <w:r>
        <w:rPr>
          <w:color w:val="0B0B0B"/>
          <w:spacing w:val="-1"/>
        </w:rPr>
        <w:t> </w:t>
      </w:r>
      <w:r>
        <w:rPr>
          <w:color w:val="0B0B0B"/>
        </w:rPr>
        <w:t>lo </w:t>
      </w:r>
      <w:r>
        <w:rPr>
          <w:color w:val="0B0B0B"/>
          <w:spacing w:val="-2"/>
        </w:rPr>
        <w:t>pagado.</w:t>
      </w:r>
    </w:p>
    <w:p>
      <w:pPr>
        <w:pStyle w:val="BodyText"/>
        <w:spacing w:line="252" w:lineRule="auto" w:before="103"/>
        <w:ind w:right="256"/>
      </w:pPr>
      <w:r>
        <w:rPr>
          <w:color w:val="0B0B0B"/>
        </w:rPr>
        <w:t>Así, los pagos por reclamaciones derivados de obligaciones amparadas con fianza, ante la imposibilidad práctica de cobro o la prescripción del derecho de cobro al fiado se pueden considerar créditos incobrables, los cuales eventualmente podrían ser deducibles</w:t>
      </w:r>
      <w:r>
        <w:rPr>
          <w:color w:val="0B0B0B"/>
          <w:spacing w:val="-2"/>
        </w:rPr>
        <w:t> </w:t>
      </w:r>
      <w:r>
        <w:rPr>
          <w:color w:val="0B0B0B"/>
        </w:rPr>
        <w:t>de</w:t>
      </w:r>
      <w:r>
        <w:rPr>
          <w:color w:val="0B0B0B"/>
          <w:spacing w:val="-1"/>
        </w:rPr>
        <w:t> </w:t>
      </w:r>
      <w:r>
        <w:rPr>
          <w:color w:val="0B0B0B"/>
        </w:rPr>
        <w:t>conformidad</w:t>
      </w:r>
      <w:r>
        <w:rPr>
          <w:color w:val="0B0B0B"/>
          <w:spacing w:val="-2"/>
        </w:rPr>
        <w:t> </w:t>
      </w:r>
      <w:r>
        <w:rPr>
          <w:color w:val="0B0B0B"/>
        </w:rPr>
        <w:t>con</w:t>
      </w:r>
      <w:r>
        <w:rPr>
          <w:color w:val="0B0B0B"/>
          <w:spacing w:val="-3"/>
        </w:rPr>
        <w:t> </w:t>
      </w:r>
      <w:r>
        <w:rPr>
          <w:color w:val="0B0B0B"/>
        </w:rPr>
        <w:t>lo</w:t>
      </w:r>
      <w:r>
        <w:rPr>
          <w:color w:val="0B0B0B"/>
          <w:spacing w:val="-2"/>
        </w:rPr>
        <w:t> </w:t>
      </w:r>
      <w:r>
        <w:rPr>
          <w:color w:val="0B0B0B"/>
        </w:rPr>
        <w:t>establecido</w:t>
      </w:r>
      <w:r>
        <w:rPr>
          <w:color w:val="0B0B0B"/>
          <w:spacing w:val="-2"/>
        </w:rPr>
        <w:t> </w:t>
      </w:r>
      <w:r>
        <w:rPr>
          <w:color w:val="0B0B0B"/>
        </w:rPr>
        <w:t>en</w:t>
      </w:r>
      <w:r>
        <w:rPr>
          <w:color w:val="0B0B0B"/>
          <w:spacing w:val="-2"/>
        </w:rPr>
        <w:t> </w:t>
      </w:r>
      <w:r>
        <w:rPr>
          <w:color w:val="0B0B0B"/>
        </w:rPr>
        <w:t>el</w:t>
      </w:r>
      <w:r>
        <w:rPr>
          <w:color w:val="0B0B0B"/>
          <w:spacing w:val="-2"/>
        </w:rPr>
        <w:t> </w:t>
      </w:r>
      <w:r>
        <w:rPr>
          <w:color w:val="0B0B0B"/>
        </w:rPr>
        <w:t>artículo</w:t>
      </w:r>
      <w:r>
        <w:rPr>
          <w:color w:val="0B0B0B"/>
          <w:spacing w:val="-3"/>
        </w:rPr>
        <w:t> </w:t>
      </w:r>
      <w:r>
        <w:rPr>
          <w:color w:val="0B0B0B"/>
        </w:rPr>
        <w:t>25,</w:t>
      </w:r>
      <w:r>
        <w:rPr>
          <w:color w:val="0B0B0B"/>
          <w:spacing w:val="-3"/>
        </w:rPr>
        <w:t> </w:t>
      </w:r>
      <w:r>
        <w:rPr>
          <w:color w:val="0B0B0B"/>
        </w:rPr>
        <w:t>fracción</w:t>
      </w:r>
      <w:r>
        <w:rPr>
          <w:color w:val="0B0B0B"/>
          <w:spacing w:val="-2"/>
        </w:rPr>
        <w:t> </w:t>
      </w:r>
      <w:r>
        <w:rPr>
          <w:color w:val="0B0B0B"/>
        </w:rPr>
        <w:t>V</w:t>
      </w:r>
      <w:r>
        <w:rPr>
          <w:color w:val="0B0B0B"/>
          <w:spacing w:val="-3"/>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del ISR, siempre que se reúnan los requisitos que prevé el artículo 27, fracciones I y XV del mismo ordenamiento, conforme a las cuales se requiere que se trate</w:t>
      </w:r>
      <w:r>
        <w:rPr>
          <w:color w:val="0B0B0B"/>
        </w:rPr>
        <w:t> de una erogación estrictamente indispensable y que transcurra el término de prescripción, o antes, si fuera notoria la imposibilidad práctica de cobro.</w:t>
      </w:r>
    </w:p>
    <w:p>
      <w:pPr>
        <w:pStyle w:val="BodyText"/>
        <w:spacing w:line="252" w:lineRule="auto" w:before="107"/>
        <w:ind w:right="255"/>
      </w:pPr>
      <w:r>
        <w:rPr>
          <w:color w:val="0B0B0B"/>
        </w:rPr>
        <w:t>En ese sentido, cuando las instituciones de fianzas no cumplen su obligación de tener suficientemente garantizada la fianza otorgada en los términos de la ley de la materia, las pérdidas por créditos incobrables que se originen con motivo de la notoria imposibilidad práctica de cobro o prescripción del derecho de cobro de las reclamaciones derivadas de obligaciones amparadas con fianza, no cumplen con el requisito legal para su deducción; dado que tales operaciones riesgosas se originaron bajo la estricta responsabilidad de las instituciones de fianzas, haciendo propensa una situación de gasto innecesario para la propia empresa, es decir que no constituyen un gasto estrictamente indispensables para las instituciones de fianzas; puesto que la inobservancia de las obligaciones derivadas de la ley de la materia por parte de las instituciones de fianzas para la consecución de su objeto, no puede justificar</w:t>
      </w:r>
      <w:r>
        <w:rPr>
          <w:color w:val="0B0B0B"/>
        </w:rPr>
        <w:t> una deducción para efectos de la Ley del ISR.</w:t>
      </w:r>
    </w:p>
    <w:p>
      <w:pPr>
        <w:pStyle w:val="BodyText"/>
        <w:spacing w:line="252" w:lineRule="auto" w:before="109"/>
        <w:ind w:right="255"/>
      </w:pPr>
      <w:r>
        <w:rPr>
          <w:color w:val="0B0B0B"/>
        </w:rPr>
        <w:t>Por</w:t>
      </w:r>
      <w:r>
        <w:rPr>
          <w:color w:val="0B0B0B"/>
          <w:spacing w:val="-3"/>
        </w:rPr>
        <w:t> </w:t>
      </w:r>
      <w:r>
        <w:rPr>
          <w:color w:val="0B0B0B"/>
        </w:rPr>
        <w:t>último,</w:t>
      </w:r>
      <w:r>
        <w:rPr>
          <w:color w:val="0B0B0B"/>
          <w:spacing w:val="-3"/>
        </w:rPr>
        <w:t> </w:t>
      </w:r>
      <w:r>
        <w:rPr>
          <w:color w:val="0B0B0B"/>
        </w:rPr>
        <w:t>se</w:t>
      </w:r>
      <w:r>
        <w:rPr>
          <w:color w:val="0B0B0B"/>
          <w:spacing w:val="-2"/>
        </w:rPr>
        <w:t> </w:t>
      </w:r>
      <w:r>
        <w:rPr>
          <w:color w:val="0B0B0B"/>
        </w:rPr>
        <w:t>aclara</w:t>
      </w:r>
      <w:r>
        <w:rPr>
          <w:color w:val="0B0B0B"/>
          <w:spacing w:val="-3"/>
        </w:rPr>
        <w:t> </w:t>
      </w:r>
      <w:r>
        <w:rPr>
          <w:color w:val="0B0B0B"/>
        </w:rPr>
        <w:t>que</w:t>
      </w:r>
      <w:r>
        <w:rPr>
          <w:color w:val="0B0B0B"/>
          <w:spacing w:val="-3"/>
        </w:rPr>
        <w:t> </w:t>
      </w:r>
      <w:r>
        <w:rPr>
          <w:color w:val="0B0B0B"/>
        </w:rPr>
        <w:t>las</w:t>
      </w:r>
      <w:r>
        <w:rPr>
          <w:color w:val="0B0B0B"/>
          <w:spacing w:val="-2"/>
        </w:rPr>
        <w:t> </w:t>
      </w:r>
      <w:r>
        <w:rPr>
          <w:color w:val="0B0B0B"/>
        </w:rPr>
        <w:t>compañías</w:t>
      </w:r>
      <w:r>
        <w:rPr>
          <w:color w:val="0B0B0B"/>
          <w:spacing w:val="-3"/>
        </w:rPr>
        <w:t> </w:t>
      </w:r>
      <w:r>
        <w:rPr>
          <w:color w:val="0B0B0B"/>
        </w:rPr>
        <w:t>de</w:t>
      </w:r>
      <w:r>
        <w:rPr>
          <w:color w:val="0B0B0B"/>
          <w:spacing w:val="-2"/>
        </w:rPr>
        <w:t> </w:t>
      </w:r>
      <w:r>
        <w:rPr>
          <w:color w:val="0B0B0B"/>
        </w:rPr>
        <w:t>fianzas</w:t>
      </w:r>
      <w:r>
        <w:rPr>
          <w:color w:val="0B0B0B"/>
          <w:spacing w:val="-3"/>
        </w:rPr>
        <w:t> </w:t>
      </w:r>
      <w:r>
        <w:rPr>
          <w:color w:val="0B0B0B"/>
        </w:rPr>
        <w:t>no</w:t>
      </w:r>
      <w:r>
        <w:rPr>
          <w:color w:val="0B0B0B"/>
          <w:spacing w:val="-4"/>
        </w:rPr>
        <w:t> </w:t>
      </w:r>
      <w:r>
        <w:rPr>
          <w:color w:val="0B0B0B"/>
        </w:rPr>
        <w:t>deben</w:t>
      </w:r>
      <w:r>
        <w:rPr>
          <w:color w:val="0B0B0B"/>
          <w:spacing w:val="-3"/>
        </w:rPr>
        <w:t> </w:t>
      </w:r>
      <w:r>
        <w:rPr>
          <w:color w:val="0B0B0B"/>
        </w:rPr>
        <w:t>considerar</w:t>
      </w:r>
      <w:r>
        <w:rPr>
          <w:color w:val="0B0B0B"/>
          <w:spacing w:val="-2"/>
        </w:rPr>
        <w:t> </w:t>
      </w:r>
      <w:r>
        <w:rPr>
          <w:color w:val="0B0B0B"/>
        </w:rPr>
        <w:t>deducibles</w:t>
      </w:r>
      <w:r>
        <w:rPr>
          <w:color w:val="0B0B0B"/>
          <w:spacing w:val="-3"/>
        </w:rPr>
        <w:t> </w:t>
      </w:r>
      <w:r>
        <w:rPr>
          <w:color w:val="0B0B0B"/>
        </w:rPr>
        <w:t>los pagos por concepto de reclamaciones de terceros,</w:t>
      </w:r>
      <w:r>
        <w:rPr>
          <w:color w:val="0B0B0B"/>
        </w:rPr>
        <w:t> puesto</w:t>
      </w:r>
      <w:r>
        <w:rPr>
          <w:color w:val="0B0B0B"/>
        </w:rPr>
        <w:t> que el hecho de que la afianzadora pague la fianza que le es reclamada, produce la incorporación de un derecho de crédito consistente en la posibilidad jurídica de hacer</w:t>
      </w:r>
      <w:r>
        <w:rPr>
          <w:color w:val="0B0B0B"/>
        </w:rPr>
        <w:t> efectiva</w:t>
      </w:r>
      <w:r>
        <w:rPr>
          <w:color w:val="0B0B0B"/>
        </w:rPr>
        <w:t> la contragarantía estipulada en el contrato, lo cual no se ubica en las hipótesis a que se refiere el artículo 25 de la Ley del ISR, destacando en todo caso, que únicamente serían deducibles las pérdidas por créditos incobrables derivados de las</w:t>
      </w:r>
      <w:r>
        <w:rPr>
          <w:color w:val="0B0B0B"/>
          <w:spacing w:val="40"/>
        </w:rPr>
        <w:t> </w:t>
      </w:r>
      <w:r>
        <w:rPr>
          <w:color w:val="0B0B0B"/>
        </w:rPr>
        <w:t>reclamaciones pagadas</w:t>
      </w:r>
      <w:r>
        <w:rPr>
          <w:color w:val="0B0B0B"/>
          <w:spacing w:val="-1"/>
        </w:rPr>
        <w:t> </w:t>
      </w:r>
      <w:r>
        <w:rPr>
          <w:color w:val="0B0B0B"/>
        </w:rPr>
        <w:t>por las</w:t>
      </w:r>
      <w:r>
        <w:rPr>
          <w:color w:val="0B0B0B"/>
          <w:spacing w:val="-1"/>
        </w:rPr>
        <w:t> </w:t>
      </w:r>
      <w:r>
        <w:rPr>
          <w:color w:val="0B0B0B"/>
        </w:rPr>
        <w:t>instituciones de</w:t>
      </w:r>
      <w:r>
        <w:rPr>
          <w:color w:val="0B0B0B"/>
          <w:spacing w:val="-1"/>
        </w:rPr>
        <w:t> </w:t>
      </w:r>
      <w:r>
        <w:rPr>
          <w:color w:val="0B0B0B"/>
        </w:rPr>
        <w:t>fianzas que cumplan</w:t>
      </w:r>
      <w:r>
        <w:rPr>
          <w:color w:val="0B0B0B"/>
          <w:spacing w:val="-1"/>
        </w:rPr>
        <w:t> </w:t>
      </w:r>
      <w:r>
        <w:rPr>
          <w:color w:val="0B0B0B"/>
        </w:rPr>
        <w:t>con</w:t>
      </w:r>
      <w:r>
        <w:rPr>
          <w:color w:val="0B0B0B"/>
          <w:spacing w:val="-1"/>
        </w:rPr>
        <w:t> </w:t>
      </w:r>
      <w:r>
        <w:rPr>
          <w:color w:val="0B0B0B"/>
        </w:rPr>
        <w:t>los</w:t>
      </w:r>
      <w:r>
        <w:rPr>
          <w:color w:val="0B0B0B"/>
          <w:spacing w:val="-1"/>
        </w:rPr>
        <w:t> </w:t>
      </w:r>
      <w:r>
        <w:rPr>
          <w:color w:val="0B0B0B"/>
        </w:rPr>
        <w:t>requisitos de la Ley de Instituciones de Seguros y de Fianzas y los establecidos en las disposiciones fiscales.</w:t>
      </w:r>
    </w:p>
    <w:p>
      <w:pPr>
        <w:pStyle w:val="BodyText"/>
        <w:spacing w:before="108"/>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8"/>
        </w:numPr>
        <w:tabs>
          <w:tab w:pos="2664" w:val="left" w:leader="none"/>
        </w:tabs>
        <w:spacing w:line="252" w:lineRule="auto" w:before="112" w:after="0"/>
        <w:ind w:left="2664" w:right="259" w:hanging="504"/>
        <w:jc w:val="both"/>
        <w:rPr>
          <w:sz w:val="18"/>
        </w:rPr>
      </w:pPr>
      <w:r>
        <w:rPr>
          <w:color w:val="0B0B0B"/>
          <w:sz w:val="18"/>
        </w:rPr>
        <w:t>Deducir el monto de los pagos por</w:t>
      </w:r>
      <w:r>
        <w:rPr>
          <w:color w:val="0B0B0B"/>
          <w:sz w:val="18"/>
        </w:rPr>
        <w:t> reclamaciones derivados de obligaciones amparadas con fianza para los efectos de la Ley del ISR.</w:t>
      </w:r>
    </w:p>
    <w:p>
      <w:pPr>
        <w:pStyle w:val="ListParagraph"/>
        <w:numPr>
          <w:ilvl w:val="0"/>
          <w:numId w:val="8"/>
        </w:numPr>
        <w:tabs>
          <w:tab w:pos="2664" w:val="left" w:leader="none"/>
        </w:tabs>
        <w:spacing w:line="252" w:lineRule="auto" w:before="102" w:after="0"/>
        <w:ind w:left="2664" w:right="257" w:hanging="504"/>
        <w:jc w:val="both"/>
        <w:rPr>
          <w:sz w:val="18"/>
        </w:rPr>
      </w:pPr>
      <w:r>
        <w:rPr>
          <w:color w:val="0B0B0B"/>
          <w:sz w:val="18"/>
        </w:rPr>
        <w:t>Deducir por concepto de pérdidas por créditos incobrables las que deriven de</w:t>
      </w:r>
      <w:r>
        <w:rPr>
          <w:color w:val="0B0B0B"/>
          <w:spacing w:val="40"/>
          <w:sz w:val="18"/>
        </w:rPr>
        <w:t> </w:t>
      </w:r>
      <w:r>
        <w:rPr>
          <w:color w:val="0B0B0B"/>
          <w:sz w:val="18"/>
        </w:rPr>
        <w:t>los pagos por reclamaciones originados de las obligaciones de una fianza, sin cumplir las disposiciones precautorias de recuperación aplicables ni los requisitos establecidos en los preceptos de la Ley del ISR en materia de </w:t>
      </w:r>
      <w:r>
        <w:rPr>
          <w:color w:val="0B0B0B"/>
          <w:spacing w:val="-2"/>
          <w:sz w:val="18"/>
        </w:rPr>
        <w:t>deducciones.</w:t>
      </w:r>
    </w:p>
    <w:p>
      <w:pPr>
        <w:pStyle w:val="ListParagraph"/>
        <w:numPr>
          <w:ilvl w:val="0"/>
          <w:numId w:val="8"/>
        </w:numPr>
        <w:tabs>
          <w:tab w:pos="2662" w:val="left" w:leader="none"/>
          <w:tab w:pos="2664" w:val="left" w:leader="none"/>
        </w:tabs>
        <w:spacing w:line="252" w:lineRule="auto" w:before="104" w:after="0"/>
        <w:ind w:left="2664" w:right="259" w:hanging="504"/>
        <w:jc w:val="both"/>
        <w:rPr>
          <w:sz w:val="18"/>
        </w:rPr>
      </w:pPr>
      <w:r>
        <w:rPr>
          <w:color w:val="0B0B0B"/>
          <w:sz w:val="18"/>
        </w:rPr>
        <w:t>Asesorar, aconsejar, prestar servicios o participar en la realización o la implementación de cualquiera de las prácticas anteriores.</w:t>
      </w:r>
    </w:p>
    <w:p>
      <w:pPr>
        <w:pStyle w:val="ListParagraph"/>
        <w:spacing w:after="0" w:line="252" w:lineRule="auto"/>
        <w:jc w:val="both"/>
        <w:rPr>
          <w:sz w:val="18"/>
        </w:rPr>
        <w:sectPr>
          <w:headerReference w:type="default" r:id="rId16"/>
          <w:pgSz w:w="12240" w:h="15840"/>
          <w:pgMar w:header="690" w:footer="0" w:top="1040" w:bottom="280" w:left="1440" w:right="1440"/>
        </w:sectPr>
      </w:pPr>
    </w:p>
    <w:p>
      <w:pPr>
        <w:pStyle w:val="BodyText"/>
        <w:spacing w:before="4"/>
        <w:ind w:left="0"/>
        <w:jc w:val="left"/>
        <w:rPr>
          <w:sz w:val="9"/>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435"/>
        <w:gridCol w:w="4434"/>
      </w:tblGrid>
      <w:tr>
        <w:trPr>
          <w:trHeight w:val="326" w:hRule="atLeast"/>
        </w:trPr>
        <w:tc>
          <w:tcPr>
            <w:tcW w:w="2435" w:type="dxa"/>
            <w:shd w:val="clear" w:color="auto" w:fill="BDBDBD"/>
          </w:tcPr>
          <w:p>
            <w:pPr>
              <w:pStyle w:val="TableParagraph"/>
              <w:spacing w:before="32"/>
              <w:ind w:left="11"/>
              <w:jc w:val="center"/>
              <w:rPr>
                <w:rFonts w:ascii="Arial"/>
                <w:b/>
                <w:sz w:val="16"/>
              </w:rPr>
            </w:pPr>
            <w:r>
              <w:rPr>
                <w:rFonts w:ascii="Arial"/>
                <w:b/>
                <w:color w:val="0B0B0B"/>
                <w:spacing w:val="-2"/>
                <w:sz w:val="16"/>
              </w:rPr>
              <w:t>Origen</w:t>
            </w:r>
          </w:p>
        </w:tc>
        <w:tc>
          <w:tcPr>
            <w:tcW w:w="4434" w:type="dxa"/>
            <w:shd w:val="clear" w:color="auto" w:fill="BDBDBD"/>
          </w:tcPr>
          <w:p>
            <w:pPr>
              <w:pStyle w:val="TableParagraph"/>
              <w:spacing w:before="32"/>
              <w:ind w:left="147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0" w:hRule="atLeast"/>
        </w:trPr>
        <w:tc>
          <w:tcPr>
            <w:tcW w:w="2435" w:type="dxa"/>
            <w:tcBorders>
              <w:bottom w:val="nil"/>
            </w:tcBorders>
          </w:tcPr>
          <w:p>
            <w:pPr>
              <w:pStyle w:val="TableParagraph"/>
              <w:tabs>
                <w:tab w:pos="1007" w:val="left" w:leader="none"/>
                <w:tab w:pos="2183" w:val="left" w:leader="none"/>
              </w:tabs>
              <w:spacing w:before="32"/>
              <w:rPr>
                <w:sz w:val="16"/>
              </w:rPr>
            </w:pPr>
            <w:r>
              <w:rPr>
                <w:color w:val="0B0B0B"/>
                <w:spacing w:val="-2"/>
                <w:sz w:val="16"/>
              </w:rPr>
              <w:t>Novena</w:t>
            </w:r>
            <w:r>
              <w:rPr>
                <w:color w:val="0B0B0B"/>
                <w:sz w:val="16"/>
              </w:rPr>
              <w:tab/>
            </w:r>
            <w:r>
              <w:rPr>
                <w:color w:val="0B0B0B"/>
                <w:spacing w:val="-2"/>
                <w:sz w:val="16"/>
              </w:rPr>
              <w:t>Resolución</w:t>
            </w:r>
            <w:r>
              <w:rPr>
                <w:color w:val="0B0B0B"/>
                <w:sz w:val="16"/>
              </w:rPr>
              <w:tab/>
            </w:r>
            <w:r>
              <w:rPr>
                <w:color w:val="0B0B0B"/>
                <w:spacing w:val="-5"/>
                <w:sz w:val="16"/>
              </w:rPr>
              <w:t>de</w:t>
            </w:r>
          </w:p>
        </w:tc>
        <w:tc>
          <w:tcPr>
            <w:tcW w:w="4434" w:type="dxa"/>
            <w:tcBorders>
              <w:bottom w:val="nil"/>
            </w:tcBorders>
          </w:tcPr>
          <w:p>
            <w:pPr>
              <w:pStyle w:val="TableParagraph"/>
              <w:spacing w:before="32"/>
              <w:rPr>
                <w:sz w:val="16"/>
              </w:rPr>
            </w:pPr>
            <w:r>
              <w:rPr>
                <w:color w:val="0B0B0B"/>
                <w:sz w:val="16"/>
              </w:rPr>
              <w:t>Publicada</w:t>
            </w:r>
            <w:r>
              <w:rPr>
                <w:color w:val="0B0B0B"/>
                <w:spacing w:val="20"/>
                <w:sz w:val="16"/>
              </w:rPr>
              <w:t> </w:t>
            </w:r>
            <w:r>
              <w:rPr>
                <w:color w:val="0B0B0B"/>
                <w:sz w:val="16"/>
              </w:rPr>
              <w:t>en</w:t>
            </w:r>
            <w:r>
              <w:rPr>
                <w:color w:val="0B0B0B"/>
                <w:spacing w:val="20"/>
                <w:sz w:val="16"/>
              </w:rPr>
              <w:t> </w:t>
            </w:r>
            <w:r>
              <w:rPr>
                <w:color w:val="0B0B0B"/>
                <w:sz w:val="16"/>
              </w:rPr>
              <w:t>el</w:t>
            </w:r>
            <w:r>
              <w:rPr>
                <w:color w:val="0B0B0B"/>
                <w:spacing w:val="21"/>
                <w:sz w:val="16"/>
              </w:rPr>
              <w:t> </w:t>
            </w:r>
            <w:r>
              <w:rPr>
                <w:color w:val="0B0B0B"/>
                <w:sz w:val="16"/>
              </w:rPr>
              <w:t>DOF</w:t>
            </w:r>
            <w:r>
              <w:rPr>
                <w:color w:val="0B0B0B"/>
                <w:spacing w:val="20"/>
                <w:sz w:val="16"/>
              </w:rPr>
              <w:t> </w:t>
            </w:r>
            <w:r>
              <w:rPr>
                <w:color w:val="0B0B0B"/>
                <w:sz w:val="16"/>
              </w:rPr>
              <w:t>el</w:t>
            </w:r>
            <w:r>
              <w:rPr>
                <w:color w:val="0B0B0B"/>
                <w:spacing w:val="20"/>
                <w:sz w:val="16"/>
              </w:rPr>
              <w:t> </w:t>
            </w:r>
            <w:r>
              <w:rPr>
                <w:color w:val="0B0B0B"/>
                <w:sz w:val="16"/>
              </w:rPr>
              <w:t>30</w:t>
            </w:r>
            <w:r>
              <w:rPr>
                <w:color w:val="0B0B0B"/>
                <w:spacing w:val="21"/>
                <w:sz w:val="16"/>
              </w:rPr>
              <w:t> </w:t>
            </w:r>
            <w:r>
              <w:rPr>
                <w:color w:val="0B0B0B"/>
                <w:sz w:val="16"/>
              </w:rPr>
              <w:t>de</w:t>
            </w:r>
            <w:r>
              <w:rPr>
                <w:color w:val="0B0B0B"/>
                <w:spacing w:val="21"/>
                <w:sz w:val="16"/>
              </w:rPr>
              <w:t> </w:t>
            </w:r>
            <w:r>
              <w:rPr>
                <w:color w:val="0B0B0B"/>
                <w:sz w:val="16"/>
              </w:rPr>
              <w:t>noviembre</w:t>
            </w:r>
            <w:r>
              <w:rPr>
                <w:color w:val="0B0B0B"/>
                <w:spacing w:val="20"/>
                <w:sz w:val="16"/>
              </w:rPr>
              <w:t> </w:t>
            </w:r>
            <w:r>
              <w:rPr>
                <w:color w:val="0B0B0B"/>
                <w:sz w:val="16"/>
              </w:rPr>
              <w:t>de</w:t>
            </w:r>
            <w:r>
              <w:rPr>
                <w:color w:val="0B0B0B"/>
                <w:spacing w:val="20"/>
                <w:sz w:val="16"/>
              </w:rPr>
              <w:t> </w:t>
            </w:r>
            <w:r>
              <w:rPr>
                <w:color w:val="0B0B0B"/>
                <w:sz w:val="16"/>
              </w:rPr>
              <w:t>2006,</w:t>
            </w:r>
            <w:r>
              <w:rPr>
                <w:color w:val="0B0B0B"/>
                <w:spacing w:val="20"/>
                <w:sz w:val="16"/>
              </w:rPr>
              <w:t> </w:t>
            </w:r>
            <w:r>
              <w:rPr>
                <w:color w:val="0B0B0B"/>
                <w:spacing w:val="-4"/>
                <w:sz w:val="16"/>
              </w:rPr>
              <w:t>Anexo</w:t>
            </w:r>
          </w:p>
        </w:tc>
      </w:tr>
      <w:tr>
        <w:trPr>
          <w:trHeight w:val="225" w:hRule="atLeast"/>
        </w:trPr>
        <w:tc>
          <w:tcPr>
            <w:tcW w:w="2435" w:type="dxa"/>
            <w:tcBorders>
              <w:top w:val="nil"/>
              <w:bottom w:val="nil"/>
            </w:tcBorders>
          </w:tcPr>
          <w:p>
            <w:pPr>
              <w:pStyle w:val="TableParagraph"/>
              <w:spacing w:before="17"/>
              <w:rPr>
                <w:sz w:val="16"/>
              </w:rPr>
            </w:pPr>
            <w:r>
              <w:rPr>
                <w:color w:val="0B0B0B"/>
                <w:sz w:val="16"/>
              </w:rPr>
              <w:t>Modificaciones</w:t>
            </w:r>
            <w:r>
              <w:rPr>
                <w:color w:val="0B0B0B"/>
                <w:spacing w:val="37"/>
                <w:sz w:val="16"/>
              </w:rPr>
              <w:t> </w:t>
            </w:r>
            <w:r>
              <w:rPr>
                <w:color w:val="0B0B0B"/>
                <w:sz w:val="16"/>
              </w:rPr>
              <w:t>a</w:t>
            </w:r>
            <w:r>
              <w:rPr>
                <w:color w:val="0B0B0B"/>
                <w:spacing w:val="38"/>
                <w:sz w:val="16"/>
              </w:rPr>
              <w:t> </w:t>
            </w:r>
            <w:r>
              <w:rPr>
                <w:color w:val="0B0B0B"/>
                <w:sz w:val="16"/>
              </w:rPr>
              <w:t>la</w:t>
            </w:r>
            <w:r>
              <w:rPr>
                <w:color w:val="0B0B0B"/>
                <w:spacing w:val="38"/>
                <w:sz w:val="16"/>
              </w:rPr>
              <w:t> </w:t>
            </w:r>
            <w:r>
              <w:rPr>
                <w:color w:val="0B0B0B"/>
                <w:sz w:val="16"/>
              </w:rPr>
              <w:t>RMF</w:t>
            </w:r>
            <w:r>
              <w:rPr>
                <w:color w:val="0B0B0B"/>
                <w:spacing w:val="38"/>
                <w:sz w:val="16"/>
              </w:rPr>
              <w:t> </w:t>
            </w:r>
            <w:r>
              <w:rPr>
                <w:color w:val="0B0B0B"/>
                <w:spacing w:val="-4"/>
                <w:sz w:val="16"/>
              </w:rPr>
              <w:t>para</w:t>
            </w:r>
          </w:p>
        </w:tc>
        <w:tc>
          <w:tcPr>
            <w:tcW w:w="4434" w:type="dxa"/>
            <w:tcBorders>
              <w:top w:val="nil"/>
              <w:bottom w:val="nil"/>
            </w:tcBorders>
          </w:tcPr>
          <w:p>
            <w:pPr>
              <w:pStyle w:val="TableParagraph"/>
              <w:spacing w:before="17"/>
              <w:rPr>
                <w:sz w:val="16"/>
              </w:rPr>
            </w:pPr>
            <w:r>
              <w:rPr>
                <w:color w:val="0B0B0B"/>
                <w:sz w:val="16"/>
              </w:rPr>
              <w:t>26,</w:t>
            </w:r>
            <w:r>
              <w:rPr>
                <w:color w:val="0B0B0B"/>
                <w:spacing w:val="10"/>
                <w:sz w:val="16"/>
              </w:rPr>
              <w:t> </w:t>
            </w:r>
            <w:r>
              <w:rPr>
                <w:color w:val="0B0B0B"/>
                <w:sz w:val="16"/>
              </w:rPr>
              <w:t>publicado</w:t>
            </w:r>
            <w:r>
              <w:rPr>
                <w:color w:val="0B0B0B"/>
                <w:spacing w:val="10"/>
                <w:sz w:val="16"/>
              </w:rPr>
              <w:t> </w:t>
            </w:r>
            <w:r>
              <w:rPr>
                <w:color w:val="0B0B0B"/>
                <w:sz w:val="16"/>
              </w:rPr>
              <w:t>en</w:t>
            </w:r>
            <w:r>
              <w:rPr>
                <w:color w:val="0B0B0B"/>
                <w:spacing w:val="11"/>
                <w:sz w:val="16"/>
              </w:rPr>
              <w:t> </w:t>
            </w:r>
            <w:r>
              <w:rPr>
                <w:color w:val="0B0B0B"/>
                <w:sz w:val="16"/>
              </w:rPr>
              <w:t>el</w:t>
            </w:r>
            <w:r>
              <w:rPr>
                <w:color w:val="0B0B0B"/>
                <w:spacing w:val="10"/>
                <w:sz w:val="16"/>
              </w:rPr>
              <w:t> </w:t>
            </w:r>
            <w:r>
              <w:rPr>
                <w:color w:val="0B0B0B"/>
                <w:sz w:val="16"/>
              </w:rPr>
              <w:t>DOF</w:t>
            </w:r>
            <w:r>
              <w:rPr>
                <w:color w:val="0B0B0B"/>
                <w:spacing w:val="11"/>
                <w:sz w:val="16"/>
              </w:rPr>
              <w:t> </w:t>
            </w:r>
            <w:r>
              <w:rPr>
                <w:color w:val="0B0B0B"/>
                <w:sz w:val="16"/>
              </w:rPr>
              <w:t>el</w:t>
            </w:r>
            <w:r>
              <w:rPr>
                <w:color w:val="0B0B0B"/>
                <w:spacing w:val="11"/>
                <w:sz w:val="16"/>
              </w:rPr>
              <w:t> </w:t>
            </w:r>
            <w:r>
              <w:rPr>
                <w:color w:val="0B0B0B"/>
                <w:sz w:val="16"/>
              </w:rPr>
              <w:t>7</w:t>
            </w:r>
            <w:r>
              <w:rPr>
                <w:color w:val="0B0B0B"/>
                <w:spacing w:val="10"/>
                <w:sz w:val="16"/>
              </w:rPr>
              <w:t> </w:t>
            </w:r>
            <w:r>
              <w:rPr>
                <w:color w:val="0B0B0B"/>
                <w:sz w:val="16"/>
              </w:rPr>
              <w:t>de</w:t>
            </w:r>
            <w:r>
              <w:rPr>
                <w:color w:val="0B0B0B"/>
                <w:spacing w:val="13"/>
                <w:sz w:val="16"/>
              </w:rPr>
              <w:t> </w:t>
            </w:r>
            <w:r>
              <w:rPr>
                <w:color w:val="0B0B0B"/>
                <w:sz w:val="16"/>
              </w:rPr>
              <w:t>diciembre</w:t>
            </w:r>
            <w:r>
              <w:rPr>
                <w:color w:val="0B0B0B"/>
                <w:spacing w:val="10"/>
                <w:sz w:val="16"/>
              </w:rPr>
              <w:t> </w:t>
            </w:r>
            <w:r>
              <w:rPr>
                <w:color w:val="0B0B0B"/>
                <w:sz w:val="16"/>
              </w:rPr>
              <w:t>de</w:t>
            </w:r>
            <w:r>
              <w:rPr>
                <w:color w:val="0B0B0B"/>
                <w:spacing w:val="10"/>
                <w:sz w:val="16"/>
              </w:rPr>
              <w:t> </w:t>
            </w:r>
            <w:r>
              <w:rPr>
                <w:color w:val="0B0B0B"/>
                <w:sz w:val="16"/>
              </w:rPr>
              <w:t>2006,</w:t>
            </w:r>
            <w:r>
              <w:rPr>
                <w:color w:val="0B0B0B"/>
                <w:spacing w:val="11"/>
                <w:sz w:val="16"/>
              </w:rPr>
              <w:t> </w:t>
            </w:r>
            <w:r>
              <w:rPr>
                <w:color w:val="0B0B0B"/>
                <w:sz w:val="16"/>
              </w:rPr>
              <w:t>con</w:t>
            </w:r>
            <w:r>
              <w:rPr>
                <w:color w:val="0B0B0B"/>
                <w:spacing w:val="10"/>
                <w:sz w:val="16"/>
              </w:rPr>
              <w:t> </w:t>
            </w:r>
            <w:r>
              <w:rPr>
                <w:color w:val="0B0B0B"/>
                <w:spacing w:val="-5"/>
                <w:sz w:val="16"/>
              </w:rPr>
              <w:t>el</w:t>
            </w:r>
          </w:p>
        </w:tc>
      </w:tr>
      <w:tr>
        <w:trPr>
          <w:trHeight w:val="226" w:hRule="atLeast"/>
        </w:trPr>
        <w:tc>
          <w:tcPr>
            <w:tcW w:w="2435" w:type="dxa"/>
            <w:tcBorders>
              <w:top w:val="nil"/>
              <w:bottom w:val="nil"/>
            </w:tcBorders>
          </w:tcPr>
          <w:p>
            <w:pPr>
              <w:pStyle w:val="TableParagraph"/>
              <w:spacing w:before="17"/>
              <w:rPr>
                <w:sz w:val="16"/>
              </w:rPr>
            </w:pPr>
            <w:r>
              <w:rPr>
                <w:color w:val="0B0B0B"/>
                <w:spacing w:val="-4"/>
                <w:sz w:val="16"/>
              </w:rPr>
              <w:t>2006</w:t>
            </w:r>
          </w:p>
        </w:tc>
        <w:tc>
          <w:tcPr>
            <w:tcW w:w="4434" w:type="dxa"/>
            <w:tcBorders>
              <w:top w:val="nil"/>
              <w:bottom w:val="nil"/>
            </w:tcBorders>
          </w:tcPr>
          <w:p>
            <w:pPr>
              <w:pStyle w:val="TableParagraph"/>
              <w:spacing w:before="17"/>
              <w:rPr>
                <w:sz w:val="16"/>
              </w:rPr>
            </w:pPr>
            <w:r>
              <w:rPr>
                <w:color w:val="0B0B0B"/>
                <w:sz w:val="16"/>
              </w:rPr>
              <w:t>número</w:t>
            </w:r>
            <w:r>
              <w:rPr>
                <w:color w:val="0B0B0B"/>
                <w:spacing w:val="66"/>
                <w:w w:val="150"/>
                <w:sz w:val="16"/>
              </w:rPr>
              <w:t> </w:t>
            </w:r>
            <w:r>
              <w:rPr>
                <w:color w:val="0B0B0B"/>
                <w:sz w:val="16"/>
              </w:rPr>
              <w:t>de</w:t>
            </w:r>
            <w:r>
              <w:rPr>
                <w:color w:val="0B0B0B"/>
                <w:spacing w:val="66"/>
                <w:w w:val="150"/>
                <w:sz w:val="16"/>
              </w:rPr>
              <w:t> </w:t>
            </w:r>
            <w:r>
              <w:rPr>
                <w:color w:val="0B0B0B"/>
                <w:sz w:val="16"/>
              </w:rPr>
              <w:t>criterio</w:t>
            </w:r>
            <w:r>
              <w:rPr>
                <w:color w:val="0B0B0B"/>
                <w:spacing w:val="67"/>
                <w:w w:val="150"/>
                <w:sz w:val="16"/>
              </w:rPr>
              <w:t> </w:t>
            </w:r>
            <w:r>
              <w:rPr>
                <w:color w:val="0B0B0B"/>
                <w:sz w:val="16"/>
              </w:rPr>
              <w:t>no</w:t>
            </w:r>
            <w:r>
              <w:rPr>
                <w:color w:val="0B0B0B"/>
                <w:spacing w:val="66"/>
                <w:w w:val="150"/>
                <w:sz w:val="16"/>
              </w:rPr>
              <w:t> </w:t>
            </w:r>
            <w:r>
              <w:rPr>
                <w:color w:val="0B0B0B"/>
                <w:sz w:val="16"/>
              </w:rPr>
              <w:t>vinculativo</w:t>
            </w:r>
            <w:r>
              <w:rPr>
                <w:color w:val="0B0B0B"/>
                <w:spacing w:val="67"/>
                <w:w w:val="150"/>
                <w:sz w:val="16"/>
              </w:rPr>
              <w:t> </w:t>
            </w:r>
            <w:r>
              <w:rPr>
                <w:color w:val="0B0B0B"/>
                <w:sz w:val="16"/>
              </w:rPr>
              <w:t>8/ISR;</w:t>
            </w:r>
            <w:r>
              <w:rPr>
                <w:color w:val="0B0B0B"/>
                <w:spacing w:val="66"/>
                <w:w w:val="150"/>
                <w:sz w:val="16"/>
              </w:rPr>
              <w:t> </w:t>
            </w:r>
            <w:r>
              <w:rPr>
                <w:color w:val="0B0B0B"/>
                <w:sz w:val="16"/>
              </w:rPr>
              <w:t>RMF</w:t>
            </w:r>
            <w:r>
              <w:rPr>
                <w:color w:val="0B0B0B"/>
                <w:spacing w:val="67"/>
                <w:w w:val="150"/>
                <w:sz w:val="16"/>
              </w:rPr>
              <w:t> </w:t>
            </w:r>
            <w:r>
              <w:rPr>
                <w:color w:val="0B0B0B"/>
                <w:spacing w:val="-2"/>
                <w:sz w:val="16"/>
              </w:rPr>
              <w:t>2016,</w:t>
            </w:r>
          </w:p>
        </w:tc>
      </w:tr>
      <w:tr>
        <w:trPr>
          <w:trHeight w:val="226" w:hRule="atLeast"/>
        </w:trPr>
        <w:tc>
          <w:tcPr>
            <w:tcW w:w="2435" w:type="dxa"/>
            <w:tcBorders>
              <w:top w:val="nil"/>
              <w:bottom w:val="nil"/>
            </w:tcBorders>
          </w:tcPr>
          <w:p>
            <w:pPr>
              <w:pStyle w:val="TableParagraph"/>
              <w:spacing w:before="0"/>
              <w:ind w:left="0"/>
              <w:rPr>
                <w:rFonts w:ascii="Times New Roman"/>
                <w:sz w:val="16"/>
              </w:rPr>
            </w:pPr>
          </w:p>
        </w:tc>
        <w:tc>
          <w:tcPr>
            <w:tcW w:w="4434" w:type="dxa"/>
            <w:tcBorders>
              <w:top w:val="nil"/>
              <w:bottom w:val="nil"/>
            </w:tcBorders>
          </w:tcPr>
          <w:p>
            <w:pPr>
              <w:pStyle w:val="TableParagraph"/>
              <w:spacing w:before="17"/>
              <w:rPr>
                <w:sz w:val="16"/>
              </w:rPr>
            </w:pPr>
            <w:r>
              <w:rPr>
                <w:color w:val="0B0B0B"/>
                <w:sz w:val="16"/>
              </w:rPr>
              <w:t>publicada</w:t>
            </w:r>
            <w:r>
              <w:rPr>
                <w:color w:val="0B0B0B"/>
                <w:spacing w:val="-3"/>
                <w:sz w:val="16"/>
              </w:rPr>
              <w:t> </w:t>
            </w:r>
            <w:r>
              <w:rPr>
                <w:color w:val="0B0B0B"/>
                <w:sz w:val="16"/>
              </w:rPr>
              <w:t>el</w:t>
            </w:r>
            <w:r>
              <w:rPr>
                <w:color w:val="0B0B0B"/>
                <w:spacing w:val="-3"/>
                <w:sz w:val="16"/>
              </w:rPr>
              <w:t> </w:t>
            </w:r>
            <w:r>
              <w:rPr>
                <w:color w:val="0B0B0B"/>
                <w:sz w:val="16"/>
              </w:rPr>
              <w:t>23</w:t>
            </w:r>
            <w:r>
              <w:rPr>
                <w:color w:val="0B0B0B"/>
                <w:spacing w:val="-2"/>
                <w:sz w:val="16"/>
              </w:rPr>
              <w:t> </w:t>
            </w:r>
            <w:r>
              <w:rPr>
                <w:color w:val="0B0B0B"/>
                <w:sz w:val="16"/>
              </w:rPr>
              <w:t>de</w:t>
            </w:r>
            <w:r>
              <w:rPr>
                <w:color w:val="0B0B0B"/>
                <w:spacing w:val="-3"/>
                <w:sz w:val="16"/>
              </w:rPr>
              <w:t> </w:t>
            </w:r>
            <w:r>
              <w:rPr>
                <w:color w:val="0B0B0B"/>
                <w:sz w:val="16"/>
              </w:rPr>
              <w:t>diciembre</w:t>
            </w:r>
            <w:r>
              <w:rPr>
                <w:color w:val="0B0B0B"/>
                <w:spacing w:val="-2"/>
                <w:sz w:val="16"/>
              </w:rPr>
              <w:t> </w:t>
            </w:r>
            <w:r>
              <w:rPr>
                <w:color w:val="0B0B0B"/>
                <w:sz w:val="16"/>
              </w:rPr>
              <w:t>de</w:t>
            </w:r>
            <w:r>
              <w:rPr>
                <w:color w:val="0B0B0B"/>
                <w:spacing w:val="-3"/>
                <w:sz w:val="16"/>
              </w:rPr>
              <w:t> </w:t>
            </w:r>
            <w:r>
              <w:rPr>
                <w:color w:val="0B0B0B"/>
                <w:sz w:val="16"/>
              </w:rPr>
              <w:t>2015,</w:t>
            </w:r>
            <w:r>
              <w:rPr>
                <w:color w:val="0B0B0B"/>
                <w:spacing w:val="-2"/>
                <w:sz w:val="16"/>
              </w:rPr>
              <w:t> </w:t>
            </w:r>
            <w:r>
              <w:rPr>
                <w:color w:val="0B0B0B"/>
                <w:sz w:val="16"/>
              </w:rPr>
              <w:t>Anexo</w:t>
            </w:r>
            <w:r>
              <w:rPr>
                <w:color w:val="0B0B0B"/>
                <w:spacing w:val="-3"/>
                <w:sz w:val="16"/>
              </w:rPr>
              <w:t> </w:t>
            </w:r>
            <w:r>
              <w:rPr>
                <w:color w:val="0B0B0B"/>
                <w:sz w:val="16"/>
              </w:rPr>
              <w:t>3,</w:t>
            </w:r>
            <w:r>
              <w:rPr>
                <w:color w:val="0B0B0B"/>
                <w:spacing w:val="-2"/>
                <w:sz w:val="16"/>
              </w:rPr>
              <w:t> </w:t>
            </w:r>
            <w:r>
              <w:rPr>
                <w:color w:val="0B0B0B"/>
                <w:sz w:val="16"/>
              </w:rPr>
              <w:t>publicado</w:t>
            </w:r>
            <w:r>
              <w:rPr>
                <w:color w:val="0B0B0B"/>
                <w:spacing w:val="-3"/>
                <w:sz w:val="16"/>
              </w:rPr>
              <w:t> </w:t>
            </w:r>
            <w:r>
              <w:rPr>
                <w:color w:val="0B0B0B"/>
                <w:spacing w:val="-5"/>
                <w:sz w:val="16"/>
              </w:rPr>
              <w:t>el</w:t>
            </w:r>
          </w:p>
        </w:tc>
      </w:tr>
      <w:tr>
        <w:trPr>
          <w:trHeight w:val="312" w:hRule="atLeast"/>
        </w:trPr>
        <w:tc>
          <w:tcPr>
            <w:tcW w:w="2435" w:type="dxa"/>
            <w:tcBorders>
              <w:top w:val="nil"/>
            </w:tcBorders>
          </w:tcPr>
          <w:p>
            <w:pPr>
              <w:pStyle w:val="TableParagraph"/>
              <w:spacing w:before="0"/>
              <w:ind w:left="0"/>
              <w:rPr>
                <w:rFonts w:ascii="Times New Roman"/>
                <w:sz w:val="16"/>
              </w:rPr>
            </w:pPr>
          </w:p>
        </w:tc>
        <w:tc>
          <w:tcPr>
            <w:tcW w:w="4434" w:type="dxa"/>
            <w:tcBorders>
              <w:top w:val="nil"/>
            </w:tcBorders>
          </w:tcPr>
          <w:p>
            <w:pPr>
              <w:pStyle w:val="TableParagraph"/>
              <w:spacing w:before="17"/>
              <w:rPr>
                <w:sz w:val="16"/>
              </w:rPr>
            </w:pPr>
            <w:r>
              <w:rPr>
                <w:color w:val="0B0B0B"/>
                <w:sz w:val="16"/>
              </w:rPr>
              <w:t>12</w:t>
            </w:r>
            <w:r>
              <w:rPr>
                <w:color w:val="0B0B0B"/>
                <w:spacing w:val="-3"/>
                <w:sz w:val="16"/>
              </w:rPr>
              <w:t> </w:t>
            </w:r>
            <w:r>
              <w:rPr>
                <w:color w:val="0B0B0B"/>
                <w:sz w:val="16"/>
              </w:rPr>
              <w:t>de</w:t>
            </w:r>
            <w:r>
              <w:rPr>
                <w:color w:val="0B0B0B"/>
                <w:spacing w:val="-2"/>
                <w:sz w:val="16"/>
              </w:rPr>
              <w:t> </w:t>
            </w:r>
            <w:r>
              <w:rPr>
                <w:color w:val="0B0B0B"/>
                <w:sz w:val="16"/>
              </w:rPr>
              <w:t>enero</w:t>
            </w:r>
            <w:r>
              <w:rPr>
                <w:color w:val="0B0B0B"/>
                <w:spacing w:val="-2"/>
                <w:sz w:val="16"/>
              </w:rPr>
              <w:t> </w:t>
            </w:r>
            <w:r>
              <w:rPr>
                <w:color w:val="0B0B0B"/>
                <w:sz w:val="16"/>
              </w:rPr>
              <w:t>de</w:t>
            </w:r>
            <w:r>
              <w:rPr>
                <w:color w:val="0B0B0B"/>
                <w:spacing w:val="-2"/>
                <w:sz w:val="16"/>
              </w:rPr>
              <w:t> 2016.</w:t>
            </w:r>
          </w:p>
        </w:tc>
      </w:tr>
    </w:tbl>
    <w:p>
      <w:pPr>
        <w:pStyle w:val="BodyText"/>
        <w:spacing w:before="134"/>
        <w:ind w:left="0"/>
        <w:jc w:val="left"/>
      </w:pPr>
    </w:p>
    <w:p>
      <w:pPr>
        <w:pStyle w:val="Heading1"/>
        <w:spacing w:line="261" w:lineRule="auto" w:before="1"/>
        <w:ind w:right="257"/>
        <w:jc w:val="both"/>
      </w:pPr>
      <w:r>
        <w:rPr>
          <w:color w:val="0B0B0B"/>
        </w:rPr>
        <w:t>6/ISR/PI</w:t>
      </w:r>
      <w:r>
        <w:rPr>
          <w:color w:val="0B0B0B"/>
          <w:spacing w:val="40"/>
        </w:rPr>
        <w:t>  </w:t>
      </w:r>
      <w:r>
        <w:rPr>
          <w:color w:val="0B0B0B"/>
        </w:rPr>
        <w:t>Gastos a favor de tercero. No son deducibles aquellos que se realicen a favor </w:t>
      </w:r>
      <w:r>
        <w:rPr>
          <w:color w:val="0B0B0B"/>
        </w:rPr>
        <w:t>de personas con las cuales no se tenga una relación laboral ni presten servicios </w:t>
      </w:r>
      <w:r>
        <w:rPr>
          <w:color w:val="0B0B0B"/>
          <w:spacing w:val="-2"/>
        </w:rPr>
        <w:t>profesionales.</w:t>
      </w:r>
    </w:p>
    <w:p>
      <w:pPr>
        <w:pStyle w:val="BodyText"/>
        <w:spacing w:line="261" w:lineRule="auto" w:before="103"/>
        <w:ind w:right="259"/>
      </w:pPr>
      <w:r>
        <w:rPr>
          <w:color w:val="0B0B0B"/>
        </w:rPr>
        <w:t>El artículo 27, fracción I de la Ley del ISR establece que, las deducciones autorizadas en el Título II de dicha Ley deben ser estrictamente indispensables para los fines de la actividad del contribuyente.</w:t>
      </w:r>
    </w:p>
    <w:p>
      <w:pPr>
        <w:pStyle w:val="BodyText"/>
        <w:spacing w:line="261" w:lineRule="auto" w:before="102"/>
        <w:ind w:right="258"/>
      </w:pPr>
      <w:r>
        <w:rPr>
          <w:color w:val="0B0B0B"/>
        </w:rPr>
        <w:t>Asimismo, la fracción XI del artículo referido dispone, contrario sensu, que no serán deducibles</w:t>
      </w:r>
      <w:r>
        <w:rPr>
          <w:color w:val="0B0B0B"/>
          <w:spacing w:val="-1"/>
        </w:rPr>
        <w:t> </w:t>
      </w:r>
      <w:r>
        <w:rPr>
          <w:color w:val="0B0B0B"/>
        </w:rPr>
        <w:t>los gastos</w:t>
      </w:r>
      <w:r>
        <w:rPr>
          <w:color w:val="0B0B0B"/>
          <w:spacing w:val="-1"/>
        </w:rPr>
        <w:t> </w:t>
      </w:r>
      <w:r>
        <w:rPr>
          <w:color w:val="0B0B0B"/>
        </w:rPr>
        <w:t>de</w:t>
      </w:r>
      <w:r>
        <w:rPr>
          <w:color w:val="0B0B0B"/>
          <w:spacing w:val="-1"/>
        </w:rPr>
        <w:t> </w:t>
      </w:r>
      <w:r>
        <w:rPr>
          <w:color w:val="0B0B0B"/>
        </w:rPr>
        <w:t>previsión</w:t>
      </w:r>
      <w:r>
        <w:rPr>
          <w:color w:val="0B0B0B"/>
          <w:spacing w:val="-2"/>
        </w:rPr>
        <w:t> </w:t>
      </w:r>
      <w:r>
        <w:rPr>
          <w:color w:val="0B0B0B"/>
        </w:rPr>
        <w:t>social</w:t>
      </w:r>
      <w:r>
        <w:rPr>
          <w:color w:val="0B0B0B"/>
          <w:spacing w:val="-2"/>
        </w:rPr>
        <w:t> </w:t>
      </w:r>
      <w:r>
        <w:rPr>
          <w:color w:val="0B0B0B"/>
        </w:rPr>
        <w:t>cuando</w:t>
      </w:r>
      <w:r>
        <w:rPr>
          <w:color w:val="0B0B0B"/>
          <w:spacing w:val="-1"/>
        </w:rPr>
        <w:t> </w:t>
      </w:r>
      <w:r>
        <w:rPr>
          <w:color w:val="0B0B0B"/>
        </w:rPr>
        <w:t>las prestaciones</w:t>
      </w:r>
      <w:r>
        <w:rPr>
          <w:color w:val="0B0B0B"/>
          <w:spacing w:val="-2"/>
        </w:rPr>
        <w:t> </w:t>
      </w:r>
      <w:r>
        <w:rPr>
          <w:color w:val="0B0B0B"/>
        </w:rPr>
        <w:t>correspondientes</w:t>
      </w:r>
      <w:r>
        <w:rPr>
          <w:color w:val="0B0B0B"/>
          <w:spacing w:val="-1"/>
        </w:rPr>
        <w:t> </w:t>
      </w:r>
      <w:r>
        <w:rPr>
          <w:color w:val="0B0B0B"/>
        </w:rPr>
        <w:t>no se otorguen en forma general en beneficio de todos los trabajadores.</w:t>
      </w:r>
    </w:p>
    <w:p>
      <w:pPr>
        <w:pStyle w:val="BodyText"/>
        <w:spacing w:line="261" w:lineRule="auto" w:before="102"/>
        <w:ind w:right="257"/>
      </w:pPr>
      <w:r>
        <w:rPr>
          <w:color w:val="0B0B0B"/>
        </w:rPr>
        <w:t>De igual forma, el artículo 28, fracción V de la Ley del ISR, indica que no serán deducibles los viáticos o gastos de viaje, en el país o en el extranjero, cuando no se destinen al hospedaje, alimentación, transporte, uso o goce temporal de automóviles y pago de kilometraje, de la persona beneficiaria del viático y que las personas a favor</w:t>
      </w:r>
      <w:r>
        <w:rPr>
          <w:color w:val="0B0B0B"/>
          <w:spacing w:val="40"/>
        </w:rPr>
        <w:t> </w:t>
      </w:r>
      <w:r>
        <w:rPr>
          <w:color w:val="0B0B0B"/>
        </w:rPr>
        <w:t>de las cuales se realice la erogación, deben tener relación de trabajo con el contribuyente en los términos del Capítulo I del Título IV de dicha Ley o deben estar prestando servicios profesionales, además de que los gastos deberán estar</w:t>
      </w:r>
      <w:r>
        <w:rPr>
          <w:color w:val="0B0B0B"/>
          <w:spacing w:val="40"/>
        </w:rPr>
        <w:t> </w:t>
      </w:r>
      <w:r>
        <w:rPr>
          <w:color w:val="0B0B0B"/>
        </w:rPr>
        <w:t>amparados</w:t>
      </w:r>
      <w:r>
        <w:rPr>
          <w:color w:val="0B0B0B"/>
          <w:spacing w:val="-1"/>
        </w:rPr>
        <w:t> </w:t>
      </w:r>
      <w:r>
        <w:rPr>
          <w:color w:val="0B0B0B"/>
        </w:rPr>
        <w:t>con</w:t>
      </w:r>
      <w:r>
        <w:rPr>
          <w:color w:val="0B0B0B"/>
          <w:spacing w:val="-1"/>
        </w:rPr>
        <w:t> </w:t>
      </w:r>
      <w:r>
        <w:rPr>
          <w:color w:val="0B0B0B"/>
        </w:rPr>
        <w:t>un</w:t>
      </w:r>
      <w:r>
        <w:rPr>
          <w:color w:val="0B0B0B"/>
          <w:spacing w:val="-1"/>
        </w:rPr>
        <w:t> </w:t>
      </w:r>
      <w:r>
        <w:rPr>
          <w:color w:val="0B0B0B"/>
        </w:rPr>
        <w:t>comprobante</w:t>
      </w:r>
      <w:r>
        <w:rPr>
          <w:color w:val="0B0B0B"/>
          <w:spacing w:val="-1"/>
        </w:rPr>
        <w:t> </w:t>
      </w:r>
      <w:r>
        <w:rPr>
          <w:color w:val="0B0B0B"/>
        </w:rPr>
        <w:t>fiscal</w:t>
      </w:r>
      <w:r>
        <w:rPr>
          <w:color w:val="0B0B0B"/>
          <w:spacing w:val="-1"/>
        </w:rPr>
        <w:t> </w:t>
      </w:r>
      <w:r>
        <w:rPr>
          <w:color w:val="0B0B0B"/>
        </w:rPr>
        <w:t>cuando</w:t>
      </w:r>
      <w:r>
        <w:rPr>
          <w:color w:val="0B0B0B"/>
          <w:spacing w:val="-1"/>
        </w:rPr>
        <w:t> </w:t>
      </w:r>
      <w:r>
        <w:rPr>
          <w:color w:val="0B0B0B"/>
        </w:rPr>
        <w:t>estos</w:t>
      </w:r>
      <w:r>
        <w:rPr>
          <w:color w:val="0B0B0B"/>
          <w:spacing w:val="-1"/>
        </w:rPr>
        <w:t> </w:t>
      </w:r>
      <w:r>
        <w:rPr>
          <w:color w:val="0B0B0B"/>
        </w:rPr>
        <w:t>se</w:t>
      </w:r>
      <w:r>
        <w:rPr>
          <w:color w:val="0B0B0B"/>
          <w:spacing w:val="-1"/>
        </w:rPr>
        <w:t> </w:t>
      </w:r>
      <w:r>
        <w:rPr>
          <w:color w:val="0B0B0B"/>
        </w:rPr>
        <w:t>realicen</w:t>
      </w:r>
      <w:r>
        <w:rPr>
          <w:color w:val="0B0B0B"/>
          <w:spacing w:val="-1"/>
        </w:rPr>
        <w:t> </w:t>
      </w:r>
      <w:r>
        <w:rPr>
          <w:color w:val="0B0B0B"/>
        </w:rPr>
        <w:t>en</w:t>
      </w:r>
      <w:r>
        <w:rPr>
          <w:color w:val="0B0B0B"/>
          <w:spacing w:val="-1"/>
        </w:rPr>
        <w:t> </w:t>
      </w:r>
      <w:r>
        <w:rPr>
          <w:color w:val="0B0B0B"/>
        </w:rPr>
        <w:t>territorio</w:t>
      </w:r>
      <w:r>
        <w:rPr>
          <w:color w:val="0B0B0B"/>
          <w:spacing w:val="-1"/>
        </w:rPr>
        <w:t> </w:t>
      </w:r>
      <w:r>
        <w:rPr>
          <w:color w:val="0B0B0B"/>
        </w:rPr>
        <w:t>nacional</w:t>
      </w:r>
      <w:r>
        <w:rPr>
          <w:color w:val="0B0B0B"/>
          <w:spacing w:val="-1"/>
        </w:rPr>
        <w:t> </w:t>
      </w:r>
      <w:r>
        <w:rPr>
          <w:color w:val="0B0B0B"/>
        </w:rPr>
        <w:t>o con la documentación comprobatoria correspondiente, cuando los mismos se efectúen en el extranjero.</w:t>
      </w:r>
    </w:p>
    <w:p>
      <w:pPr>
        <w:pStyle w:val="BodyText"/>
        <w:spacing w:line="261" w:lineRule="auto" w:before="104"/>
        <w:ind w:right="258"/>
      </w:pPr>
      <w:r>
        <w:rPr>
          <w:color w:val="0B0B0B"/>
        </w:rPr>
        <w:t>En ese sentido, no son erogaciones estrictamente indispensables aquellas que se realizan</w:t>
      </w:r>
      <w:r>
        <w:rPr>
          <w:color w:val="0B0B0B"/>
          <w:spacing w:val="-2"/>
        </w:rPr>
        <w:t> </w:t>
      </w:r>
      <w:r>
        <w:rPr>
          <w:color w:val="0B0B0B"/>
        </w:rPr>
        <w:t>cuando</w:t>
      </w:r>
      <w:r>
        <w:rPr>
          <w:color w:val="0B0B0B"/>
          <w:spacing w:val="-2"/>
        </w:rPr>
        <w:t> </w:t>
      </w:r>
      <w:r>
        <w:rPr>
          <w:color w:val="0B0B0B"/>
        </w:rPr>
        <w:t>no</w:t>
      </w:r>
      <w:r>
        <w:rPr>
          <w:color w:val="0B0B0B"/>
          <w:spacing w:val="-1"/>
        </w:rPr>
        <w:t> </w:t>
      </w:r>
      <w:r>
        <w:rPr>
          <w:color w:val="0B0B0B"/>
        </w:rPr>
        <w:t>exista</w:t>
      </w:r>
      <w:r>
        <w:rPr>
          <w:color w:val="0B0B0B"/>
          <w:spacing w:val="-2"/>
        </w:rPr>
        <w:t> </w:t>
      </w:r>
      <w:r>
        <w:rPr>
          <w:color w:val="0B0B0B"/>
        </w:rPr>
        <w:t>relación</w:t>
      </w:r>
      <w:r>
        <w:rPr>
          <w:color w:val="0B0B0B"/>
          <w:spacing w:val="-2"/>
        </w:rPr>
        <w:t> </w:t>
      </w:r>
      <w:r>
        <w:rPr>
          <w:color w:val="0B0B0B"/>
        </w:rPr>
        <w:t>laboral</w:t>
      </w:r>
      <w:r>
        <w:rPr>
          <w:color w:val="0B0B0B"/>
          <w:spacing w:val="-2"/>
        </w:rPr>
        <w:t> </w:t>
      </w:r>
      <w:r>
        <w:rPr>
          <w:color w:val="0B0B0B"/>
        </w:rPr>
        <w:t>o</w:t>
      </w:r>
      <w:r>
        <w:rPr>
          <w:color w:val="0B0B0B"/>
          <w:spacing w:val="-1"/>
        </w:rPr>
        <w:t> </w:t>
      </w:r>
      <w:r>
        <w:rPr>
          <w:color w:val="0B0B0B"/>
        </w:rPr>
        <w:t>prestación</w:t>
      </w:r>
      <w:r>
        <w:rPr>
          <w:color w:val="0B0B0B"/>
          <w:spacing w:val="-1"/>
        </w:rPr>
        <w:t> </w:t>
      </w:r>
      <w:r>
        <w:rPr>
          <w:color w:val="0B0B0B"/>
        </w:rPr>
        <w:t>de</w:t>
      </w:r>
      <w:r>
        <w:rPr>
          <w:color w:val="0B0B0B"/>
          <w:spacing w:val="-1"/>
        </w:rPr>
        <w:t> </w:t>
      </w:r>
      <w:r>
        <w:rPr>
          <w:color w:val="0B0B0B"/>
        </w:rPr>
        <w:t>servicios profesionales</w:t>
      </w:r>
      <w:r>
        <w:rPr>
          <w:color w:val="0B0B0B"/>
          <w:spacing w:val="-1"/>
        </w:rPr>
        <w:t> </w:t>
      </w:r>
      <w:r>
        <w:rPr>
          <w:color w:val="0B0B0B"/>
        </w:rPr>
        <w:t>entre la persona a favor de la cual se realizan dichas erogaciones y el contribuyente que pretende efectuar su deducción, aun cuando tales erogaciones se encontraran destinadas a personal proporcionado por empresas terceras.</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9"/>
        </w:numPr>
        <w:tabs>
          <w:tab w:pos="2664" w:val="left" w:leader="none"/>
        </w:tabs>
        <w:spacing w:line="261" w:lineRule="auto" w:before="121" w:after="0"/>
        <w:ind w:left="2664" w:right="257" w:hanging="504"/>
        <w:jc w:val="both"/>
        <w:rPr>
          <w:sz w:val="18"/>
        </w:rPr>
      </w:pPr>
      <w:r>
        <w:rPr>
          <w:color w:val="0B0B0B"/>
          <w:sz w:val="18"/>
        </w:rPr>
        <w:t>Los contribuyentes que efectúen la deducción de gastos de previsión social, viáticos</w:t>
      </w:r>
      <w:r>
        <w:rPr>
          <w:color w:val="0B0B0B"/>
          <w:spacing w:val="-1"/>
          <w:sz w:val="18"/>
        </w:rPr>
        <w:t> </w:t>
      </w:r>
      <w:r>
        <w:rPr>
          <w:color w:val="0B0B0B"/>
          <w:sz w:val="18"/>
        </w:rPr>
        <w:t>o</w:t>
      </w:r>
      <w:r>
        <w:rPr>
          <w:color w:val="0B0B0B"/>
          <w:spacing w:val="-2"/>
          <w:sz w:val="18"/>
        </w:rPr>
        <w:t> </w:t>
      </w:r>
      <w:r>
        <w:rPr>
          <w:color w:val="0B0B0B"/>
          <w:sz w:val="18"/>
        </w:rPr>
        <w:t>gastos</w:t>
      </w:r>
      <w:r>
        <w:rPr>
          <w:color w:val="0B0B0B"/>
          <w:spacing w:val="-2"/>
          <w:sz w:val="18"/>
        </w:rPr>
        <w:t> </w:t>
      </w:r>
      <w:r>
        <w:rPr>
          <w:color w:val="0B0B0B"/>
          <w:sz w:val="18"/>
        </w:rPr>
        <w:t>de</w:t>
      </w:r>
      <w:r>
        <w:rPr>
          <w:color w:val="0B0B0B"/>
          <w:spacing w:val="-2"/>
          <w:sz w:val="18"/>
        </w:rPr>
        <w:t> </w:t>
      </w:r>
      <w:r>
        <w:rPr>
          <w:color w:val="0B0B0B"/>
          <w:sz w:val="18"/>
        </w:rPr>
        <w:t>viaje,</w:t>
      </w:r>
      <w:r>
        <w:rPr>
          <w:color w:val="0B0B0B"/>
          <w:spacing w:val="-2"/>
          <w:sz w:val="18"/>
        </w:rPr>
        <w:t> </w:t>
      </w:r>
      <w:r>
        <w:rPr>
          <w:color w:val="0B0B0B"/>
          <w:sz w:val="18"/>
        </w:rPr>
        <w:t>en</w:t>
      </w:r>
      <w:r>
        <w:rPr>
          <w:color w:val="0B0B0B"/>
          <w:spacing w:val="-1"/>
          <w:sz w:val="18"/>
        </w:rPr>
        <w:t> </w:t>
      </w:r>
      <w:r>
        <w:rPr>
          <w:color w:val="0B0B0B"/>
          <w:sz w:val="18"/>
        </w:rPr>
        <w:t>el</w:t>
      </w:r>
      <w:r>
        <w:rPr>
          <w:color w:val="0B0B0B"/>
          <w:spacing w:val="-2"/>
          <w:sz w:val="18"/>
        </w:rPr>
        <w:t> </w:t>
      </w:r>
      <w:r>
        <w:rPr>
          <w:color w:val="0B0B0B"/>
          <w:sz w:val="18"/>
        </w:rPr>
        <w:t>país</w:t>
      </w:r>
      <w:r>
        <w:rPr>
          <w:color w:val="0B0B0B"/>
          <w:spacing w:val="-2"/>
          <w:sz w:val="18"/>
        </w:rPr>
        <w:t> </w:t>
      </w:r>
      <w:r>
        <w:rPr>
          <w:color w:val="0B0B0B"/>
          <w:sz w:val="18"/>
        </w:rPr>
        <w:t>o</w:t>
      </w:r>
      <w:r>
        <w:rPr>
          <w:color w:val="0B0B0B"/>
          <w:spacing w:val="-2"/>
          <w:sz w:val="18"/>
        </w:rPr>
        <w:t> </w:t>
      </w:r>
      <w:r>
        <w:rPr>
          <w:color w:val="0B0B0B"/>
          <w:sz w:val="18"/>
        </w:rPr>
        <w:t>en</w:t>
      </w:r>
      <w:r>
        <w:rPr>
          <w:color w:val="0B0B0B"/>
          <w:spacing w:val="-1"/>
          <w:sz w:val="18"/>
        </w:rPr>
        <w:t> </w:t>
      </w:r>
      <w:r>
        <w:rPr>
          <w:color w:val="0B0B0B"/>
          <w:sz w:val="18"/>
        </w:rPr>
        <w:t>el</w:t>
      </w:r>
      <w:r>
        <w:rPr>
          <w:color w:val="0B0B0B"/>
          <w:spacing w:val="-1"/>
          <w:sz w:val="18"/>
        </w:rPr>
        <w:t> </w:t>
      </w:r>
      <w:r>
        <w:rPr>
          <w:color w:val="0B0B0B"/>
          <w:sz w:val="18"/>
        </w:rPr>
        <w:t>extranjero</w:t>
      </w:r>
      <w:r>
        <w:rPr>
          <w:color w:val="0B0B0B"/>
          <w:spacing w:val="-2"/>
          <w:sz w:val="18"/>
        </w:rPr>
        <w:t> </w:t>
      </w:r>
      <w:r>
        <w:rPr>
          <w:color w:val="0B0B0B"/>
          <w:sz w:val="18"/>
        </w:rPr>
        <w:t>cuando</w:t>
      </w:r>
      <w:r>
        <w:rPr>
          <w:color w:val="0B0B0B"/>
          <w:spacing w:val="-1"/>
          <w:sz w:val="18"/>
        </w:rPr>
        <w:t> </w:t>
      </w:r>
      <w:r>
        <w:rPr>
          <w:color w:val="0B0B0B"/>
          <w:sz w:val="18"/>
        </w:rPr>
        <w:t>no</w:t>
      </w:r>
      <w:r>
        <w:rPr>
          <w:color w:val="0B0B0B"/>
          <w:spacing w:val="-2"/>
          <w:sz w:val="18"/>
        </w:rPr>
        <w:t> </w:t>
      </w:r>
      <w:r>
        <w:rPr>
          <w:color w:val="0B0B0B"/>
          <w:sz w:val="18"/>
        </w:rPr>
        <w:t>exista</w:t>
      </w:r>
      <w:r>
        <w:rPr>
          <w:color w:val="0B0B0B"/>
          <w:spacing w:val="-2"/>
          <w:sz w:val="18"/>
        </w:rPr>
        <w:t> </w:t>
      </w:r>
      <w:r>
        <w:rPr>
          <w:color w:val="0B0B0B"/>
          <w:sz w:val="18"/>
        </w:rPr>
        <w:t>relación laboral o prestación de servicios profesionales entre la persona a favor de la</w:t>
      </w:r>
      <w:r>
        <w:rPr>
          <w:color w:val="0B0B0B"/>
          <w:spacing w:val="40"/>
          <w:sz w:val="18"/>
        </w:rPr>
        <w:t> </w:t>
      </w:r>
      <w:r>
        <w:rPr>
          <w:color w:val="0B0B0B"/>
          <w:sz w:val="18"/>
        </w:rPr>
        <w:t>cual se realizan dichas erogaciones y el contribuyente.</w:t>
      </w:r>
    </w:p>
    <w:p>
      <w:pPr>
        <w:pStyle w:val="ListParagraph"/>
        <w:numPr>
          <w:ilvl w:val="0"/>
          <w:numId w:val="9"/>
        </w:numPr>
        <w:tabs>
          <w:tab w:pos="2664" w:val="left" w:leader="none"/>
        </w:tabs>
        <w:spacing w:line="264" w:lineRule="auto" w:before="102"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5"/>
        <w:ind w:left="0"/>
        <w:jc w:val="left"/>
        <w:rPr>
          <w:sz w:val="7"/>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38"/>
        <w:gridCol w:w="4530"/>
      </w:tblGrid>
      <w:tr>
        <w:trPr>
          <w:trHeight w:val="327" w:hRule="atLeast"/>
        </w:trPr>
        <w:tc>
          <w:tcPr>
            <w:tcW w:w="2338" w:type="dxa"/>
            <w:shd w:val="clear" w:color="auto" w:fill="BDBDBD"/>
          </w:tcPr>
          <w:p>
            <w:pPr>
              <w:pStyle w:val="TableParagraph"/>
              <w:spacing w:before="32"/>
              <w:ind w:left="12"/>
              <w:jc w:val="center"/>
              <w:rPr>
                <w:rFonts w:ascii="Arial"/>
                <w:b/>
                <w:sz w:val="16"/>
              </w:rPr>
            </w:pPr>
            <w:r>
              <w:rPr>
                <w:rFonts w:ascii="Arial"/>
                <w:b/>
                <w:color w:val="0B0B0B"/>
                <w:spacing w:val="-2"/>
                <w:sz w:val="16"/>
              </w:rPr>
              <w:t>Origen</w:t>
            </w:r>
          </w:p>
        </w:tc>
        <w:tc>
          <w:tcPr>
            <w:tcW w:w="4530" w:type="dxa"/>
            <w:shd w:val="clear" w:color="auto" w:fill="BDBDBD"/>
          </w:tcPr>
          <w:p>
            <w:pPr>
              <w:pStyle w:val="TableParagraph"/>
              <w:spacing w:before="32"/>
              <w:ind w:left="12"/>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78" w:hRule="atLeast"/>
        </w:trPr>
        <w:tc>
          <w:tcPr>
            <w:tcW w:w="2338" w:type="dxa"/>
          </w:tcPr>
          <w:p>
            <w:pPr>
              <w:pStyle w:val="TableParagraph"/>
              <w:spacing w:before="32"/>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2013</w:t>
            </w:r>
          </w:p>
        </w:tc>
        <w:tc>
          <w:tcPr>
            <w:tcW w:w="4530" w:type="dxa"/>
          </w:tcPr>
          <w:p>
            <w:pPr>
              <w:pStyle w:val="TableParagraph"/>
              <w:spacing w:line="295" w:lineRule="auto" w:before="32"/>
              <w:ind w:right="56"/>
              <w:jc w:val="both"/>
              <w:rPr>
                <w:sz w:val="16"/>
              </w:rPr>
            </w:pPr>
            <w:r>
              <w:rPr>
                <w:color w:val="0B0B0B"/>
                <w:sz w:val="16"/>
              </w:rPr>
              <w:t>Publicada en el DOF el 28 de diciembre de 2012, Anexo 3, publicado en el DOF el 31 de diciembre de 2012, con el número de criterio no vinculativo 8/ISR.</w:t>
            </w:r>
          </w:p>
        </w:tc>
      </w:tr>
    </w:tbl>
    <w:p>
      <w:pPr>
        <w:pStyle w:val="BodyText"/>
        <w:spacing w:before="133"/>
        <w:ind w:left="0"/>
        <w:jc w:val="left"/>
      </w:pPr>
    </w:p>
    <w:p>
      <w:pPr>
        <w:pStyle w:val="Heading1"/>
        <w:tabs>
          <w:tab w:pos="2145" w:val="left" w:leader="none"/>
        </w:tabs>
        <w:ind w:left="1137" w:firstLine="0"/>
      </w:pPr>
      <w:r>
        <w:rPr>
          <w:color w:val="0B0B0B"/>
          <w:spacing w:val="-2"/>
        </w:rPr>
        <w:t>7/ISR/PI</w:t>
      </w:r>
      <w:r>
        <w:rPr>
          <w:color w:val="0B0B0B"/>
        </w:rPr>
        <w:tab/>
        <w:t>Deducción</w:t>
      </w:r>
      <w:r>
        <w:rPr>
          <w:color w:val="0B0B0B"/>
          <w:spacing w:val="-5"/>
        </w:rPr>
        <w:t> </w:t>
      </w:r>
      <w:r>
        <w:rPr>
          <w:color w:val="0B0B0B"/>
        </w:rPr>
        <w:t>de</w:t>
      </w:r>
      <w:r>
        <w:rPr>
          <w:color w:val="0B0B0B"/>
          <w:spacing w:val="-7"/>
        </w:rPr>
        <w:t> </w:t>
      </w:r>
      <w:r>
        <w:rPr>
          <w:color w:val="0B0B0B"/>
        </w:rPr>
        <w:t>inversiones</w:t>
      </w:r>
      <w:r>
        <w:rPr>
          <w:color w:val="0B0B0B"/>
          <w:spacing w:val="-5"/>
        </w:rPr>
        <w:t> </w:t>
      </w:r>
      <w:r>
        <w:rPr>
          <w:color w:val="0B0B0B"/>
        </w:rPr>
        <w:t>tratándose</w:t>
      </w:r>
      <w:r>
        <w:rPr>
          <w:color w:val="0B0B0B"/>
          <w:spacing w:val="-6"/>
        </w:rPr>
        <w:t> </w:t>
      </w:r>
      <w:r>
        <w:rPr>
          <w:color w:val="0B0B0B"/>
        </w:rPr>
        <w:t>de</w:t>
      </w:r>
      <w:r>
        <w:rPr>
          <w:color w:val="0B0B0B"/>
          <w:spacing w:val="-5"/>
        </w:rPr>
        <w:t> </w:t>
      </w:r>
      <w:r>
        <w:rPr>
          <w:color w:val="0B0B0B"/>
        </w:rPr>
        <w:t>activos</w:t>
      </w:r>
      <w:r>
        <w:rPr>
          <w:color w:val="0B0B0B"/>
          <w:spacing w:val="-5"/>
        </w:rPr>
        <w:t> </w:t>
      </w:r>
      <w:r>
        <w:rPr>
          <w:color w:val="0B0B0B"/>
          <w:spacing w:val="-2"/>
        </w:rPr>
        <w:t>fijos.</w:t>
      </w:r>
    </w:p>
    <w:p>
      <w:pPr>
        <w:pStyle w:val="BodyText"/>
        <w:spacing w:line="264" w:lineRule="auto" w:before="120"/>
        <w:ind w:right="257"/>
      </w:pPr>
      <w:r>
        <w:rPr>
          <w:color w:val="0B0B0B"/>
        </w:rPr>
        <w:t>El artículo 25, fracción IV de la Ley del ISR, señala que los contribuyentes podrán efectuar la deducción de inversiones.</w:t>
      </w:r>
    </w:p>
    <w:p>
      <w:pPr>
        <w:pStyle w:val="BodyText"/>
        <w:spacing w:line="261" w:lineRule="auto" w:before="98"/>
        <w:ind w:right="259"/>
      </w:pPr>
      <w:r>
        <w:rPr>
          <w:color w:val="0B0B0B"/>
        </w:rPr>
        <w:t>El activo fijo por ser considerado una inversión conforme a lo previsto en los artículos 31 y</w:t>
      </w:r>
      <w:r>
        <w:rPr>
          <w:color w:val="0B0B0B"/>
          <w:spacing w:val="-1"/>
        </w:rPr>
        <w:t> </w:t>
      </w:r>
      <w:r>
        <w:rPr>
          <w:color w:val="0B0B0B"/>
        </w:rPr>
        <w:t>32,</w:t>
      </w:r>
      <w:r>
        <w:rPr>
          <w:color w:val="0B0B0B"/>
          <w:spacing w:val="-1"/>
        </w:rPr>
        <w:t> </w:t>
      </w:r>
      <w:r>
        <w:rPr>
          <w:color w:val="0B0B0B"/>
        </w:rPr>
        <w:t>primer y</w:t>
      </w:r>
      <w:r>
        <w:rPr>
          <w:color w:val="0B0B0B"/>
          <w:spacing w:val="-3"/>
        </w:rPr>
        <w:t> </w:t>
      </w:r>
      <w:r>
        <w:rPr>
          <w:color w:val="0B0B0B"/>
        </w:rPr>
        <w:t>segundo</w:t>
      </w:r>
      <w:r>
        <w:rPr>
          <w:color w:val="0B0B0B"/>
          <w:spacing w:val="-1"/>
        </w:rPr>
        <w:t> </w:t>
      </w:r>
      <w:r>
        <w:rPr>
          <w:color w:val="0B0B0B"/>
        </w:rPr>
        <w:t>párrafos</w:t>
      </w:r>
      <w:r>
        <w:rPr>
          <w:color w:val="0B0B0B"/>
          <w:spacing w:val="-1"/>
        </w:rPr>
        <w:t> </w:t>
      </w:r>
      <w:r>
        <w:rPr>
          <w:color w:val="0B0B0B"/>
        </w:rPr>
        <w:t>de la</w:t>
      </w:r>
      <w:r>
        <w:rPr>
          <w:color w:val="0B0B0B"/>
          <w:spacing w:val="-1"/>
        </w:rPr>
        <w:t> </w:t>
      </w:r>
      <w:r>
        <w:rPr>
          <w:color w:val="0B0B0B"/>
        </w:rPr>
        <w:t>Ley</w:t>
      </w:r>
      <w:r>
        <w:rPr>
          <w:color w:val="0B0B0B"/>
          <w:spacing w:val="-1"/>
        </w:rPr>
        <w:t> </w:t>
      </w:r>
      <w:r>
        <w:rPr>
          <w:color w:val="0B0B0B"/>
        </w:rPr>
        <w:t>del</w:t>
      </w:r>
      <w:r>
        <w:rPr>
          <w:color w:val="0B0B0B"/>
          <w:spacing w:val="-1"/>
        </w:rPr>
        <w:t> </w:t>
      </w:r>
      <w:r>
        <w:rPr>
          <w:color w:val="0B0B0B"/>
        </w:rPr>
        <w:t>ISR,</w:t>
      </w:r>
      <w:r>
        <w:rPr>
          <w:color w:val="0B0B0B"/>
          <w:spacing w:val="-1"/>
        </w:rPr>
        <w:t> </w:t>
      </w:r>
      <w:r>
        <w:rPr>
          <w:color w:val="0B0B0B"/>
        </w:rPr>
        <w:t>únicamente</w:t>
      </w:r>
      <w:r>
        <w:rPr>
          <w:color w:val="0B0B0B"/>
          <w:spacing w:val="-1"/>
        </w:rPr>
        <w:t> </w:t>
      </w:r>
      <w:r>
        <w:rPr>
          <w:color w:val="0B0B0B"/>
        </w:rPr>
        <w:t>se deduce</w:t>
      </w:r>
      <w:r>
        <w:rPr>
          <w:color w:val="0B0B0B"/>
          <w:spacing w:val="-1"/>
        </w:rPr>
        <w:t> </w:t>
      </w:r>
      <w:r>
        <w:rPr>
          <w:color w:val="0B0B0B"/>
        </w:rPr>
        <w:t>mediante la aplicación, en cada ejercicio, de los por cientos máximos autorizados que establece dicha Ley sobre el monto original de la inversión.</w:t>
      </w:r>
    </w:p>
    <w:p>
      <w:pPr>
        <w:pStyle w:val="BodyText"/>
        <w:spacing w:before="103"/>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BodyText"/>
        <w:spacing w:after="0"/>
        <w:sectPr>
          <w:headerReference w:type="default" r:id="rId17"/>
          <w:pgSz w:w="12240" w:h="15840"/>
          <w:pgMar w:header="690" w:footer="0" w:top="1040" w:bottom="280" w:left="1440" w:right="1440"/>
        </w:sectPr>
      </w:pPr>
    </w:p>
    <w:p>
      <w:pPr>
        <w:pStyle w:val="ListParagraph"/>
        <w:numPr>
          <w:ilvl w:val="0"/>
          <w:numId w:val="10"/>
        </w:numPr>
        <w:tabs>
          <w:tab w:pos="2664" w:val="left" w:leader="none"/>
        </w:tabs>
        <w:spacing w:line="249" w:lineRule="auto" w:before="112" w:after="0"/>
        <w:ind w:left="2664" w:right="260" w:hanging="504"/>
        <w:jc w:val="both"/>
        <w:rPr>
          <w:sz w:val="18"/>
        </w:rPr>
      </w:pPr>
      <w:r>
        <w:rPr>
          <w:color w:val="0B0B0B"/>
          <w:sz w:val="18"/>
        </w:rPr>
        <w:t>Deducir inversiones en activo fijo, dándoles el tratamiento fiscal aplicable a los gastos, como acontece tratándose de las siguientes adquisiciones:</w:t>
      </w:r>
    </w:p>
    <w:p>
      <w:pPr>
        <w:pStyle w:val="ListParagraph"/>
        <w:numPr>
          <w:ilvl w:val="1"/>
          <w:numId w:val="10"/>
        </w:numPr>
        <w:tabs>
          <w:tab w:pos="3108" w:val="left" w:leader="none"/>
          <w:tab w:pos="3110" w:val="left" w:leader="none"/>
        </w:tabs>
        <w:spacing w:line="249" w:lineRule="auto" w:before="97" w:after="0"/>
        <w:ind w:left="3110" w:right="257" w:hanging="433"/>
        <w:jc w:val="both"/>
        <w:rPr>
          <w:sz w:val="18"/>
        </w:rPr>
      </w:pPr>
      <w:r>
        <w:rPr>
          <w:color w:val="0B0B0B"/>
          <w:sz w:val="18"/>
        </w:rPr>
        <w:t>De cable para transmitir datos, voz, imágenes, etc., salvo que se trate de adquisiciones con fines de mantenimiento o reparación.</w:t>
      </w:r>
    </w:p>
    <w:p>
      <w:pPr>
        <w:pStyle w:val="ListParagraph"/>
        <w:numPr>
          <w:ilvl w:val="1"/>
          <w:numId w:val="10"/>
        </w:numPr>
        <w:tabs>
          <w:tab w:pos="3108" w:val="left" w:leader="none"/>
          <w:tab w:pos="3110" w:val="left" w:leader="none"/>
        </w:tabs>
        <w:spacing w:line="249" w:lineRule="auto" w:before="97" w:after="0"/>
        <w:ind w:left="3110" w:right="257" w:hanging="432"/>
        <w:jc w:val="both"/>
        <w:rPr>
          <w:sz w:val="18"/>
        </w:rPr>
      </w:pPr>
      <w:r>
        <w:rPr>
          <w:color w:val="0B0B0B"/>
          <w:sz w:val="18"/>
        </w:rPr>
        <w:t>De bienes, como son los refrigeradores, enfriadores, envases retornables, etc., que sean puestos</w:t>
      </w:r>
      <w:r>
        <w:rPr>
          <w:color w:val="0B0B0B"/>
          <w:sz w:val="18"/>
        </w:rPr>
        <w:t> a disposición de los detallistas que enajenan al menudeo los refrescos y las cervezas.</w:t>
      </w:r>
    </w:p>
    <w:p>
      <w:pPr>
        <w:pStyle w:val="ListParagraph"/>
        <w:numPr>
          <w:ilvl w:val="0"/>
          <w:numId w:val="10"/>
        </w:numPr>
        <w:tabs>
          <w:tab w:pos="2664" w:val="left" w:leader="none"/>
        </w:tabs>
        <w:spacing w:line="249" w:lineRule="auto" w:before="99" w:after="0"/>
        <w:ind w:left="2664" w:right="259" w:hanging="504"/>
        <w:jc w:val="both"/>
        <w:rPr>
          <w:sz w:val="18"/>
        </w:rPr>
      </w:pPr>
      <w:r>
        <w:rPr>
          <w:color w:val="0B0B0B"/>
          <w:sz w:val="18"/>
        </w:rPr>
        <w:t>Asesorar, aconsejar, prestar servicios o participar en la realización o la implementación de las prácticas anteriores.</w:t>
      </w:r>
    </w:p>
    <w:p>
      <w:pPr>
        <w:pStyle w:val="BodyText"/>
        <w:spacing w:before="1"/>
        <w:ind w:left="0"/>
        <w:jc w:val="left"/>
        <w:rPr>
          <w:sz w:val="8"/>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93"/>
        <w:gridCol w:w="4475"/>
      </w:tblGrid>
      <w:tr>
        <w:trPr>
          <w:trHeight w:val="312" w:hRule="atLeast"/>
        </w:trPr>
        <w:tc>
          <w:tcPr>
            <w:tcW w:w="2393"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475" w:type="dxa"/>
            <w:shd w:val="clear" w:color="auto" w:fill="BDBDBD"/>
          </w:tcPr>
          <w:p>
            <w:pPr>
              <w:pStyle w:val="TableParagraph"/>
              <w:ind w:left="149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3" w:hRule="atLeast"/>
        </w:trPr>
        <w:tc>
          <w:tcPr>
            <w:tcW w:w="2393" w:type="dxa"/>
          </w:tcPr>
          <w:p>
            <w:pPr>
              <w:pStyle w:val="TableParagraph"/>
              <w:spacing w:line="280" w:lineRule="auto" w:before="22"/>
              <w:ind w:right="55"/>
              <w:jc w:val="both"/>
              <w:rPr>
                <w:sz w:val="16"/>
              </w:rPr>
            </w:pPr>
            <w:r>
              <w:rPr>
                <w:color w:val="0B0B0B"/>
                <w:sz w:val="16"/>
              </w:rPr>
              <w:t>Novena Resolución </w:t>
            </w:r>
            <w:r>
              <w:rPr>
                <w:color w:val="0B0B0B"/>
                <w:sz w:val="16"/>
              </w:rPr>
              <w:t>de Modificaciones a la RMF para </w:t>
            </w:r>
            <w:r>
              <w:rPr>
                <w:color w:val="0B0B0B"/>
                <w:spacing w:val="-4"/>
                <w:sz w:val="16"/>
              </w:rPr>
              <w:t>2006</w:t>
            </w:r>
          </w:p>
        </w:tc>
        <w:tc>
          <w:tcPr>
            <w:tcW w:w="4475" w:type="dxa"/>
          </w:tcPr>
          <w:p>
            <w:pPr>
              <w:pStyle w:val="TableParagraph"/>
              <w:spacing w:line="280" w:lineRule="auto" w:before="22"/>
              <w:ind w:right="57"/>
              <w:jc w:val="both"/>
              <w:rPr>
                <w:sz w:val="16"/>
              </w:rPr>
            </w:pPr>
            <w:r>
              <w:rPr>
                <w:color w:val="0B0B0B"/>
                <w:sz w:val="16"/>
              </w:rPr>
              <w:t>Publicada</w:t>
            </w:r>
            <w:r>
              <w:rPr>
                <w:color w:val="0B0B0B"/>
                <w:spacing w:val="-3"/>
                <w:sz w:val="16"/>
              </w:rPr>
              <w:t> </w:t>
            </w:r>
            <w:r>
              <w:rPr>
                <w:color w:val="0B0B0B"/>
                <w:sz w:val="16"/>
              </w:rPr>
              <w:t>en</w:t>
            </w:r>
            <w:r>
              <w:rPr>
                <w:color w:val="0B0B0B"/>
                <w:spacing w:val="-3"/>
                <w:sz w:val="16"/>
              </w:rPr>
              <w:t> </w:t>
            </w:r>
            <w:r>
              <w:rPr>
                <w:color w:val="0B0B0B"/>
                <w:sz w:val="16"/>
              </w:rPr>
              <w:t>el</w:t>
            </w:r>
            <w:r>
              <w:rPr>
                <w:color w:val="0B0B0B"/>
                <w:spacing w:val="-2"/>
                <w:sz w:val="16"/>
              </w:rPr>
              <w:t> </w:t>
            </w:r>
            <w:r>
              <w:rPr>
                <w:color w:val="0B0B0B"/>
                <w:sz w:val="16"/>
              </w:rPr>
              <w:t>DOF</w:t>
            </w:r>
            <w:r>
              <w:rPr>
                <w:color w:val="0B0B0B"/>
                <w:spacing w:val="-2"/>
                <w:sz w:val="16"/>
              </w:rPr>
              <w:t> </w:t>
            </w:r>
            <w:r>
              <w:rPr>
                <w:color w:val="0B0B0B"/>
                <w:sz w:val="16"/>
              </w:rPr>
              <w:t>el</w:t>
            </w:r>
            <w:r>
              <w:rPr>
                <w:color w:val="0B0B0B"/>
                <w:spacing w:val="-3"/>
                <w:sz w:val="16"/>
              </w:rPr>
              <w:t> </w:t>
            </w:r>
            <w:r>
              <w:rPr>
                <w:color w:val="0B0B0B"/>
                <w:sz w:val="16"/>
              </w:rPr>
              <w:t>30</w:t>
            </w:r>
            <w:r>
              <w:rPr>
                <w:color w:val="0B0B0B"/>
                <w:spacing w:val="-2"/>
                <w:sz w:val="16"/>
              </w:rPr>
              <w:t> </w:t>
            </w:r>
            <w:r>
              <w:rPr>
                <w:color w:val="0B0B0B"/>
                <w:sz w:val="16"/>
              </w:rPr>
              <w:t>de</w:t>
            </w:r>
            <w:r>
              <w:rPr>
                <w:color w:val="0B0B0B"/>
                <w:spacing w:val="-3"/>
                <w:sz w:val="16"/>
              </w:rPr>
              <w:t> </w:t>
            </w:r>
            <w:r>
              <w:rPr>
                <w:color w:val="0B0B0B"/>
                <w:sz w:val="16"/>
              </w:rPr>
              <w:t>noviembre</w:t>
            </w:r>
            <w:r>
              <w:rPr>
                <w:color w:val="0B0B0B"/>
                <w:spacing w:val="-3"/>
                <w:sz w:val="16"/>
              </w:rPr>
              <w:t> </w:t>
            </w:r>
            <w:r>
              <w:rPr>
                <w:color w:val="0B0B0B"/>
                <w:sz w:val="16"/>
              </w:rPr>
              <w:t>de</w:t>
            </w:r>
            <w:r>
              <w:rPr>
                <w:color w:val="0B0B0B"/>
                <w:spacing w:val="-3"/>
                <w:sz w:val="16"/>
              </w:rPr>
              <w:t> </w:t>
            </w:r>
            <w:r>
              <w:rPr>
                <w:color w:val="0B0B0B"/>
                <w:sz w:val="16"/>
              </w:rPr>
              <w:t>2006,</w:t>
            </w:r>
            <w:r>
              <w:rPr>
                <w:color w:val="0B0B0B"/>
                <w:spacing w:val="-3"/>
                <w:sz w:val="16"/>
              </w:rPr>
              <w:t> </w:t>
            </w:r>
            <w:r>
              <w:rPr>
                <w:color w:val="0B0B0B"/>
                <w:sz w:val="16"/>
              </w:rPr>
              <w:t>Anexo</w:t>
            </w:r>
            <w:r>
              <w:rPr>
                <w:color w:val="0B0B0B"/>
                <w:spacing w:val="-2"/>
                <w:sz w:val="16"/>
              </w:rPr>
              <w:t> </w:t>
            </w:r>
            <w:r>
              <w:rPr>
                <w:color w:val="0B0B0B"/>
                <w:sz w:val="16"/>
              </w:rPr>
              <w:t>26, publicado en el DOF el 7 de diciembre de 2006, con el número de criterio no vinculativo 3/ISR.</w:t>
            </w:r>
          </w:p>
        </w:tc>
      </w:tr>
    </w:tbl>
    <w:p>
      <w:pPr>
        <w:pStyle w:val="BodyText"/>
        <w:spacing w:before="110"/>
        <w:ind w:left="0"/>
        <w:jc w:val="left"/>
      </w:pPr>
    </w:p>
    <w:p>
      <w:pPr>
        <w:pStyle w:val="Heading1"/>
        <w:tabs>
          <w:tab w:pos="2145" w:val="left" w:leader="none"/>
        </w:tabs>
        <w:ind w:left="1137" w:firstLine="0"/>
      </w:pPr>
      <w:r>
        <w:rPr>
          <w:color w:val="0B0B0B"/>
          <w:spacing w:val="-2"/>
        </w:rPr>
        <w:t>8/ISR/PI</w:t>
      </w:r>
      <w:r>
        <w:rPr>
          <w:color w:val="0B0B0B"/>
        </w:rPr>
        <w:tab/>
        <w:t>Instituciones</w:t>
      </w:r>
      <w:r>
        <w:rPr>
          <w:color w:val="0B0B0B"/>
          <w:spacing w:val="-5"/>
        </w:rPr>
        <w:t> </w:t>
      </w:r>
      <w:r>
        <w:rPr>
          <w:color w:val="0B0B0B"/>
        </w:rPr>
        <w:t>del</w:t>
      </w:r>
      <w:r>
        <w:rPr>
          <w:color w:val="0B0B0B"/>
          <w:spacing w:val="-3"/>
        </w:rPr>
        <w:t> </w:t>
      </w:r>
      <w:r>
        <w:rPr>
          <w:color w:val="0B0B0B"/>
        </w:rPr>
        <w:t>sistema</w:t>
      </w:r>
      <w:r>
        <w:rPr>
          <w:color w:val="0B0B0B"/>
          <w:spacing w:val="-3"/>
        </w:rPr>
        <w:t> </w:t>
      </w:r>
      <w:r>
        <w:rPr>
          <w:color w:val="0B0B0B"/>
        </w:rPr>
        <w:t>financiero.</w:t>
      </w:r>
      <w:r>
        <w:rPr>
          <w:color w:val="0B0B0B"/>
          <w:spacing w:val="-3"/>
        </w:rPr>
        <w:t> </w:t>
      </w:r>
      <w:r>
        <w:rPr>
          <w:color w:val="0B0B0B"/>
        </w:rPr>
        <w:t>Retención</w:t>
      </w:r>
      <w:r>
        <w:rPr>
          <w:color w:val="0B0B0B"/>
          <w:spacing w:val="-3"/>
        </w:rPr>
        <w:t> </w:t>
      </w:r>
      <w:r>
        <w:rPr>
          <w:color w:val="0B0B0B"/>
        </w:rPr>
        <w:t>del</w:t>
      </w:r>
      <w:r>
        <w:rPr>
          <w:color w:val="0B0B0B"/>
          <w:spacing w:val="-3"/>
        </w:rPr>
        <w:t> </w:t>
      </w:r>
      <w:r>
        <w:rPr>
          <w:color w:val="0B0B0B"/>
        </w:rPr>
        <w:t>ISR</w:t>
      </w:r>
      <w:r>
        <w:rPr>
          <w:color w:val="0B0B0B"/>
          <w:spacing w:val="-3"/>
        </w:rPr>
        <w:t> </w:t>
      </w:r>
      <w:r>
        <w:rPr>
          <w:color w:val="0B0B0B"/>
        </w:rPr>
        <w:t>por</w:t>
      </w:r>
      <w:r>
        <w:rPr>
          <w:color w:val="0B0B0B"/>
          <w:spacing w:val="-3"/>
        </w:rPr>
        <w:t> </w:t>
      </w:r>
      <w:r>
        <w:rPr>
          <w:color w:val="0B0B0B"/>
          <w:spacing w:val="-2"/>
        </w:rPr>
        <w:t>intereses.</w:t>
      </w:r>
    </w:p>
    <w:p>
      <w:pPr>
        <w:pStyle w:val="BodyText"/>
        <w:spacing w:line="249" w:lineRule="auto" w:before="105"/>
        <w:ind w:right="257"/>
      </w:pPr>
      <w:r>
        <w:rPr>
          <w:color w:val="0B0B0B"/>
        </w:rPr>
        <w:t>El artículo 54, primer párrafo de la Ley del ISR establece que, las instituciones que componen el sistema financiero que efectúen pagos por intereses, deberán retener y enterar el impuesto</w:t>
      </w:r>
      <w:r>
        <w:rPr>
          <w:color w:val="0B0B0B"/>
          <w:spacing w:val="-1"/>
        </w:rPr>
        <w:t> </w:t>
      </w:r>
      <w:r>
        <w:rPr>
          <w:color w:val="0B0B0B"/>
        </w:rPr>
        <w:t>aplicando la</w:t>
      </w:r>
      <w:r>
        <w:rPr>
          <w:color w:val="0B0B0B"/>
          <w:spacing w:val="-1"/>
        </w:rPr>
        <w:t> </w:t>
      </w:r>
      <w:r>
        <w:rPr>
          <w:color w:val="0B0B0B"/>
        </w:rPr>
        <w:t>tasa que</w:t>
      </w:r>
      <w:r>
        <w:rPr>
          <w:color w:val="0B0B0B"/>
          <w:spacing w:val="-1"/>
        </w:rPr>
        <w:t> </w:t>
      </w:r>
      <w:r>
        <w:rPr>
          <w:color w:val="0B0B0B"/>
        </w:rPr>
        <w:t>al efecto</w:t>
      </w:r>
      <w:r>
        <w:rPr>
          <w:color w:val="0B0B0B"/>
          <w:spacing w:val="-1"/>
        </w:rPr>
        <w:t> </w:t>
      </w:r>
      <w:r>
        <w:rPr>
          <w:color w:val="0B0B0B"/>
        </w:rPr>
        <w:t>establezca</w:t>
      </w:r>
      <w:r>
        <w:rPr>
          <w:color w:val="0B0B0B"/>
          <w:spacing w:val="-1"/>
        </w:rPr>
        <w:t> </w:t>
      </w:r>
      <w:r>
        <w:rPr>
          <w:color w:val="0B0B0B"/>
        </w:rPr>
        <w:t>el Congreso de</w:t>
      </w:r>
      <w:r>
        <w:rPr>
          <w:color w:val="0B0B0B"/>
          <w:spacing w:val="-1"/>
        </w:rPr>
        <w:t> </w:t>
      </w:r>
      <w:r>
        <w:rPr>
          <w:color w:val="0B0B0B"/>
        </w:rPr>
        <w:t>la</w:t>
      </w:r>
      <w:r>
        <w:rPr>
          <w:color w:val="0B0B0B"/>
          <w:spacing w:val="-1"/>
        </w:rPr>
        <w:t> </w:t>
      </w:r>
      <w:r>
        <w:rPr>
          <w:color w:val="0B0B0B"/>
        </w:rPr>
        <w:t>Unión para el ejercicio de que se trate</w:t>
      </w:r>
      <w:r>
        <w:rPr>
          <w:color w:val="0B0B0B"/>
        </w:rPr>
        <w:t> en la Ley de Ingresos de la Federación, sobre el</w:t>
      </w:r>
      <w:r>
        <w:rPr>
          <w:color w:val="0B0B0B"/>
          <w:spacing w:val="40"/>
        </w:rPr>
        <w:t> </w:t>
      </w:r>
      <w:r>
        <w:rPr>
          <w:color w:val="0B0B0B"/>
        </w:rPr>
        <w:t>monto del capital que dé lugar al pago de los intereses, como pago provisional.</w:t>
      </w:r>
    </w:p>
    <w:p>
      <w:pPr>
        <w:pStyle w:val="BodyText"/>
        <w:spacing w:line="249" w:lineRule="auto" w:before="100"/>
        <w:ind w:right="257"/>
      </w:pPr>
      <w:r>
        <w:rPr>
          <w:color w:val="0B0B0B"/>
        </w:rPr>
        <w:t>La fracción II de dicho artículo dispone que no se efectuará la retención a que se refiere el primer párrafo</w:t>
      </w:r>
      <w:r>
        <w:rPr>
          <w:color w:val="0B0B0B"/>
        </w:rPr>
        <w:t> del mismo artículo, tratándose de intereses</w:t>
      </w:r>
      <w:r>
        <w:rPr>
          <w:color w:val="0B0B0B"/>
        </w:rPr>
        <w:t> que se paguen entre el Banco de México, las instituciones que componen el sistema financiero y las sociedades de inversión especializadas de fondos para el retiro. Asimismo, la fracción citada señala que no será aplicable lo señalado en ella –es decir, sí se efectuará la retención a que se refiere el artículo 54, primer párrafo de la Ley del ISR–, tratándose de intereses</w:t>
      </w:r>
      <w:r>
        <w:rPr>
          <w:color w:val="0B0B0B"/>
        </w:rPr>
        <w:t> que deriven de pasivos que no sean a cargo de las instituciones que componen el sistema financiero o las sociedades de inversión especializadas de fondos para el retiro, así como cuando estas actúen por cuenta de terceros.</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1"/>
        </w:numPr>
        <w:tabs>
          <w:tab w:pos="2664" w:val="left" w:leader="none"/>
        </w:tabs>
        <w:spacing w:line="249" w:lineRule="auto" w:before="105" w:after="0"/>
        <w:ind w:left="2664" w:right="258" w:hanging="504"/>
        <w:jc w:val="both"/>
        <w:rPr>
          <w:sz w:val="18"/>
        </w:rPr>
      </w:pPr>
      <w:r>
        <w:rPr>
          <w:color w:val="0B0B0B"/>
          <w:sz w:val="18"/>
        </w:rPr>
        <w:t>La institución del sistema financiero que efectúe pagos por intereses y que no realice la retención a que se refiere el artículo 54, primer párrafo de la Ley del ISR, tratándose de los supuestos siguientes:</w:t>
      </w:r>
    </w:p>
    <w:p>
      <w:pPr>
        <w:pStyle w:val="ListParagraph"/>
        <w:numPr>
          <w:ilvl w:val="1"/>
          <w:numId w:val="11"/>
        </w:numPr>
        <w:tabs>
          <w:tab w:pos="3110" w:val="left" w:leader="none"/>
        </w:tabs>
        <w:spacing w:line="249" w:lineRule="auto" w:before="98" w:after="0"/>
        <w:ind w:left="3110" w:right="258" w:hanging="432"/>
        <w:jc w:val="both"/>
        <w:rPr>
          <w:sz w:val="18"/>
        </w:rPr>
      </w:pPr>
      <w:r>
        <w:rPr>
          <w:color w:val="0B0B0B"/>
          <w:sz w:val="18"/>
        </w:rPr>
        <w:t>Intereses que deriven de pasivos que no sean a cargo de las instituciones que componen el sistema financiero o de las sociedades de inversión especializadas de fondos para el retiro.</w:t>
      </w:r>
    </w:p>
    <w:p>
      <w:pPr>
        <w:pStyle w:val="ListParagraph"/>
        <w:numPr>
          <w:ilvl w:val="1"/>
          <w:numId w:val="11"/>
        </w:numPr>
        <w:tabs>
          <w:tab w:pos="3108" w:val="left" w:leader="none"/>
          <w:tab w:pos="3110" w:val="left" w:leader="none"/>
        </w:tabs>
        <w:spacing w:line="249" w:lineRule="auto" w:before="98" w:after="0"/>
        <w:ind w:left="3110" w:right="259" w:hanging="432"/>
        <w:jc w:val="both"/>
        <w:rPr>
          <w:sz w:val="18"/>
        </w:rPr>
      </w:pPr>
      <w:r>
        <w:rPr>
          <w:color w:val="0B0B0B"/>
          <w:sz w:val="18"/>
        </w:rPr>
        <w:t>Intereses que se paguen a las instituciones que componen el sistema financiero o a las sociedades de inversión especializadas de fondos para</w:t>
      </w:r>
      <w:r>
        <w:rPr>
          <w:color w:val="0B0B0B"/>
          <w:spacing w:val="40"/>
          <w:sz w:val="18"/>
        </w:rPr>
        <w:t> </w:t>
      </w:r>
      <w:r>
        <w:rPr>
          <w:color w:val="0B0B0B"/>
          <w:sz w:val="18"/>
        </w:rPr>
        <w:t>el retiro, cuando estas actúen por cuenta de terceros.</w:t>
      </w:r>
    </w:p>
    <w:p>
      <w:pPr>
        <w:pStyle w:val="ListParagraph"/>
        <w:numPr>
          <w:ilvl w:val="0"/>
          <w:numId w:val="11"/>
        </w:numPr>
        <w:tabs>
          <w:tab w:pos="2664" w:val="left" w:leader="none"/>
        </w:tabs>
        <w:spacing w:line="249" w:lineRule="auto" w:before="98"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2"/>
        <w:ind w:left="0"/>
        <w:jc w:val="left"/>
        <w:rPr>
          <w:sz w:val="8"/>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93"/>
        <w:gridCol w:w="4475"/>
      </w:tblGrid>
      <w:tr>
        <w:trPr>
          <w:trHeight w:val="311" w:hRule="atLeast"/>
        </w:trPr>
        <w:tc>
          <w:tcPr>
            <w:tcW w:w="2393" w:type="dxa"/>
            <w:shd w:val="clear" w:color="auto" w:fill="BDBDBD"/>
          </w:tcPr>
          <w:p>
            <w:pPr>
              <w:pStyle w:val="TableParagraph"/>
              <w:spacing w:before="22"/>
              <w:ind w:left="13"/>
              <w:jc w:val="center"/>
              <w:rPr>
                <w:rFonts w:ascii="Arial"/>
                <w:b/>
                <w:sz w:val="16"/>
              </w:rPr>
            </w:pPr>
            <w:r>
              <w:rPr>
                <w:rFonts w:ascii="Arial"/>
                <w:b/>
                <w:color w:val="0B0B0B"/>
                <w:spacing w:val="-2"/>
                <w:sz w:val="16"/>
              </w:rPr>
              <w:t>Origen</w:t>
            </w:r>
          </w:p>
        </w:tc>
        <w:tc>
          <w:tcPr>
            <w:tcW w:w="4475" w:type="dxa"/>
            <w:shd w:val="clear" w:color="auto" w:fill="BDBDBD"/>
          </w:tcPr>
          <w:p>
            <w:pPr>
              <w:pStyle w:val="TableParagraph"/>
              <w:spacing w:before="22"/>
              <w:ind w:left="149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3" w:hRule="atLeast"/>
        </w:trPr>
        <w:tc>
          <w:tcPr>
            <w:tcW w:w="2393" w:type="dxa"/>
          </w:tcPr>
          <w:p>
            <w:pPr>
              <w:pStyle w:val="TableParagraph"/>
              <w:spacing w:line="280" w:lineRule="auto"/>
              <w:ind w:right="56"/>
              <w:jc w:val="both"/>
              <w:rPr>
                <w:sz w:val="16"/>
              </w:rPr>
            </w:pPr>
            <w:r>
              <w:rPr>
                <w:color w:val="0B0B0B"/>
                <w:sz w:val="16"/>
              </w:rPr>
              <w:t>Segunda Resolución </w:t>
            </w:r>
            <w:r>
              <w:rPr>
                <w:color w:val="0B0B0B"/>
                <w:sz w:val="16"/>
              </w:rPr>
              <w:t>de Modificaciones a la RMF para </w:t>
            </w:r>
            <w:r>
              <w:rPr>
                <w:color w:val="0B0B0B"/>
                <w:spacing w:val="-4"/>
                <w:sz w:val="16"/>
              </w:rPr>
              <w:t>2010</w:t>
            </w:r>
          </w:p>
        </w:tc>
        <w:tc>
          <w:tcPr>
            <w:tcW w:w="4475" w:type="dxa"/>
          </w:tcPr>
          <w:p>
            <w:pPr>
              <w:pStyle w:val="TableParagraph"/>
              <w:spacing w:line="280" w:lineRule="auto"/>
              <w:ind w:right="57"/>
              <w:jc w:val="both"/>
              <w:rPr>
                <w:sz w:val="16"/>
              </w:rPr>
            </w:pPr>
            <w:r>
              <w:rPr>
                <w:color w:val="0B0B0B"/>
                <w:sz w:val="16"/>
              </w:rPr>
              <w:t>Publicada en el DOF el 3 de diciembre de 2010, Anexo 3, publicado en el DOF el 7 de diciembre de 2010, con el número de criterio no vinculativo 21/ISR.</w:t>
            </w:r>
          </w:p>
        </w:tc>
      </w:tr>
    </w:tbl>
    <w:p>
      <w:pPr>
        <w:pStyle w:val="BodyText"/>
        <w:spacing w:before="110"/>
        <w:ind w:left="0"/>
        <w:jc w:val="left"/>
      </w:pPr>
    </w:p>
    <w:p>
      <w:pPr>
        <w:pStyle w:val="Heading1"/>
        <w:tabs>
          <w:tab w:pos="2145" w:val="left" w:leader="none"/>
        </w:tabs>
        <w:ind w:left="1137" w:firstLine="0"/>
      </w:pPr>
      <w:r>
        <w:rPr>
          <w:color w:val="0B0B0B"/>
          <w:spacing w:val="-2"/>
        </w:rPr>
        <w:t>9/ISR/PI</w:t>
      </w:r>
      <w:r>
        <w:rPr>
          <w:color w:val="0B0B0B"/>
        </w:rPr>
        <w:tab/>
        <w:t>Desincorporación</w:t>
      </w:r>
      <w:r>
        <w:rPr>
          <w:color w:val="0B0B0B"/>
          <w:spacing w:val="-3"/>
        </w:rPr>
        <w:t> </w:t>
      </w:r>
      <w:r>
        <w:rPr>
          <w:color w:val="0B0B0B"/>
        </w:rPr>
        <w:t>de</w:t>
      </w:r>
      <w:r>
        <w:rPr>
          <w:color w:val="0B0B0B"/>
          <w:spacing w:val="-2"/>
        </w:rPr>
        <w:t> </w:t>
      </w:r>
      <w:r>
        <w:rPr>
          <w:color w:val="0B0B0B"/>
        </w:rPr>
        <w:t>sociedades</w:t>
      </w:r>
      <w:r>
        <w:rPr>
          <w:color w:val="0B0B0B"/>
          <w:spacing w:val="-2"/>
        </w:rPr>
        <w:t> controladas.</w:t>
      </w:r>
    </w:p>
    <w:p>
      <w:pPr>
        <w:pStyle w:val="BodyText"/>
        <w:spacing w:line="249" w:lineRule="auto" w:before="105"/>
        <w:ind w:right="257"/>
      </w:pPr>
      <w:r>
        <w:rPr>
          <w:color w:val="0B0B0B"/>
        </w:rPr>
        <w:t>Las sociedades controladoras que hubieran optado por considerar su resultado fiscal consolidado,</w:t>
      </w:r>
      <w:r>
        <w:rPr>
          <w:color w:val="0B0B0B"/>
          <w:spacing w:val="-2"/>
        </w:rPr>
        <w:t> </w:t>
      </w:r>
      <w:r>
        <w:rPr>
          <w:color w:val="0B0B0B"/>
        </w:rPr>
        <w:t>deben</w:t>
      </w:r>
      <w:r>
        <w:rPr>
          <w:color w:val="0B0B0B"/>
          <w:spacing w:val="-2"/>
        </w:rPr>
        <w:t> </w:t>
      </w:r>
      <w:r>
        <w:rPr>
          <w:color w:val="0B0B0B"/>
        </w:rPr>
        <w:t>determinarlo</w:t>
      </w:r>
      <w:r>
        <w:rPr>
          <w:color w:val="0B0B0B"/>
          <w:spacing w:val="-2"/>
        </w:rPr>
        <w:t> </w:t>
      </w:r>
      <w:r>
        <w:rPr>
          <w:color w:val="0B0B0B"/>
        </w:rPr>
        <w:t>conforme</w:t>
      </w:r>
      <w:r>
        <w:rPr>
          <w:color w:val="0B0B0B"/>
          <w:spacing w:val="-1"/>
        </w:rPr>
        <w:t> </w:t>
      </w:r>
      <w:r>
        <w:rPr>
          <w:color w:val="0B0B0B"/>
        </w:rPr>
        <w:t>a</w:t>
      </w:r>
      <w:r>
        <w:rPr>
          <w:color w:val="0B0B0B"/>
          <w:spacing w:val="-2"/>
        </w:rPr>
        <w:t> </w:t>
      </w:r>
      <w:r>
        <w:rPr>
          <w:color w:val="0B0B0B"/>
        </w:rPr>
        <w:t>lo</w:t>
      </w:r>
      <w:r>
        <w:rPr>
          <w:color w:val="0B0B0B"/>
          <w:spacing w:val="-2"/>
        </w:rPr>
        <w:t> </w:t>
      </w:r>
      <w:r>
        <w:rPr>
          <w:color w:val="0B0B0B"/>
        </w:rPr>
        <w:t>señalado</w:t>
      </w:r>
      <w:r>
        <w:rPr>
          <w:color w:val="0B0B0B"/>
          <w:spacing w:val="-2"/>
        </w:rPr>
        <w:t> </w:t>
      </w:r>
      <w:r>
        <w:rPr>
          <w:color w:val="0B0B0B"/>
        </w:rPr>
        <w:t>en</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68</w:t>
      </w:r>
      <w:r>
        <w:rPr>
          <w:color w:val="0B0B0B"/>
          <w:spacing w:val="-1"/>
        </w:rPr>
        <w:t> </w:t>
      </w:r>
      <w:r>
        <w:rPr>
          <w:color w:val="0B0B0B"/>
        </w:rPr>
        <w:t>de</w:t>
      </w:r>
      <w:r>
        <w:rPr>
          <w:color w:val="0B0B0B"/>
          <w:spacing w:val="-2"/>
        </w:rPr>
        <w:t> </w:t>
      </w:r>
      <w:r>
        <w:rPr>
          <w:color w:val="0B0B0B"/>
        </w:rPr>
        <w:t>la</w:t>
      </w:r>
      <w:r>
        <w:rPr>
          <w:color w:val="0B0B0B"/>
          <w:spacing w:val="-1"/>
        </w:rPr>
        <w:t> </w:t>
      </w:r>
      <w:r>
        <w:rPr>
          <w:color w:val="0B0B0B"/>
        </w:rPr>
        <w:t>Ley</w:t>
      </w:r>
      <w:r>
        <w:rPr>
          <w:color w:val="0B0B0B"/>
          <w:spacing w:val="-1"/>
        </w:rPr>
        <w:t> </w:t>
      </w:r>
      <w:r>
        <w:rPr>
          <w:color w:val="0B0B0B"/>
        </w:rPr>
        <w:t>del ISR vigente al 31 de diciembre de 2013, ello implica necesariamente que tengan que determinar su utilidad o pérdida fiscal consolidada y en caso de tener utilidad fiscal consolidada pueden disminuir de ella las pérdidas fiscales consolidadas de ejercicios anteriores que tengan.</w:t>
      </w:r>
    </w:p>
    <w:p>
      <w:pPr>
        <w:pStyle w:val="BodyText"/>
        <w:spacing w:after="0" w:line="249" w:lineRule="auto"/>
        <w:sectPr>
          <w:headerReference w:type="default" r:id="rId18"/>
          <w:pgSz w:w="12240" w:h="15840"/>
          <w:pgMar w:header="690" w:footer="0" w:top="1040" w:bottom="280" w:left="1440" w:right="1440"/>
        </w:sectPr>
      </w:pPr>
    </w:p>
    <w:p>
      <w:pPr>
        <w:pStyle w:val="BodyText"/>
        <w:spacing w:line="249" w:lineRule="auto" w:before="112"/>
        <w:ind w:right="258"/>
      </w:pPr>
      <w:r>
        <w:rPr>
          <w:color w:val="0B0B0B"/>
        </w:rPr>
        <w:t>El artículo 71, segundo párrafo de la Ley del ISR vigente al 31 de diciembre de 2013, dispone que cuando una sociedad controlada se desincorpora de la consolidación, la sociedad controladora debe sumar a la utilidad fiscal consolidada o restar a la pérdida fiscal consolidada, del ejercicio inmediato anterior, las pérdidas fiscales de ejercicios anteriores que la sociedad controlada tenga derecho a disminuir en lo individual al momento de su desincorporación, considerando para estos efectos, solo los ejercicios en que se restaron las pérdidas de la sociedad que se desincorpora para determinar</w:t>
      </w:r>
      <w:r>
        <w:rPr>
          <w:color w:val="0B0B0B"/>
          <w:spacing w:val="40"/>
        </w:rPr>
        <w:t> </w:t>
      </w:r>
      <w:r>
        <w:rPr>
          <w:color w:val="0B0B0B"/>
        </w:rPr>
        <w:t>su resultado fiscal consolidado y consecuentemente,</w:t>
      </w:r>
      <w:r>
        <w:rPr>
          <w:color w:val="0B0B0B"/>
        </w:rPr>
        <w:t> su</w:t>
      </w:r>
      <w:r>
        <w:rPr>
          <w:color w:val="0B0B0B"/>
        </w:rPr>
        <w:t> utilidad o pérdida fiscal consolidada por lo comentado en el párrafo anterior.</w:t>
      </w:r>
    </w:p>
    <w:p>
      <w:pPr>
        <w:pStyle w:val="BodyText"/>
        <w:spacing w:before="107"/>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2"/>
        </w:numPr>
        <w:tabs>
          <w:tab w:pos="2664" w:val="left" w:leader="none"/>
        </w:tabs>
        <w:spacing w:line="249" w:lineRule="auto" w:before="110" w:after="0"/>
        <w:ind w:left="2664" w:right="257" w:hanging="504"/>
        <w:jc w:val="both"/>
        <w:rPr>
          <w:sz w:val="18"/>
        </w:rPr>
      </w:pPr>
      <w:r>
        <w:rPr>
          <w:color w:val="0B0B0B"/>
          <w:sz w:val="18"/>
        </w:rPr>
        <w:t>Cuando la sociedad controladora no sume o no reste, según sea el caso, a la utilidad fiscal consolidada o a la pérdida fiscal consolidada del ejercicio inmediato anterior, las pérdidas fiscales de la sociedad que se desincorpora incurridas</w:t>
      </w:r>
      <w:r>
        <w:rPr>
          <w:color w:val="0B0B0B"/>
          <w:spacing w:val="-2"/>
          <w:sz w:val="18"/>
        </w:rPr>
        <w:t> </w:t>
      </w:r>
      <w:r>
        <w:rPr>
          <w:color w:val="0B0B0B"/>
          <w:sz w:val="18"/>
        </w:rPr>
        <w:t>en</w:t>
      </w:r>
      <w:r>
        <w:rPr>
          <w:color w:val="0B0B0B"/>
          <w:spacing w:val="-3"/>
          <w:sz w:val="18"/>
        </w:rPr>
        <w:t> </w:t>
      </w:r>
      <w:r>
        <w:rPr>
          <w:color w:val="0B0B0B"/>
          <w:sz w:val="18"/>
        </w:rPr>
        <w:t>ejercicios</w:t>
      </w:r>
      <w:r>
        <w:rPr>
          <w:color w:val="0B0B0B"/>
          <w:spacing w:val="-2"/>
          <w:sz w:val="18"/>
        </w:rPr>
        <w:t> </w:t>
      </w:r>
      <w:r>
        <w:rPr>
          <w:color w:val="0B0B0B"/>
          <w:sz w:val="18"/>
        </w:rPr>
        <w:t>en</w:t>
      </w:r>
      <w:r>
        <w:rPr>
          <w:color w:val="0B0B0B"/>
          <w:spacing w:val="-2"/>
          <w:sz w:val="18"/>
        </w:rPr>
        <w:t> </w:t>
      </w:r>
      <w:r>
        <w:rPr>
          <w:color w:val="0B0B0B"/>
          <w:sz w:val="18"/>
        </w:rPr>
        <w:t>los</w:t>
      </w:r>
      <w:r>
        <w:rPr>
          <w:color w:val="0B0B0B"/>
          <w:spacing w:val="-2"/>
          <w:sz w:val="18"/>
        </w:rPr>
        <w:t> </w:t>
      </w:r>
      <w:r>
        <w:rPr>
          <w:color w:val="0B0B0B"/>
          <w:sz w:val="18"/>
        </w:rPr>
        <w:t>que</w:t>
      </w:r>
      <w:r>
        <w:rPr>
          <w:color w:val="0B0B0B"/>
          <w:spacing w:val="-2"/>
          <w:sz w:val="18"/>
        </w:rPr>
        <w:t> </w:t>
      </w:r>
      <w:r>
        <w:rPr>
          <w:color w:val="0B0B0B"/>
          <w:sz w:val="18"/>
        </w:rPr>
        <w:t>determinó</w:t>
      </w:r>
      <w:r>
        <w:rPr>
          <w:color w:val="0B0B0B"/>
          <w:spacing w:val="-2"/>
          <w:sz w:val="18"/>
        </w:rPr>
        <w:t> </w:t>
      </w:r>
      <w:r>
        <w:rPr>
          <w:color w:val="0B0B0B"/>
          <w:sz w:val="18"/>
        </w:rPr>
        <w:t>pérdida</w:t>
      </w:r>
      <w:r>
        <w:rPr>
          <w:color w:val="0B0B0B"/>
          <w:spacing w:val="-2"/>
          <w:sz w:val="18"/>
        </w:rPr>
        <w:t> </w:t>
      </w:r>
      <w:r>
        <w:rPr>
          <w:color w:val="0B0B0B"/>
          <w:sz w:val="18"/>
        </w:rPr>
        <w:t>fiscal</w:t>
      </w:r>
      <w:r>
        <w:rPr>
          <w:color w:val="0B0B0B"/>
          <w:spacing w:val="-3"/>
          <w:sz w:val="18"/>
        </w:rPr>
        <w:t> </w:t>
      </w:r>
      <w:r>
        <w:rPr>
          <w:color w:val="0B0B0B"/>
          <w:sz w:val="18"/>
        </w:rPr>
        <w:t>consolidada,</w:t>
      </w:r>
      <w:r>
        <w:rPr>
          <w:color w:val="0B0B0B"/>
          <w:spacing w:val="-2"/>
          <w:sz w:val="18"/>
        </w:rPr>
        <w:t> </w:t>
      </w:r>
      <w:r>
        <w:rPr>
          <w:color w:val="0B0B0B"/>
          <w:sz w:val="18"/>
        </w:rPr>
        <w:t>y, como consecuencia de ello, no pague el ISR o no disminuya las pérdidas fiscales consolidadas con las pérdidas fiscales de la sociedad controlada que se </w:t>
      </w:r>
      <w:r>
        <w:rPr>
          <w:color w:val="0B0B0B"/>
          <w:spacing w:val="-2"/>
          <w:sz w:val="18"/>
        </w:rPr>
        <w:t>desincorpora.</w:t>
      </w:r>
    </w:p>
    <w:p>
      <w:pPr>
        <w:pStyle w:val="ListParagraph"/>
        <w:numPr>
          <w:ilvl w:val="0"/>
          <w:numId w:val="12"/>
        </w:numPr>
        <w:tabs>
          <w:tab w:pos="2664" w:val="left" w:leader="none"/>
        </w:tabs>
        <w:spacing w:line="249" w:lineRule="auto" w:before="107"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6"/>
        <w:ind w:left="0"/>
        <w:jc w:val="left"/>
        <w:rPr>
          <w:sz w:val="8"/>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428"/>
        <w:gridCol w:w="4440"/>
      </w:tblGrid>
      <w:tr>
        <w:trPr>
          <w:trHeight w:val="316" w:hRule="atLeast"/>
        </w:trPr>
        <w:tc>
          <w:tcPr>
            <w:tcW w:w="2428" w:type="dxa"/>
            <w:shd w:val="clear" w:color="auto" w:fill="BDBDBD"/>
          </w:tcPr>
          <w:p>
            <w:pPr>
              <w:pStyle w:val="TableParagraph"/>
              <w:spacing w:before="22"/>
              <w:ind w:left="11"/>
              <w:jc w:val="center"/>
              <w:rPr>
                <w:rFonts w:ascii="Arial"/>
                <w:b/>
                <w:sz w:val="16"/>
              </w:rPr>
            </w:pPr>
            <w:r>
              <w:rPr>
                <w:rFonts w:ascii="Arial"/>
                <w:b/>
                <w:color w:val="0B0B0B"/>
                <w:spacing w:val="-2"/>
                <w:sz w:val="16"/>
              </w:rPr>
              <w:t>Origen</w:t>
            </w:r>
          </w:p>
        </w:tc>
        <w:tc>
          <w:tcPr>
            <w:tcW w:w="4440" w:type="dxa"/>
            <w:shd w:val="clear" w:color="auto" w:fill="BDBDBD"/>
          </w:tcPr>
          <w:p>
            <w:pPr>
              <w:pStyle w:val="TableParagraph"/>
              <w:spacing w:before="22"/>
              <w:ind w:left="147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9" w:hRule="atLeast"/>
        </w:trPr>
        <w:tc>
          <w:tcPr>
            <w:tcW w:w="2428" w:type="dxa"/>
          </w:tcPr>
          <w:p>
            <w:pPr>
              <w:pStyle w:val="TableParagraph"/>
              <w:spacing w:line="280" w:lineRule="auto"/>
              <w:ind w:right="55"/>
              <w:jc w:val="both"/>
              <w:rPr>
                <w:sz w:val="16"/>
              </w:rPr>
            </w:pPr>
            <w:r>
              <w:rPr>
                <w:color w:val="0B0B0B"/>
                <w:sz w:val="16"/>
              </w:rPr>
              <w:t>Segunda Resolución </w:t>
            </w:r>
            <w:r>
              <w:rPr>
                <w:color w:val="0B0B0B"/>
                <w:sz w:val="16"/>
              </w:rPr>
              <w:t>de Modificaciones a la RMF para </w:t>
            </w:r>
            <w:r>
              <w:rPr>
                <w:color w:val="0B0B0B"/>
                <w:spacing w:val="-4"/>
                <w:sz w:val="16"/>
              </w:rPr>
              <w:t>2007</w:t>
            </w:r>
          </w:p>
        </w:tc>
        <w:tc>
          <w:tcPr>
            <w:tcW w:w="4440" w:type="dxa"/>
          </w:tcPr>
          <w:p>
            <w:pPr>
              <w:pStyle w:val="TableParagraph"/>
              <w:spacing w:line="280" w:lineRule="auto"/>
              <w:ind w:right="56"/>
              <w:jc w:val="both"/>
              <w:rPr>
                <w:sz w:val="16"/>
              </w:rPr>
            </w:pPr>
            <w:r>
              <w:rPr>
                <w:color w:val="0B0B0B"/>
                <w:sz w:val="16"/>
              </w:rPr>
              <w:t>Publicada en el DOF el 26 de octubre de 2007, Anexo </w:t>
            </w:r>
            <w:r>
              <w:rPr>
                <w:color w:val="0B0B0B"/>
                <w:sz w:val="16"/>
              </w:rPr>
              <w:t>26, publicado en el DOF el 2 de noviembre de 2007, con</w:t>
            </w:r>
            <w:r>
              <w:rPr>
                <w:color w:val="0B0B0B"/>
                <w:spacing w:val="40"/>
                <w:sz w:val="16"/>
              </w:rPr>
              <w:t> </w:t>
            </w:r>
            <w:r>
              <w:rPr>
                <w:color w:val="0B0B0B"/>
                <w:sz w:val="16"/>
              </w:rPr>
              <w:t>número de criterio no vinculativo 016/ISR.</w:t>
            </w:r>
          </w:p>
        </w:tc>
      </w:tr>
    </w:tbl>
    <w:p>
      <w:pPr>
        <w:pStyle w:val="BodyText"/>
        <w:spacing w:before="114"/>
        <w:ind w:left="0"/>
        <w:jc w:val="left"/>
      </w:pPr>
    </w:p>
    <w:p>
      <w:pPr>
        <w:pStyle w:val="Heading1"/>
        <w:tabs>
          <w:tab w:pos="2145" w:val="left" w:leader="none"/>
        </w:tabs>
        <w:spacing w:line="249" w:lineRule="auto" w:before="1"/>
        <w:ind w:right="257"/>
      </w:pPr>
      <w:r>
        <w:rPr>
          <w:color w:val="0B0B0B"/>
          <w:spacing w:val="-2"/>
        </w:rPr>
        <w:t>10/ISR/PI</w:t>
      </w:r>
      <w:r>
        <w:rPr>
          <w:color w:val="0B0B0B"/>
        </w:rPr>
        <w:tab/>
        <w:t>Rendimientos de bienes entregados en fideicomiso, que únicamente se destinen a financiar la educación.</w:t>
      </w:r>
    </w:p>
    <w:p>
      <w:pPr>
        <w:pStyle w:val="BodyText"/>
        <w:spacing w:line="249" w:lineRule="auto" w:before="102"/>
        <w:ind w:right="253"/>
      </w:pPr>
      <w:r>
        <w:rPr>
          <w:color w:val="0B0B0B"/>
        </w:rPr>
        <w:t>El artículo 90, primer párrafo de la Ley del ISR establece que, están obligadas al pago del impuesto establecido en el Título IV de dicha Ley, las personas físicas residentes en México que obtengan ingresos en efectivo, en bienes, devengado cuando en los términos</w:t>
      </w:r>
      <w:r>
        <w:rPr>
          <w:color w:val="0B0B0B"/>
          <w:spacing w:val="-3"/>
        </w:rPr>
        <w:t> </w:t>
      </w:r>
      <w:r>
        <w:rPr>
          <w:color w:val="0B0B0B"/>
        </w:rPr>
        <w:t>de</w:t>
      </w:r>
      <w:r>
        <w:rPr>
          <w:color w:val="0B0B0B"/>
          <w:spacing w:val="-3"/>
        </w:rPr>
        <w:t> </w:t>
      </w:r>
      <w:r>
        <w:rPr>
          <w:color w:val="0B0B0B"/>
        </w:rPr>
        <w:t>dicho</w:t>
      </w:r>
      <w:r>
        <w:rPr>
          <w:color w:val="0B0B0B"/>
          <w:spacing w:val="-3"/>
        </w:rPr>
        <w:t> </w:t>
      </w:r>
      <w:r>
        <w:rPr>
          <w:color w:val="0B0B0B"/>
        </w:rPr>
        <w:t>Título</w:t>
      </w:r>
      <w:r>
        <w:rPr>
          <w:color w:val="0B0B0B"/>
          <w:spacing w:val="-3"/>
        </w:rPr>
        <w:t> </w:t>
      </w:r>
      <w:r>
        <w:rPr>
          <w:color w:val="0B0B0B"/>
        </w:rPr>
        <w:t>señale,</w:t>
      </w:r>
      <w:r>
        <w:rPr>
          <w:color w:val="0B0B0B"/>
          <w:spacing w:val="-3"/>
        </w:rPr>
        <w:t> </w:t>
      </w:r>
      <w:r>
        <w:rPr>
          <w:color w:val="0B0B0B"/>
        </w:rPr>
        <w:t>en</w:t>
      </w:r>
      <w:r>
        <w:rPr>
          <w:color w:val="0B0B0B"/>
          <w:spacing w:val="-3"/>
        </w:rPr>
        <w:t> </w:t>
      </w:r>
      <w:r>
        <w:rPr>
          <w:color w:val="0B0B0B"/>
        </w:rPr>
        <w:t>crédito,</w:t>
      </w:r>
      <w:r>
        <w:rPr>
          <w:color w:val="0B0B0B"/>
          <w:spacing w:val="-3"/>
        </w:rPr>
        <w:t> </w:t>
      </w:r>
      <w:r>
        <w:rPr>
          <w:color w:val="0B0B0B"/>
        </w:rPr>
        <w:t>en</w:t>
      </w:r>
      <w:r>
        <w:rPr>
          <w:color w:val="0B0B0B"/>
          <w:spacing w:val="-3"/>
        </w:rPr>
        <w:t> </w:t>
      </w:r>
      <w:r>
        <w:rPr>
          <w:color w:val="0B0B0B"/>
        </w:rPr>
        <w:t>servicios</w:t>
      </w:r>
      <w:r>
        <w:rPr>
          <w:color w:val="0B0B0B"/>
          <w:spacing w:val="-3"/>
        </w:rPr>
        <w:t> </w:t>
      </w:r>
      <w:r>
        <w:rPr>
          <w:color w:val="0B0B0B"/>
        </w:rPr>
        <w:t>en</w:t>
      </w:r>
      <w:r>
        <w:rPr>
          <w:color w:val="0B0B0B"/>
          <w:spacing w:val="-3"/>
        </w:rPr>
        <w:t> </w:t>
      </w:r>
      <w:r>
        <w:rPr>
          <w:color w:val="0B0B0B"/>
        </w:rPr>
        <w:t>los</w:t>
      </w:r>
      <w:r>
        <w:rPr>
          <w:color w:val="0B0B0B"/>
          <w:spacing w:val="-3"/>
        </w:rPr>
        <w:t> </w:t>
      </w:r>
      <w:r>
        <w:rPr>
          <w:color w:val="0B0B0B"/>
        </w:rPr>
        <w:t>casos</w:t>
      </w:r>
      <w:r>
        <w:rPr>
          <w:color w:val="0B0B0B"/>
          <w:spacing w:val="-3"/>
        </w:rPr>
        <w:t> </w:t>
      </w:r>
      <w:r>
        <w:rPr>
          <w:color w:val="0B0B0B"/>
        </w:rPr>
        <w:t>que</w:t>
      </w:r>
      <w:r>
        <w:rPr>
          <w:color w:val="0B0B0B"/>
          <w:spacing w:val="-3"/>
        </w:rPr>
        <w:t> </w:t>
      </w:r>
      <w:r>
        <w:rPr>
          <w:color w:val="0B0B0B"/>
        </w:rPr>
        <w:t>señale</w:t>
      </w:r>
      <w:r>
        <w:rPr>
          <w:color w:val="0B0B0B"/>
          <w:spacing w:val="-3"/>
        </w:rPr>
        <w:t> </w:t>
      </w:r>
      <w:r>
        <w:rPr>
          <w:color w:val="0B0B0B"/>
        </w:rPr>
        <w:t>la</w:t>
      </w:r>
      <w:r>
        <w:rPr>
          <w:color w:val="0B0B0B"/>
          <w:spacing w:val="-3"/>
        </w:rPr>
        <w:t> </w:t>
      </w:r>
      <w:r>
        <w:rPr>
          <w:color w:val="0B0B0B"/>
        </w:rPr>
        <w:t>Ley del ISR, o de cualquier otro tipo.</w:t>
      </w:r>
    </w:p>
    <w:p>
      <w:pPr>
        <w:pStyle w:val="BodyText"/>
        <w:spacing w:line="249" w:lineRule="auto" w:before="104"/>
        <w:ind w:right="258"/>
      </w:pPr>
      <w:r>
        <w:rPr>
          <w:color w:val="0B0B0B"/>
        </w:rPr>
        <w:t>El cuarto párrafo del artículo citado dispone que no se consideran ingresos obtenidos por los contribuyentes, los rendimientos de bienes entregados en fideicomiso, en tanto dichos</w:t>
      </w:r>
      <w:r>
        <w:rPr>
          <w:color w:val="0B0B0B"/>
          <w:spacing w:val="-2"/>
        </w:rPr>
        <w:t> </w:t>
      </w:r>
      <w:r>
        <w:rPr>
          <w:color w:val="0B0B0B"/>
        </w:rPr>
        <w:t>rendimientos</w:t>
      </w:r>
      <w:r>
        <w:rPr>
          <w:color w:val="0B0B0B"/>
          <w:spacing w:val="-1"/>
        </w:rPr>
        <w:t> </w:t>
      </w:r>
      <w:r>
        <w:rPr>
          <w:color w:val="0B0B0B"/>
        </w:rPr>
        <w:t>únicamente</w:t>
      </w:r>
      <w:r>
        <w:rPr>
          <w:color w:val="0B0B0B"/>
          <w:spacing w:val="-2"/>
        </w:rPr>
        <w:t> </w:t>
      </w:r>
      <w:r>
        <w:rPr>
          <w:color w:val="0B0B0B"/>
        </w:rPr>
        <w:t>se</w:t>
      </w:r>
      <w:r>
        <w:rPr>
          <w:color w:val="0B0B0B"/>
          <w:spacing w:val="-2"/>
        </w:rPr>
        <w:t> </w:t>
      </w:r>
      <w:r>
        <w:rPr>
          <w:color w:val="0B0B0B"/>
        </w:rPr>
        <w:t>destinen,</w:t>
      </w:r>
      <w:r>
        <w:rPr>
          <w:color w:val="0B0B0B"/>
          <w:spacing w:val="-2"/>
        </w:rPr>
        <w:t> </w:t>
      </w:r>
      <w:r>
        <w:rPr>
          <w:color w:val="0B0B0B"/>
        </w:rPr>
        <w:t>entre</w:t>
      </w:r>
      <w:r>
        <w:rPr>
          <w:color w:val="0B0B0B"/>
          <w:spacing w:val="-1"/>
        </w:rPr>
        <w:t> </w:t>
      </w:r>
      <w:r>
        <w:rPr>
          <w:color w:val="0B0B0B"/>
        </w:rPr>
        <w:t>otros</w:t>
      </w:r>
      <w:r>
        <w:rPr>
          <w:color w:val="0B0B0B"/>
          <w:spacing w:val="-2"/>
        </w:rPr>
        <w:t> </w:t>
      </w:r>
      <w:r>
        <w:rPr>
          <w:color w:val="0B0B0B"/>
        </w:rPr>
        <w:t>fines,</w:t>
      </w:r>
      <w:r>
        <w:rPr>
          <w:color w:val="0B0B0B"/>
          <w:spacing w:val="-2"/>
        </w:rPr>
        <w:t> </w:t>
      </w:r>
      <w:r>
        <w:rPr>
          <w:color w:val="0B0B0B"/>
        </w:rPr>
        <w:t>a</w:t>
      </w:r>
      <w:r>
        <w:rPr>
          <w:color w:val="0B0B0B"/>
          <w:spacing w:val="-2"/>
        </w:rPr>
        <w:t> </w:t>
      </w:r>
      <w:r>
        <w:rPr>
          <w:color w:val="0B0B0B"/>
        </w:rPr>
        <w:t>financiar</w:t>
      </w:r>
      <w:r>
        <w:rPr>
          <w:color w:val="0B0B0B"/>
          <w:spacing w:val="-1"/>
        </w:rPr>
        <w:t> </w:t>
      </w:r>
      <w:r>
        <w:rPr>
          <w:color w:val="0B0B0B"/>
        </w:rPr>
        <w:t>la</w:t>
      </w:r>
      <w:r>
        <w:rPr>
          <w:color w:val="0B0B0B"/>
          <w:spacing w:val="-2"/>
        </w:rPr>
        <w:t> </w:t>
      </w:r>
      <w:r>
        <w:rPr>
          <w:color w:val="0B0B0B"/>
        </w:rPr>
        <w:t>educación hasta nivel licenciatura de sus descendientes en línea recta, siempre que los estudios cuenten con reconocimiento de validez oficial.</w:t>
      </w:r>
    </w:p>
    <w:p>
      <w:pPr>
        <w:pStyle w:val="BodyText"/>
        <w:spacing w:line="249" w:lineRule="auto" w:before="105"/>
        <w:ind w:right="258"/>
      </w:pPr>
      <w:r>
        <w:rPr>
          <w:color w:val="0B0B0B"/>
        </w:rPr>
        <w:t>En este sentido, el supuesto previsto en el cuarto párrafo del artículo 90 de la Ley del ISR, requiere de una persona física que tenga la calidad de fideicomitente, esto es,</w:t>
      </w:r>
      <w:r>
        <w:rPr>
          <w:color w:val="0B0B0B"/>
          <w:spacing w:val="40"/>
        </w:rPr>
        <w:t> </w:t>
      </w:r>
      <w:r>
        <w:rPr>
          <w:color w:val="0B0B0B"/>
        </w:rPr>
        <w:t>que haya transmitido la propiedad de bienes, dinero o ambos a la fiduciaria para ser destinado al fin referido en el párrafo citado, encomendando la realización de dicho fin a la fiduciaria, y que sea ascendiente en línea recta de la persona física que cursará la educación financiada.</w:t>
      </w:r>
    </w:p>
    <w:p>
      <w:pPr>
        <w:pStyle w:val="BodyText"/>
        <w:spacing w:before="10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3"/>
        </w:numPr>
        <w:tabs>
          <w:tab w:pos="2664" w:val="left" w:leader="none"/>
        </w:tabs>
        <w:spacing w:line="249" w:lineRule="auto" w:before="111" w:after="0"/>
        <w:ind w:left="2664" w:right="255" w:hanging="504"/>
        <w:jc w:val="both"/>
        <w:rPr>
          <w:sz w:val="18"/>
        </w:rPr>
      </w:pPr>
      <w:r>
        <w:rPr>
          <w:color w:val="0B0B0B"/>
          <w:sz w:val="18"/>
        </w:rPr>
        <w:t>La persona física que no considere como ingresos por los que está obligada al pago del ISR, los rendimientos de bienes entregados en fideicomiso, que se destinen</w:t>
      </w:r>
      <w:r>
        <w:rPr>
          <w:color w:val="0B0B0B"/>
          <w:spacing w:val="-3"/>
          <w:sz w:val="18"/>
        </w:rPr>
        <w:t> </w:t>
      </w:r>
      <w:r>
        <w:rPr>
          <w:color w:val="0B0B0B"/>
          <w:sz w:val="18"/>
        </w:rPr>
        <w:t>a</w:t>
      </w:r>
      <w:r>
        <w:rPr>
          <w:color w:val="0B0B0B"/>
          <w:spacing w:val="-3"/>
          <w:sz w:val="18"/>
        </w:rPr>
        <w:t> </w:t>
      </w:r>
      <w:r>
        <w:rPr>
          <w:color w:val="0B0B0B"/>
          <w:sz w:val="18"/>
        </w:rPr>
        <w:t>financiar</w:t>
      </w:r>
      <w:r>
        <w:rPr>
          <w:color w:val="0B0B0B"/>
          <w:spacing w:val="-3"/>
          <w:sz w:val="18"/>
        </w:rPr>
        <w:t> </w:t>
      </w:r>
      <w:r>
        <w:rPr>
          <w:color w:val="0B0B0B"/>
          <w:sz w:val="18"/>
        </w:rPr>
        <w:t>la</w:t>
      </w:r>
      <w:r>
        <w:rPr>
          <w:color w:val="0B0B0B"/>
          <w:spacing w:val="-4"/>
          <w:sz w:val="18"/>
        </w:rPr>
        <w:t> </w:t>
      </w:r>
      <w:r>
        <w:rPr>
          <w:color w:val="0B0B0B"/>
          <w:sz w:val="18"/>
        </w:rPr>
        <w:t>educación</w:t>
      </w:r>
      <w:r>
        <w:rPr>
          <w:color w:val="0B0B0B"/>
          <w:spacing w:val="-3"/>
          <w:sz w:val="18"/>
        </w:rPr>
        <w:t> </w:t>
      </w:r>
      <w:r>
        <w:rPr>
          <w:color w:val="0B0B0B"/>
          <w:sz w:val="18"/>
        </w:rPr>
        <w:t>de</w:t>
      </w:r>
      <w:r>
        <w:rPr>
          <w:color w:val="0B0B0B"/>
          <w:spacing w:val="-4"/>
          <w:sz w:val="18"/>
        </w:rPr>
        <w:t> </w:t>
      </w:r>
      <w:r>
        <w:rPr>
          <w:color w:val="0B0B0B"/>
          <w:sz w:val="18"/>
        </w:rPr>
        <w:t>sus</w:t>
      </w:r>
      <w:r>
        <w:rPr>
          <w:color w:val="0B0B0B"/>
          <w:spacing w:val="-3"/>
          <w:sz w:val="18"/>
        </w:rPr>
        <w:t> </w:t>
      </w:r>
      <w:r>
        <w:rPr>
          <w:color w:val="0B0B0B"/>
          <w:sz w:val="18"/>
        </w:rPr>
        <w:t>descendientes</w:t>
      </w:r>
      <w:r>
        <w:rPr>
          <w:color w:val="0B0B0B"/>
          <w:spacing w:val="-3"/>
          <w:sz w:val="18"/>
        </w:rPr>
        <w:t> </w:t>
      </w:r>
      <w:r>
        <w:rPr>
          <w:color w:val="0B0B0B"/>
          <w:sz w:val="18"/>
        </w:rPr>
        <w:t>en</w:t>
      </w:r>
      <w:r>
        <w:rPr>
          <w:color w:val="0B0B0B"/>
          <w:spacing w:val="-3"/>
          <w:sz w:val="18"/>
        </w:rPr>
        <w:t> </w:t>
      </w:r>
      <w:r>
        <w:rPr>
          <w:color w:val="0B0B0B"/>
          <w:sz w:val="18"/>
        </w:rPr>
        <w:t>línea</w:t>
      </w:r>
      <w:r>
        <w:rPr>
          <w:color w:val="0B0B0B"/>
          <w:spacing w:val="-3"/>
          <w:sz w:val="18"/>
        </w:rPr>
        <w:t> </w:t>
      </w:r>
      <w:r>
        <w:rPr>
          <w:color w:val="0B0B0B"/>
          <w:sz w:val="18"/>
        </w:rPr>
        <w:t>recta,</w:t>
      </w:r>
      <w:r>
        <w:rPr>
          <w:color w:val="0B0B0B"/>
          <w:spacing w:val="-3"/>
          <w:sz w:val="18"/>
        </w:rPr>
        <w:t> </w:t>
      </w:r>
      <w:r>
        <w:rPr>
          <w:color w:val="0B0B0B"/>
          <w:sz w:val="18"/>
        </w:rPr>
        <w:t>cuando</w:t>
      </w:r>
      <w:r>
        <w:rPr>
          <w:color w:val="0B0B0B"/>
          <w:spacing w:val="-3"/>
          <w:sz w:val="18"/>
        </w:rPr>
        <w:t> </w:t>
      </w:r>
      <w:r>
        <w:rPr>
          <w:color w:val="0B0B0B"/>
          <w:sz w:val="18"/>
        </w:rPr>
        <w:t>la propiedad</w:t>
      </w:r>
      <w:r>
        <w:rPr>
          <w:color w:val="0B0B0B"/>
          <w:spacing w:val="-2"/>
          <w:sz w:val="18"/>
        </w:rPr>
        <w:t> </w:t>
      </w:r>
      <w:r>
        <w:rPr>
          <w:color w:val="0B0B0B"/>
          <w:sz w:val="18"/>
        </w:rPr>
        <w:t>de</w:t>
      </w:r>
      <w:r>
        <w:rPr>
          <w:color w:val="0B0B0B"/>
          <w:spacing w:val="-2"/>
          <w:sz w:val="18"/>
        </w:rPr>
        <w:t> </w:t>
      </w:r>
      <w:r>
        <w:rPr>
          <w:color w:val="0B0B0B"/>
          <w:sz w:val="18"/>
        </w:rPr>
        <w:t>dichos</w:t>
      </w:r>
      <w:r>
        <w:rPr>
          <w:color w:val="0B0B0B"/>
          <w:spacing w:val="-2"/>
          <w:sz w:val="18"/>
        </w:rPr>
        <w:t> </w:t>
      </w:r>
      <w:r>
        <w:rPr>
          <w:color w:val="0B0B0B"/>
          <w:sz w:val="18"/>
        </w:rPr>
        <w:t>bienes</w:t>
      </w:r>
      <w:r>
        <w:rPr>
          <w:color w:val="0B0B0B"/>
          <w:spacing w:val="-2"/>
          <w:sz w:val="18"/>
        </w:rPr>
        <w:t> </w:t>
      </w:r>
      <w:r>
        <w:rPr>
          <w:color w:val="0B0B0B"/>
          <w:sz w:val="18"/>
        </w:rPr>
        <w:t>haya</w:t>
      </w:r>
      <w:r>
        <w:rPr>
          <w:color w:val="0B0B0B"/>
          <w:spacing w:val="-2"/>
          <w:sz w:val="18"/>
        </w:rPr>
        <w:t> </w:t>
      </w:r>
      <w:r>
        <w:rPr>
          <w:color w:val="0B0B0B"/>
          <w:sz w:val="18"/>
        </w:rPr>
        <w:t>sido</w:t>
      </w:r>
      <w:r>
        <w:rPr>
          <w:color w:val="0B0B0B"/>
          <w:spacing w:val="-2"/>
          <w:sz w:val="18"/>
        </w:rPr>
        <w:t> </w:t>
      </w:r>
      <w:r>
        <w:rPr>
          <w:color w:val="0B0B0B"/>
          <w:sz w:val="18"/>
        </w:rPr>
        <w:t>transmitida</w:t>
      </w:r>
      <w:r>
        <w:rPr>
          <w:color w:val="0B0B0B"/>
          <w:spacing w:val="-2"/>
          <w:sz w:val="18"/>
        </w:rPr>
        <w:t> </w:t>
      </w:r>
      <w:r>
        <w:rPr>
          <w:color w:val="0B0B0B"/>
          <w:sz w:val="18"/>
        </w:rPr>
        <w:t>a</w:t>
      </w:r>
      <w:r>
        <w:rPr>
          <w:color w:val="0B0B0B"/>
          <w:spacing w:val="-2"/>
          <w:sz w:val="18"/>
        </w:rPr>
        <w:t> </w:t>
      </w:r>
      <w:r>
        <w:rPr>
          <w:color w:val="0B0B0B"/>
          <w:sz w:val="18"/>
        </w:rPr>
        <w:t>la</w:t>
      </w:r>
      <w:r>
        <w:rPr>
          <w:color w:val="0B0B0B"/>
          <w:spacing w:val="-2"/>
          <w:sz w:val="18"/>
        </w:rPr>
        <w:t> </w:t>
      </w:r>
      <w:r>
        <w:rPr>
          <w:color w:val="0B0B0B"/>
          <w:sz w:val="18"/>
        </w:rPr>
        <w:t>fiduciaria</w:t>
      </w:r>
      <w:r>
        <w:rPr>
          <w:color w:val="0B0B0B"/>
          <w:spacing w:val="-2"/>
          <w:sz w:val="18"/>
        </w:rPr>
        <w:t> </w:t>
      </w:r>
      <w:r>
        <w:rPr>
          <w:color w:val="0B0B0B"/>
          <w:sz w:val="18"/>
        </w:rPr>
        <w:t>por</w:t>
      </w:r>
      <w:r>
        <w:rPr>
          <w:color w:val="0B0B0B"/>
          <w:spacing w:val="-3"/>
          <w:sz w:val="18"/>
        </w:rPr>
        <w:t> </w:t>
      </w:r>
      <w:r>
        <w:rPr>
          <w:color w:val="0B0B0B"/>
          <w:sz w:val="18"/>
        </w:rPr>
        <w:t>una</w:t>
      </w:r>
      <w:r>
        <w:rPr>
          <w:color w:val="0B0B0B"/>
          <w:spacing w:val="-2"/>
          <w:sz w:val="18"/>
        </w:rPr>
        <w:t> </w:t>
      </w:r>
      <w:r>
        <w:rPr>
          <w:color w:val="0B0B0B"/>
          <w:sz w:val="18"/>
        </w:rPr>
        <w:t>persona distinta a la ascendiente en línea recta.</w:t>
      </w:r>
    </w:p>
    <w:p>
      <w:pPr>
        <w:pStyle w:val="ListParagraph"/>
        <w:numPr>
          <w:ilvl w:val="0"/>
          <w:numId w:val="13"/>
        </w:numPr>
        <w:tabs>
          <w:tab w:pos="2664" w:val="left" w:leader="none"/>
        </w:tabs>
        <w:spacing w:line="249" w:lineRule="auto" w:before="105"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6"/>
        <w:ind w:left="0"/>
        <w:jc w:val="left"/>
        <w:rPr>
          <w:sz w:val="8"/>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86"/>
        <w:gridCol w:w="4482"/>
      </w:tblGrid>
      <w:tr>
        <w:trPr>
          <w:trHeight w:val="317" w:hRule="atLeast"/>
        </w:trPr>
        <w:tc>
          <w:tcPr>
            <w:tcW w:w="2386"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4482" w:type="dxa"/>
            <w:shd w:val="clear" w:color="auto" w:fill="BDBDBD"/>
          </w:tcPr>
          <w:p>
            <w:pPr>
              <w:pStyle w:val="TableParagraph"/>
              <w:spacing w:before="22"/>
              <w:ind w:left="14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386" w:type="dxa"/>
          </w:tcPr>
          <w:p>
            <w:pPr>
              <w:pStyle w:val="TableParagraph"/>
              <w:spacing w:line="280" w:lineRule="auto" w:before="22"/>
              <w:ind w:right="55"/>
              <w:jc w:val="both"/>
              <w:rPr>
                <w:sz w:val="16"/>
              </w:rPr>
            </w:pPr>
            <w:r>
              <w:rPr>
                <w:color w:val="0B0B0B"/>
                <w:sz w:val="16"/>
              </w:rPr>
              <w:t>Segunda Resolución </w:t>
            </w:r>
            <w:r>
              <w:rPr>
                <w:color w:val="0B0B0B"/>
                <w:sz w:val="16"/>
              </w:rPr>
              <w:t>de Modificaciones a la RMF para </w:t>
            </w:r>
            <w:r>
              <w:rPr>
                <w:color w:val="0B0B0B"/>
                <w:spacing w:val="-4"/>
                <w:sz w:val="16"/>
              </w:rPr>
              <w:t>2010</w:t>
            </w:r>
          </w:p>
        </w:tc>
        <w:tc>
          <w:tcPr>
            <w:tcW w:w="4482" w:type="dxa"/>
          </w:tcPr>
          <w:p>
            <w:pPr>
              <w:pStyle w:val="TableParagraph"/>
              <w:spacing w:line="280" w:lineRule="auto" w:before="22"/>
              <w:ind w:right="57"/>
              <w:jc w:val="both"/>
              <w:rPr>
                <w:sz w:val="16"/>
              </w:rPr>
            </w:pPr>
            <w:r>
              <w:rPr>
                <w:color w:val="0B0B0B"/>
                <w:sz w:val="16"/>
              </w:rPr>
              <w:t>Publicada en el DOF el 3 de diciembre de 2010, Anexo 3, publicado en el DOF el 7 de diciembre de 2010, con </w:t>
            </w:r>
            <w:r>
              <w:rPr>
                <w:color w:val="0B0B0B"/>
                <w:sz w:val="16"/>
              </w:rPr>
              <w:t>número de criterio no vinculativo 18/ISR.</w:t>
            </w:r>
          </w:p>
        </w:tc>
      </w:tr>
    </w:tbl>
    <w:p>
      <w:pPr>
        <w:pStyle w:val="TableParagraph"/>
        <w:spacing w:after="0" w:line="280" w:lineRule="auto"/>
        <w:jc w:val="both"/>
        <w:rPr>
          <w:sz w:val="16"/>
        </w:rPr>
        <w:sectPr>
          <w:headerReference w:type="default" r:id="rId19"/>
          <w:pgSz w:w="12240" w:h="15840"/>
          <w:pgMar w:header="690" w:footer="0" w:top="1040" w:bottom="280" w:left="1440" w:right="1440"/>
        </w:sectPr>
      </w:pPr>
    </w:p>
    <w:p>
      <w:pPr>
        <w:pStyle w:val="Heading1"/>
        <w:tabs>
          <w:tab w:pos="2145" w:val="left" w:leader="none"/>
        </w:tabs>
        <w:spacing w:before="116"/>
        <w:ind w:left="1137" w:firstLine="0"/>
      </w:pPr>
      <w:r>
        <w:rPr>
          <w:color w:val="0B0B0B"/>
          <w:spacing w:val="-2"/>
        </w:rPr>
        <w:t>11/ISR/PI</w:t>
      </w:r>
      <w:r>
        <w:rPr>
          <w:color w:val="0B0B0B"/>
        </w:rPr>
        <w:tab/>
        <w:t>Indemnizaciones</w:t>
      </w:r>
      <w:r>
        <w:rPr>
          <w:color w:val="0B0B0B"/>
          <w:spacing w:val="-7"/>
        </w:rPr>
        <w:t> </w:t>
      </w:r>
      <w:r>
        <w:rPr>
          <w:color w:val="0B0B0B"/>
        </w:rPr>
        <w:t>por</w:t>
      </w:r>
      <w:r>
        <w:rPr>
          <w:color w:val="0B0B0B"/>
          <w:spacing w:val="-5"/>
        </w:rPr>
        <w:t> </w:t>
      </w:r>
      <w:r>
        <w:rPr>
          <w:color w:val="0B0B0B"/>
        </w:rPr>
        <w:t>riesgos</w:t>
      </w:r>
      <w:r>
        <w:rPr>
          <w:color w:val="0B0B0B"/>
          <w:spacing w:val="-5"/>
        </w:rPr>
        <w:t> </w:t>
      </w:r>
      <w:r>
        <w:rPr>
          <w:color w:val="0B0B0B"/>
        </w:rPr>
        <w:t>de</w:t>
      </w:r>
      <w:r>
        <w:rPr>
          <w:color w:val="0B0B0B"/>
          <w:spacing w:val="-6"/>
        </w:rPr>
        <w:t> </w:t>
      </w:r>
      <w:r>
        <w:rPr>
          <w:color w:val="0B0B0B"/>
        </w:rPr>
        <w:t>trabajo</w:t>
      </w:r>
      <w:r>
        <w:rPr>
          <w:color w:val="0B0B0B"/>
          <w:spacing w:val="-6"/>
        </w:rPr>
        <w:t> </w:t>
      </w:r>
      <w:r>
        <w:rPr>
          <w:color w:val="0B0B0B"/>
        </w:rPr>
        <w:t>o</w:t>
      </w:r>
      <w:r>
        <w:rPr>
          <w:color w:val="0B0B0B"/>
          <w:spacing w:val="-4"/>
        </w:rPr>
        <w:t> </w:t>
      </w:r>
      <w:r>
        <w:rPr>
          <w:color w:val="0B0B0B"/>
          <w:spacing w:val="-2"/>
        </w:rPr>
        <w:t>enfermedades.</w:t>
      </w:r>
    </w:p>
    <w:p>
      <w:pPr>
        <w:pStyle w:val="BodyText"/>
        <w:spacing w:line="256" w:lineRule="auto" w:before="116"/>
        <w:ind w:right="257"/>
      </w:pPr>
      <w:r>
        <w:rPr>
          <w:color w:val="0B0B0B"/>
        </w:rPr>
        <w:t>De conformidad con el artículo 93, fracción III de la Ley del ISR, no se pagará dicho impuesto por la obtención de indemnizaciones por riesgos de trabajo o enfermedades, que se concedan de acuerdo con las leyes, por contratos colectivos de trabajo o por contratos Ley.</w:t>
      </w:r>
    </w:p>
    <w:p>
      <w:pPr>
        <w:pStyle w:val="BodyText"/>
        <w:spacing w:line="256" w:lineRule="auto" w:before="103"/>
        <w:ind w:right="257"/>
      </w:pPr>
      <w:r>
        <w:rPr>
          <w:color w:val="0B0B0B"/>
        </w:rPr>
        <w:t>La Ley Federal del Trabajo en sus artículos 473, 474 y 475 señala que se considera riesgo de trabajo a los accidentes</w:t>
      </w:r>
      <w:r>
        <w:rPr>
          <w:color w:val="0B0B0B"/>
        </w:rPr>
        <w:t> y</w:t>
      </w:r>
      <w:r>
        <w:rPr>
          <w:color w:val="0B0B0B"/>
        </w:rPr>
        <w:t> enfermedades a que están expuestos los trabajadores en ejercicio o con motivo del trabajo, entendiendo como accidente de trabajo toda lesión orgánica o perturbación funcional, inmediata o posterior, la muerte</w:t>
      </w:r>
      <w:r>
        <w:rPr>
          <w:color w:val="0B0B0B"/>
          <w:spacing w:val="40"/>
        </w:rPr>
        <w:t> </w:t>
      </w:r>
      <w:r>
        <w:rPr>
          <w:color w:val="0B0B0B"/>
        </w:rPr>
        <w:t>o la desaparición derivada de un acto delincuencial, producida repentinamente en ejercicio, o con motivo del trabajo, cualesquiera que sean el lugar y el tiempo en que</w:t>
      </w:r>
      <w:r>
        <w:rPr>
          <w:color w:val="0B0B0B"/>
          <w:spacing w:val="40"/>
        </w:rPr>
        <w:t> </w:t>
      </w:r>
      <w:r>
        <w:rPr>
          <w:color w:val="0B0B0B"/>
        </w:rPr>
        <w:t>se preste, incluyendo las que se produzcan al trasladarse el trabajador directamente</w:t>
      </w:r>
      <w:r>
        <w:rPr>
          <w:color w:val="0B0B0B"/>
          <w:spacing w:val="40"/>
        </w:rPr>
        <w:t> </w:t>
      </w:r>
      <w:r>
        <w:rPr>
          <w:color w:val="0B0B0B"/>
        </w:rPr>
        <w:t>de</w:t>
      </w:r>
      <w:r>
        <w:rPr>
          <w:color w:val="0B0B0B"/>
          <w:spacing w:val="-1"/>
        </w:rPr>
        <w:t> </w:t>
      </w:r>
      <w:r>
        <w:rPr>
          <w:color w:val="0B0B0B"/>
        </w:rPr>
        <w:t>su domicilio al</w:t>
      </w:r>
      <w:r>
        <w:rPr>
          <w:color w:val="0B0B0B"/>
          <w:spacing w:val="-1"/>
        </w:rPr>
        <w:t> </w:t>
      </w:r>
      <w:r>
        <w:rPr>
          <w:color w:val="0B0B0B"/>
        </w:rPr>
        <w:t>lugar del</w:t>
      </w:r>
      <w:r>
        <w:rPr>
          <w:color w:val="0B0B0B"/>
          <w:spacing w:val="-1"/>
        </w:rPr>
        <w:t> </w:t>
      </w:r>
      <w:r>
        <w:rPr>
          <w:color w:val="0B0B0B"/>
        </w:rPr>
        <w:t>trabajo y</w:t>
      </w:r>
      <w:r>
        <w:rPr>
          <w:color w:val="0B0B0B"/>
          <w:spacing w:val="-1"/>
        </w:rPr>
        <w:t> </w:t>
      </w:r>
      <w:r>
        <w:rPr>
          <w:color w:val="0B0B0B"/>
        </w:rPr>
        <w:t>de este a</w:t>
      </w:r>
      <w:r>
        <w:rPr>
          <w:color w:val="0B0B0B"/>
          <w:spacing w:val="-1"/>
        </w:rPr>
        <w:t> </w:t>
      </w:r>
      <w:r>
        <w:rPr>
          <w:color w:val="0B0B0B"/>
        </w:rPr>
        <w:t>aquel; asimismo,</w:t>
      </w:r>
      <w:r>
        <w:rPr>
          <w:color w:val="0B0B0B"/>
          <w:spacing w:val="-1"/>
        </w:rPr>
        <w:t> </w:t>
      </w:r>
      <w:r>
        <w:rPr>
          <w:color w:val="0B0B0B"/>
        </w:rPr>
        <w:t>enfermedad</w:t>
      </w:r>
      <w:r>
        <w:rPr>
          <w:color w:val="0B0B0B"/>
          <w:spacing w:val="-1"/>
        </w:rPr>
        <w:t> </w:t>
      </w:r>
      <w:r>
        <w:rPr>
          <w:color w:val="0B0B0B"/>
        </w:rPr>
        <w:t>de</w:t>
      </w:r>
      <w:r>
        <w:rPr>
          <w:color w:val="0B0B0B"/>
          <w:spacing w:val="-1"/>
        </w:rPr>
        <w:t> </w:t>
      </w:r>
      <w:r>
        <w:rPr>
          <w:color w:val="0B0B0B"/>
        </w:rPr>
        <w:t>trabajo es</w:t>
      </w:r>
      <w:r>
        <w:rPr>
          <w:color w:val="0B0B0B"/>
          <w:spacing w:val="-3"/>
        </w:rPr>
        <w:t> </w:t>
      </w:r>
      <w:r>
        <w:rPr>
          <w:color w:val="0B0B0B"/>
        </w:rPr>
        <w:t>todo</w:t>
      </w:r>
      <w:r>
        <w:rPr>
          <w:color w:val="0B0B0B"/>
          <w:spacing w:val="-3"/>
        </w:rPr>
        <w:t> </w:t>
      </w:r>
      <w:r>
        <w:rPr>
          <w:color w:val="0B0B0B"/>
        </w:rPr>
        <w:t>estado</w:t>
      </w:r>
      <w:r>
        <w:rPr>
          <w:color w:val="0B0B0B"/>
          <w:spacing w:val="-2"/>
        </w:rPr>
        <w:t> </w:t>
      </w:r>
      <w:r>
        <w:rPr>
          <w:color w:val="0B0B0B"/>
        </w:rPr>
        <w:t>patológico</w:t>
      </w:r>
      <w:r>
        <w:rPr>
          <w:color w:val="0B0B0B"/>
          <w:spacing w:val="-3"/>
        </w:rPr>
        <w:t> </w:t>
      </w:r>
      <w:r>
        <w:rPr>
          <w:color w:val="0B0B0B"/>
        </w:rPr>
        <w:t>derivado</w:t>
      </w:r>
      <w:r>
        <w:rPr>
          <w:color w:val="0B0B0B"/>
          <w:spacing w:val="-3"/>
        </w:rPr>
        <w:t> </w:t>
      </w:r>
      <w:r>
        <w:rPr>
          <w:color w:val="0B0B0B"/>
        </w:rPr>
        <w:t>de</w:t>
      </w:r>
      <w:r>
        <w:rPr>
          <w:color w:val="0B0B0B"/>
          <w:spacing w:val="-4"/>
        </w:rPr>
        <w:t> </w:t>
      </w:r>
      <w:r>
        <w:rPr>
          <w:color w:val="0B0B0B"/>
        </w:rPr>
        <w:t>la</w:t>
      </w:r>
      <w:r>
        <w:rPr>
          <w:color w:val="0B0B0B"/>
          <w:spacing w:val="-5"/>
        </w:rPr>
        <w:t> </w:t>
      </w:r>
      <w:r>
        <w:rPr>
          <w:color w:val="0B0B0B"/>
        </w:rPr>
        <w:t>acción</w:t>
      </w:r>
      <w:r>
        <w:rPr>
          <w:color w:val="0B0B0B"/>
          <w:spacing w:val="-3"/>
        </w:rPr>
        <w:t> </w:t>
      </w:r>
      <w:r>
        <w:rPr>
          <w:color w:val="0B0B0B"/>
        </w:rPr>
        <w:t>continuada</w:t>
      </w:r>
      <w:r>
        <w:rPr>
          <w:color w:val="0B0B0B"/>
          <w:spacing w:val="-2"/>
        </w:rPr>
        <w:t> </w:t>
      </w:r>
      <w:r>
        <w:rPr>
          <w:color w:val="0B0B0B"/>
        </w:rPr>
        <w:t>de</w:t>
      </w:r>
      <w:r>
        <w:rPr>
          <w:color w:val="0B0B0B"/>
          <w:spacing w:val="-3"/>
        </w:rPr>
        <w:t> </w:t>
      </w:r>
      <w:r>
        <w:rPr>
          <w:color w:val="0B0B0B"/>
        </w:rPr>
        <w:t>una</w:t>
      </w:r>
      <w:r>
        <w:rPr>
          <w:color w:val="0B0B0B"/>
          <w:spacing w:val="-3"/>
        </w:rPr>
        <w:t> </w:t>
      </w:r>
      <w:r>
        <w:rPr>
          <w:color w:val="0B0B0B"/>
        </w:rPr>
        <w:t>causa</w:t>
      </w:r>
      <w:r>
        <w:rPr>
          <w:color w:val="0B0B0B"/>
          <w:spacing w:val="-2"/>
        </w:rPr>
        <w:t> </w:t>
      </w:r>
      <w:r>
        <w:rPr>
          <w:color w:val="0B0B0B"/>
        </w:rPr>
        <w:t>que</w:t>
      </w:r>
      <w:r>
        <w:rPr>
          <w:color w:val="0B0B0B"/>
          <w:spacing w:val="-3"/>
        </w:rPr>
        <w:t> </w:t>
      </w:r>
      <w:r>
        <w:rPr>
          <w:color w:val="0B0B0B"/>
        </w:rPr>
        <w:t>tenga</w:t>
      </w:r>
      <w:r>
        <w:rPr>
          <w:color w:val="0B0B0B"/>
          <w:spacing w:val="-3"/>
        </w:rPr>
        <w:t> </w:t>
      </w:r>
      <w:r>
        <w:rPr>
          <w:color w:val="0B0B0B"/>
        </w:rPr>
        <w:t>su origen o motivo en el trabajo o en el medio en que el trabajador se vea obligado a prestar sus servicios.</w:t>
      </w:r>
    </w:p>
    <w:p>
      <w:pPr>
        <w:pStyle w:val="BodyText"/>
        <w:spacing w:line="256" w:lineRule="auto" w:before="108"/>
        <w:ind w:right="257"/>
      </w:pPr>
      <w:r>
        <w:rPr>
          <w:color w:val="0B0B0B"/>
        </w:rPr>
        <w:t>Las indemnizaciones por</w:t>
      </w:r>
      <w:r>
        <w:rPr>
          <w:color w:val="0B0B0B"/>
        </w:rPr>
        <w:t> riesgos de trabajo que se otorguen por</w:t>
      </w:r>
      <w:r>
        <w:rPr>
          <w:color w:val="0B0B0B"/>
        </w:rPr>
        <w:t> alguna de las incapacidades previstas en las fracciones I, II o III del artículo 477 de la citada Ley laboral, se pagarán directamente al trabajador, y en el caso de incapacidad mental se pagará a la persona o personas, de las señaladas en el artículo 501 de la misma Ley,</w:t>
      </w:r>
      <w:r>
        <w:rPr>
          <w:color w:val="0B0B0B"/>
          <w:spacing w:val="40"/>
        </w:rPr>
        <w:t> </w:t>
      </w:r>
      <w:r>
        <w:rPr>
          <w:color w:val="0B0B0B"/>
        </w:rPr>
        <w:t>a cuyo cuidado quede el trabajador de conformidad con lo precisado en el artículo 483 de la Ley laboral, tomando como base para el cálculo de la indemnización el salario diario que percibía el trabajador</w:t>
      </w:r>
      <w:r>
        <w:rPr>
          <w:color w:val="0B0B0B"/>
          <w:spacing w:val="-1"/>
        </w:rPr>
        <w:t> </w:t>
      </w:r>
      <w:r>
        <w:rPr>
          <w:color w:val="0B0B0B"/>
        </w:rPr>
        <w:t>al ocurrir el riesgo conforme a lo previsto en el artículo 484 de la misma Ley.</w:t>
      </w:r>
    </w:p>
    <w:p>
      <w:pPr>
        <w:pStyle w:val="BodyText"/>
        <w:spacing w:line="256" w:lineRule="auto" w:before="105"/>
        <w:ind w:right="256"/>
      </w:pPr>
      <w:r>
        <w:rPr>
          <w:color w:val="0B0B0B"/>
        </w:rPr>
        <w:t>En el caso de enfermedades de trabajo, estas se determinan conforme a la Tabla de Enfermedades</w:t>
      </w:r>
      <w:r>
        <w:rPr>
          <w:color w:val="0B0B0B"/>
          <w:spacing w:val="-3"/>
        </w:rPr>
        <w:t> </w:t>
      </w:r>
      <w:r>
        <w:rPr>
          <w:color w:val="0B0B0B"/>
        </w:rPr>
        <w:t>de</w:t>
      </w:r>
      <w:r>
        <w:rPr>
          <w:color w:val="0B0B0B"/>
          <w:spacing w:val="-3"/>
        </w:rPr>
        <w:t> </w:t>
      </w:r>
      <w:r>
        <w:rPr>
          <w:color w:val="0B0B0B"/>
        </w:rPr>
        <w:t>Trabajo</w:t>
      </w:r>
      <w:r>
        <w:rPr>
          <w:color w:val="0B0B0B"/>
          <w:spacing w:val="-3"/>
        </w:rPr>
        <w:t> </w:t>
      </w:r>
      <w:r>
        <w:rPr>
          <w:color w:val="0B0B0B"/>
        </w:rPr>
        <w:t>a</w:t>
      </w:r>
      <w:r>
        <w:rPr>
          <w:color w:val="0B0B0B"/>
          <w:spacing w:val="-2"/>
        </w:rPr>
        <w:t> </w:t>
      </w:r>
      <w:r>
        <w:rPr>
          <w:color w:val="0B0B0B"/>
        </w:rPr>
        <w:t>que</w:t>
      </w:r>
      <w:r>
        <w:rPr>
          <w:color w:val="0B0B0B"/>
          <w:spacing w:val="-3"/>
        </w:rPr>
        <w:t> </w:t>
      </w:r>
      <w:r>
        <w:rPr>
          <w:color w:val="0B0B0B"/>
        </w:rPr>
        <w:t>se</w:t>
      </w:r>
      <w:r>
        <w:rPr>
          <w:color w:val="0B0B0B"/>
          <w:spacing w:val="-3"/>
        </w:rPr>
        <w:t> </w:t>
      </w:r>
      <w:r>
        <w:rPr>
          <w:color w:val="0B0B0B"/>
        </w:rPr>
        <w:t>refiere</w:t>
      </w:r>
      <w:r>
        <w:rPr>
          <w:color w:val="0B0B0B"/>
          <w:spacing w:val="-3"/>
        </w:rPr>
        <w:t> </w:t>
      </w:r>
      <w:r>
        <w:rPr>
          <w:color w:val="0B0B0B"/>
        </w:rPr>
        <w:t>el</w:t>
      </w:r>
      <w:r>
        <w:rPr>
          <w:color w:val="0B0B0B"/>
          <w:spacing w:val="-2"/>
        </w:rPr>
        <w:t> </w:t>
      </w:r>
      <w:r>
        <w:rPr>
          <w:color w:val="0B0B0B"/>
        </w:rPr>
        <w:t>artículo</w:t>
      </w:r>
      <w:r>
        <w:rPr>
          <w:color w:val="0B0B0B"/>
          <w:spacing w:val="-3"/>
        </w:rPr>
        <w:t> </w:t>
      </w:r>
      <w:r>
        <w:rPr>
          <w:color w:val="0B0B0B"/>
        </w:rPr>
        <w:t>513</w:t>
      </w:r>
      <w:r>
        <w:rPr>
          <w:color w:val="0B0B0B"/>
          <w:spacing w:val="-3"/>
        </w:rPr>
        <w:t> </w:t>
      </w:r>
      <w:r>
        <w:rPr>
          <w:color w:val="0B0B0B"/>
        </w:rPr>
        <w:t>de</w:t>
      </w:r>
      <w:r>
        <w:rPr>
          <w:color w:val="0B0B0B"/>
          <w:spacing w:val="-4"/>
        </w:rPr>
        <w:t> </w:t>
      </w:r>
      <w:r>
        <w:rPr>
          <w:color w:val="0B0B0B"/>
        </w:rPr>
        <w:t>la</w:t>
      </w:r>
      <w:r>
        <w:rPr>
          <w:color w:val="0B0B0B"/>
          <w:spacing w:val="-3"/>
        </w:rPr>
        <w:t> </w:t>
      </w:r>
      <w:r>
        <w:rPr>
          <w:color w:val="0B0B0B"/>
        </w:rPr>
        <w:t>Ley</w:t>
      </w:r>
      <w:r>
        <w:rPr>
          <w:color w:val="0B0B0B"/>
          <w:spacing w:val="-5"/>
        </w:rPr>
        <w:t> </w:t>
      </w:r>
      <w:r>
        <w:rPr>
          <w:color w:val="0B0B0B"/>
        </w:rPr>
        <w:t>Federal</w:t>
      </w:r>
      <w:r>
        <w:rPr>
          <w:color w:val="0B0B0B"/>
          <w:spacing w:val="-3"/>
        </w:rPr>
        <w:t> </w:t>
      </w:r>
      <w:r>
        <w:rPr>
          <w:color w:val="0B0B0B"/>
        </w:rPr>
        <w:t>del</w:t>
      </w:r>
      <w:r>
        <w:rPr>
          <w:color w:val="0B0B0B"/>
          <w:spacing w:val="-3"/>
        </w:rPr>
        <w:t> </w:t>
      </w:r>
      <w:r>
        <w:rPr>
          <w:color w:val="0B0B0B"/>
        </w:rPr>
        <w:t>Trabajo y las que se publiquen en el DOF, las que serán de observancia general en todo el territorio nacional.</w:t>
      </w:r>
    </w:p>
    <w:p>
      <w:pPr>
        <w:pStyle w:val="BodyText"/>
        <w:spacing w:line="256" w:lineRule="auto" w:before="103"/>
        <w:ind w:right="257"/>
      </w:pPr>
      <w:r>
        <w:rPr>
          <w:color w:val="0B0B0B"/>
        </w:rPr>
        <w:t>Al efecto, se han detectado contribuyentes que realizan pagos por concepto de indemnizaciones por riesgos de trabajo o enfermedades sin contar con el certificado o la constancia de incapacidad o enfermedad de que se trate expedida por las instituciones públicas del Sistema Nacional de Salud, cuando en realidad se trata de salarios y asimilados a salarios, pretendiéndose deducir indebidamente sin realizarse</w:t>
      </w:r>
      <w:r>
        <w:rPr>
          <w:color w:val="0B0B0B"/>
          <w:spacing w:val="40"/>
        </w:rPr>
        <w:t> </w:t>
      </w:r>
      <w:r>
        <w:rPr>
          <w:color w:val="0B0B0B"/>
        </w:rPr>
        <w:t>la retención y entero correspondiente del ISR por quien los efectúa.</w:t>
      </w:r>
    </w:p>
    <w:p>
      <w:pPr>
        <w:pStyle w:val="BodyText"/>
        <w:spacing w:before="103"/>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4"/>
        </w:numPr>
        <w:tabs>
          <w:tab w:pos="2664" w:val="left" w:leader="none"/>
        </w:tabs>
        <w:spacing w:line="256" w:lineRule="auto" w:before="116" w:after="0"/>
        <w:ind w:left="2664" w:right="257" w:hanging="504"/>
        <w:jc w:val="both"/>
        <w:rPr>
          <w:sz w:val="18"/>
        </w:rPr>
      </w:pPr>
      <w:r>
        <w:rPr>
          <w:color w:val="0B0B0B"/>
          <w:sz w:val="18"/>
        </w:rPr>
        <w:t>Efectuar erogaciones como si se tratara de indemnizaciones por riesgos de trabajo o enfermedades sin contar con el certificado o constancia correspondiente, cuando las mismas realmente corresponden a ingresos por salarios y conceptos asimilados a estos o demás prestaciones que deriven de una relación laboral.</w:t>
      </w:r>
    </w:p>
    <w:p>
      <w:pPr>
        <w:pStyle w:val="ListParagraph"/>
        <w:numPr>
          <w:ilvl w:val="0"/>
          <w:numId w:val="14"/>
        </w:numPr>
        <w:tabs>
          <w:tab w:pos="2664" w:val="left" w:leader="none"/>
        </w:tabs>
        <w:spacing w:line="256" w:lineRule="auto" w:before="104" w:after="0"/>
        <w:ind w:left="2664" w:right="258" w:hanging="504"/>
        <w:jc w:val="both"/>
        <w:rPr>
          <w:sz w:val="18"/>
        </w:rPr>
      </w:pPr>
      <w:r>
        <w:rPr>
          <w:color w:val="0B0B0B"/>
          <w:sz w:val="18"/>
        </w:rPr>
        <w:t>Deducir para efectos del ISR, las erogaciones a que se refiere la fracción anterior sin contar con el certificado o constancia correspondiente y sin cumplir con la obligación de retener y enterar el ISR correspondiente.</w:t>
      </w:r>
    </w:p>
    <w:p>
      <w:pPr>
        <w:pStyle w:val="ListParagraph"/>
        <w:numPr>
          <w:ilvl w:val="0"/>
          <w:numId w:val="14"/>
        </w:numPr>
        <w:tabs>
          <w:tab w:pos="2662" w:val="left" w:leader="none"/>
          <w:tab w:pos="2664" w:val="left" w:leader="none"/>
        </w:tabs>
        <w:spacing w:line="256" w:lineRule="auto" w:before="103" w:after="0"/>
        <w:ind w:left="2664" w:right="258" w:hanging="504"/>
        <w:jc w:val="both"/>
        <w:rPr>
          <w:sz w:val="18"/>
        </w:rPr>
      </w:pPr>
      <w:r>
        <w:rPr>
          <w:color w:val="0B0B0B"/>
          <w:sz w:val="18"/>
        </w:rPr>
        <w:t>No considerar como ingresos por los que se está obligado al pago del ISR, los salarios</w:t>
      </w:r>
      <w:r>
        <w:rPr>
          <w:color w:val="0B0B0B"/>
          <w:spacing w:val="-1"/>
          <w:sz w:val="18"/>
        </w:rPr>
        <w:t> </w:t>
      </w:r>
      <w:r>
        <w:rPr>
          <w:color w:val="0B0B0B"/>
          <w:sz w:val="18"/>
        </w:rPr>
        <w:t>y</w:t>
      </w:r>
      <w:r>
        <w:rPr>
          <w:color w:val="0B0B0B"/>
          <w:spacing w:val="-2"/>
          <w:sz w:val="18"/>
        </w:rPr>
        <w:t> </w:t>
      </w:r>
      <w:r>
        <w:rPr>
          <w:color w:val="0B0B0B"/>
          <w:sz w:val="18"/>
        </w:rPr>
        <w:t>conceptos</w:t>
      </w:r>
      <w:r>
        <w:rPr>
          <w:color w:val="0B0B0B"/>
          <w:spacing w:val="-1"/>
          <w:sz w:val="18"/>
        </w:rPr>
        <w:t> </w:t>
      </w:r>
      <w:r>
        <w:rPr>
          <w:color w:val="0B0B0B"/>
          <w:sz w:val="18"/>
        </w:rPr>
        <w:t>asimilados</w:t>
      </w:r>
      <w:r>
        <w:rPr>
          <w:color w:val="0B0B0B"/>
          <w:spacing w:val="-2"/>
          <w:sz w:val="18"/>
        </w:rPr>
        <w:t> </w:t>
      </w:r>
      <w:r>
        <w:rPr>
          <w:color w:val="0B0B0B"/>
          <w:sz w:val="18"/>
        </w:rPr>
        <w:t>a</w:t>
      </w:r>
      <w:r>
        <w:rPr>
          <w:color w:val="0B0B0B"/>
          <w:spacing w:val="-1"/>
          <w:sz w:val="18"/>
        </w:rPr>
        <w:t> </w:t>
      </w:r>
      <w:r>
        <w:rPr>
          <w:color w:val="0B0B0B"/>
          <w:sz w:val="18"/>
        </w:rPr>
        <w:t>estos</w:t>
      </w:r>
      <w:r>
        <w:rPr>
          <w:color w:val="0B0B0B"/>
          <w:spacing w:val="-2"/>
          <w:sz w:val="18"/>
        </w:rPr>
        <w:t> </w:t>
      </w:r>
      <w:r>
        <w:rPr>
          <w:color w:val="0B0B0B"/>
          <w:sz w:val="18"/>
        </w:rPr>
        <w:t>o</w:t>
      </w:r>
      <w:r>
        <w:rPr>
          <w:color w:val="0B0B0B"/>
          <w:spacing w:val="-1"/>
          <w:sz w:val="18"/>
        </w:rPr>
        <w:t> </w:t>
      </w:r>
      <w:r>
        <w:rPr>
          <w:color w:val="0B0B0B"/>
          <w:sz w:val="18"/>
        </w:rPr>
        <w:t>demás</w:t>
      </w:r>
      <w:r>
        <w:rPr>
          <w:color w:val="0B0B0B"/>
          <w:spacing w:val="-2"/>
          <w:sz w:val="18"/>
        </w:rPr>
        <w:t> </w:t>
      </w:r>
      <w:r>
        <w:rPr>
          <w:color w:val="0B0B0B"/>
          <w:sz w:val="18"/>
        </w:rPr>
        <w:t>prestaciones</w:t>
      </w:r>
      <w:r>
        <w:rPr>
          <w:color w:val="0B0B0B"/>
          <w:spacing w:val="-2"/>
          <w:sz w:val="18"/>
        </w:rPr>
        <w:t> </w:t>
      </w:r>
      <w:r>
        <w:rPr>
          <w:color w:val="0B0B0B"/>
          <w:sz w:val="18"/>
        </w:rPr>
        <w:t>derivadas de</w:t>
      </w:r>
      <w:r>
        <w:rPr>
          <w:color w:val="0B0B0B"/>
          <w:spacing w:val="-2"/>
          <w:sz w:val="18"/>
        </w:rPr>
        <w:t> </w:t>
      </w:r>
      <w:r>
        <w:rPr>
          <w:color w:val="0B0B0B"/>
          <w:sz w:val="18"/>
        </w:rPr>
        <w:t>una relación laboral que se hayan cobrado como presuntas indemnizaciones por riesgos de trabajo o enfermedades sin contar con el citado certificado o constancia correspondiente.</w:t>
      </w:r>
    </w:p>
    <w:p>
      <w:pPr>
        <w:pStyle w:val="ListParagraph"/>
        <w:numPr>
          <w:ilvl w:val="0"/>
          <w:numId w:val="14"/>
        </w:numPr>
        <w:tabs>
          <w:tab w:pos="2662" w:val="left" w:leader="none"/>
          <w:tab w:pos="2664" w:val="left" w:leader="none"/>
        </w:tabs>
        <w:spacing w:line="256" w:lineRule="auto" w:before="104" w:after="0"/>
        <w:ind w:left="2664" w:right="259" w:hanging="505"/>
        <w:jc w:val="both"/>
        <w:rPr>
          <w:sz w:val="18"/>
        </w:rPr>
      </w:pPr>
      <w:r>
        <w:rPr>
          <w:color w:val="0B0B0B"/>
          <w:sz w:val="18"/>
        </w:rPr>
        <w:t>Asesorar, aconsejar, prestar servicios o participar en la realización o la implementación de cualquiera de las prácticas anteriores.</w:t>
      </w:r>
    </w:p>
    <w:p>
      <w:pPr>
        <w:pStyle w:val="BodyText"/>
        <w:spacing w:before="1"/>
        <w:ind w:left="0"/>
        <w:jc w:val="left"/>
        <w:rPr>
          <w:sz w:val="8"/>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93"/>
        <w:gridCol w:w="4475"/>
      </w:tblGrid>
      <w:tr>
        <w:trPr>
          <w:trHeight w:val="323" w:hRule="atLeast"/>
        </w:trPr>
        <w:tc>
          <w:tcPr>
            <w:tcW w:w="2393" w:type="dxa"/>
            <w:shd w:val="clear" w:color="auto" w:fill="BDBDBD"/>
          </w:tcPr>
          <w:p>
            <w:pPr>
              <w:pStyle w:val="TableParagraph"/>
              <w:spacing w:before="27"/>
              <w:ind w:left="13"/>
              <w:jc w:val="center"/>
              <w:rPr>
                <w:rFonts w:ascii="Arial"/>
                <w:b/>
                <w:sz w:val="16"/>
              </w:rPr>
            </w:pPr>
            <w:r>
              <w:rPr>
                <w:rFonts w:ascii="Arial"/>
                <w:b/>
                <w:color w:val="0B0B0B"/>
                <w:spacing w:val="-2"/>
                <w:sz w:val="16"/>
              </w:rPr>
              <w:t>Origen</w:t>
            </w:r>
          </w:p>
        </w:tc>
        <w:tc>
          <w:tcPr>
            <w:tcW w:w="4475" w:type="dxa"/>
            <w:shd w:val="clear" w:color="auto" w:fill="BDBDBD"/>
          </w:tcPr>
          <w:p>
            <w:pPr>
              <w:pStyle w:val="TableParagraph"/>
              <w:spacing w:before="27"/>
              <w:ind w:left="149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6" w:hRule="atLeast"/>
        </w:trPr>
        <w:tc>
          <w:tcPr>
            <w:tcW w:w="2393" w:type="dxa"/>
          </w:tcPr>
          <w:p>
            <w:pPr>
              <w:pStyle w:val="TableParagraph"/>
              <w:spacing w:line="290" w:lineRule="auto" w:before="27"/>
              <w:ind w:right="56"/>
              <w:jc w:val="both"/>
              <w:rPr>
                <w:sz w:val="16"/>
              </w:rPr>
            </w:pPr>
            <w:r>
              <w:rPr>
                <w:color w:val="0B0B0B"/>
                <w:sz w:val="16"/>
              </w:rPr>
              <w:t>Cuarta Resolución </w:t>
            </w:r>
            <w:r>
              <w:rPr>
                <w:color w:val="0B0B0B"/>
                <w:sz w:val="16"/>
              </w:rPr>
              <w:t>de Modificaciones a la RMF para </w:t>
            </w:r>
            <w:r>
              <w:rPr>
                <w:color w:val="0B0B0B"/>
                <w:spacing w:val="-4"/>
                <w:sz w:val="16"/>
              </w:rPr>
              <w:t>2012</w:t>
            </w:r>
          </w:p>
        </w:tc>
        <w:tc>
          <w:tcPr>
            <w:tcW w:w="4475" w:type="dxa"/>
          </w:tcPr>
          <w:p>
            <w:pPr>
              <w:pStyle w:val="TableParagraph"/>
              <w:spacing w:line="290" w:lineRule="auto" w:before="27"/>
              <w:ind w:right="57"/>
              <w:jc w:val="both"/>
              <w:rPr>
                <w:sz w:val="16"/>
              </w:rPr>
            </w:pPr>
            <w:r>
              <w:rPr>
                <w:color w:val="0B0B0B"/>
                <w:sz w:val="16"/>
              </w:rPr>
              <w:t>Publicada en el DOF el 12 de noviembre de 2012, Anexo 3, publicado en el DOF el 14 de noviembre de 2012, con número de criterio no vinculativo 24/ISR.</w:t>
            </w:r>
          </w:p>
        </w:tc>
      </w:tr>
    </w:tbl>
    <w:p>
      <w:pPr>
        <w:pStyle w:val="TableParagraph"/>
        <w:spacing w:after="0" w:line="290" w:lineRule="auto"/>
        <w:jc w:val="both"/>
        <w:rPr>
          <w:sz w:val="16"/>
        </w:rPr>
        <w:sectPr>
          <w:headerReference w:type="default" r:id="rId20"/>
          <w:pgSz w:w="12240" w:h="15840"/>
          <w:pgMar w:header="690" w:footer="0" w:top="1040" w:bottom="280" w:left="1440" w:right="1440"/>
        </w:sectPr>
      </w:pPr>
    </w:p>
    <w:p>
      <w:pPr>
        <w:pStyle w:val="Heading1"/>
        <w:tabs>
          <w:tab w:pos="2145" w:val="left" w:leader="none"/>
        </w:tabs>
        <w:spacing w:before="112"/>
        <w:ind w:left="1137" w:firstLine="0"/>
      </w:pPr>
      <w:r>
        <w:rPr>
          <w:color w:val="0B0B0B"/>
          <w:spacing w:val="-2"/>
        </w:rPr>
        <w:t>12/ISR/PI</w:t>
      </w:r>
      <w:r>
        <w:rPr>
          <w:color w:val="0B0B0B"/>
        </w:rPr>
        <w:tab/>
        <w:t>Enajenación</w:t>
      </w:r>
      <w:r>
        <w:rPr>
          <w:color w:val="0B0B0B"/>
          <w:spacing w:val="-11"/>
        </w:rPr>
        <w:t> </w:t>
      </w:r>
      <w:r>
        <w:rPr>
          <w:color w:val="0B0B0B"/>
        </w:rPr>
        <w:t>de</w:t>
      </w:r>
      <w:r>
        <w:rPr>
          <w:color w:val="0B0B0B"/>
          <w:spacing w:val="-11"/>
        </w:rPr>
        <w:t> </w:t>
      </w:r>
      <w:r>
        <w:rPr>
          <w:color w:val="0B0B0B"/>
        </w:rPr>
        <w:t>certificados</w:t>
      </w:r>
      <w:r>
        <w:rPr>
          <w:color w:val="0B0B0B"/>
          <w:spacing w:val="-10"/>
        </w:rPr>
        <w:t> </w:t>
      </w:r>
      <w:r>
        <w:rPr>
          <w:color w:val="0B0B0B"/>
          <w:spacing w:val="-2"/>
        </w:rPr>
        <w:t>inmobiliarios.</w:t>
      </w:r>
    </w:p>
    <w:p>
      <w:pPr>
        <w:pStyle w:val="BodyText"/>
        <w:spacing w:line="249" w:lineRule="auto" w:before="84"/>
        <w:ind w:right="258"/>
      </w:pPr>
      <w:r>
        <w:rPr>
          <w:color w:val="0B0B0B"/>
        </w:rPr>
        <w:t>El</w:t>
      </w:r>
      <w:r>
        <w:rPr>
          <w:color w:val="0B0B0B"/>
          <w:spacing w:val="-1"/>
        </w:rPr>
        <w:t> </w:t>
      </w:r>
      <w:r>
        <w:rPr>
          <w:color w:val="0B0B0B"/>
        </w:rPr>
        <w:t>artículo</w:t>
      </w:r>
      <w:r>
        <w:rPr>
          <w:color w:val="0B0B0B"/>
          <w:spacing w:val="-1"/>
        </w:rPr>
        <w:t> </w:t>
      </w:r>
      <w:r>
        <w:rPr>
          <w:color w:val="0B0B0B"/>
        </w:rPr>
        <w:t>93,</w:t>
      </w:r>
      <w:r>
        <w:rPr>
          <w:color w:val="0B0B0B"/>
          <w:spacing w:val="-1"/>
        </w:rPr>
        <w:t> </w:t>
      </w:r>
      <w:r>
        <w:rPr>
          <w:color w:val="0B0B0B"/>
        </w:rPr>
        <w:t>fracción</w:t>
      </w:r>
      <w:r>
        <w:rPr>
          <w:color w:val="0B0B0B"/>
          <w:spacing w:val="-1"/>
        </w:rPr>
        <w:t> </w:t>
      </w:r>
      <w:r>
        <w:rPr>
          <w:color w:val="0B0B0B"/>
        </w:rPr>
        <w:t>XIX,</w:t>
      </w:r>
      <w:r>
        <w:rPr>
          <w:color w:val="0B0B0B"/>
          <w:spacing w:val="-1"/>
        </w:rPr>
        <w:t> </w:t>
      </w:r>
      <w:r>
        <w:rPr>
          <w:color w:val="0B0B0B"/>
        </w:rPr>
        <w:t>inciso</w:t>
      </w:r>
      <w:r>
        <w:rPr>
          <w:color w:val="0B0B0B"/>
          <w:spacing w:val="-1"/>
        </w:rPr>
        <w:t> </w:t>
      </w:r>
      <w:r>
        <w:rPr>
          <w:color w:val="0B0B0B"/>
        </w:rPr>
        <w:t>a)</w:t>
      </w:r>
      <w:r>
        <w:rPr>
          <w:color w:val="0B0B0B"/>
          <w:spacing w:val="-2"/>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1"/>
        </w:rPr>
        <w:t> </w:t>
      </w:r>
      <w:r>
        <w:rPr>
          <w:color w:val="0B0B0B"/>
        </w:rPr>
        <w:t>del</w:t>
      </w:r>
      <w:r>
        <w:rPr>
          <w:color w:val="0B0B0B"/>
          <w:spacing w:val="-1"/>
        </w:rPr>
        <w:t> </w:t>
      </w:r>
      <w:r>
        <w:rPr>
          <w:color w:val="0B0B0B"/>
        </w:rPr>
        <w:t>ISR,</w:t>
      </w:r>
      <w:r>
        <w:rPr>
          <w:color w:val="0B0B0B"/>
          <w:spacing w:val="-1"/>
        </w:rPr>
        <w:t> </w:t>
      </w:r>
      <w:r>
        <w:rPr>
          <w:color w:val="0B0B0B"/>
        </w:rPr>
        <w:t>señala</w:t>
      </w:r>
      <w:r>
        <w:rPr>
          <w:color w:val="0B0B0B"/>
          <w:spacing w:val="-1"/>
        </w:rPr>
        <w:t> </w:t>
      </w:r>
      <w:r>
        <w:rPr>
          <w:color w:val="0B0B0B"/>
        </w:rPr>
        <w:t>que</w:t>
      </w:r>
      <w:r>
        <w:rPr>
          <w:color w:val="0B0B0B"/>
          <w:spacing w:val="-1"/>
        </w:rPr>
        <w:t> </w:t>
      </w:r>
      <w:r>
        <w:rPr>
          <w:color w:val="0B0B0B"/>
        </w:rPr>
        <w:t>no</w:t>
      </w:r>
      <w:r>
        <w:rPr>
          <w:color w:val="0B0B0B"/>
          <w:spacing w:val="-1"/>
        </w:rPr>
        <w:t> </w:t>
      </w:r>
      <w:r>
        <w:rPr>
          <w:color w:val="0B0B0B"/>
        </w:rPr>
        <w:t>se</w:t>
      </w:r>
      <w:r>
        <w:rPr>
          <w:color w:val="0B0B0B"/>
          <w:spacing w:val="-2"/>
        </w:rPr>
        <w:t> </w:t>
      </w:r>
      <w:r>
        <w:rPr>
          <w:color w:val="0B0B0B"/>
        </w:rPr>
        <w:t>pagará</w:t>
      </w:r>
      <w:r>
        <w:rPr>
          <w:color w:val="0B0B0B"/>
          <w:spacing w:val="-1"/>
        </w:rPr>
        <w:t> </w:t>
      </w:r>
      <w:r>
        <w:rPr>
          <w:color w:val="0B0B0B"/>
        </w:rPr>
        <w:t>el</w:t>
      </w:r>
      <w:r>
        <w:rPr>
          <w:color w:val="0B0B0B"/>
          <w:spacing w:val="-1"/>
        </w:rPr>
        <w:t> </w:t>
      </w:r>
      <w:r>
        <w:rPr>
          <w:color w:val="0B0B0B"/>
        </w:rPr>
        <w:t>ISR por la obtención de ingresos derivados de la enajenación de casa habitación del </w:t>
      </w:r>
      <w:r>
        <w:rPr>
          <w:color w:val="0B0B0B"/>
          <w:spacing w:val="-2"/>
        </w:rPr>
        <w:t>contribuyente.</w:t>
      </w:r>
    </w:p>
    <w:p>
      <w:pPr>
        <w:pStyle w:val="BodyText"/>
        <w:spacing w:line="249" w:lineRule="auto" w:before="79"/>
        <w:ind w:right="256"/>
      </w:pPr>
      <w:r>
        <w:rPr>
          <w:color w:val="0B0B0B"/>
        </w:rPr>
        <w:t>Asimismo,</w:t>
      </w:r>
      <w:r>
        <w:rPr>
          <w:color w:val="0B0B0B"/>
        </w:rPr>
        <w:t> el artículo 9o., fracciones II y VII de la Ley del IVA establece que no se pagará el impuesto en la enajenación de construcciones adheridas al suelo,</w:t>
      </w:r>
      <w:r>
        <w:rPr>
          <w:color w:val="0B0B0B"/>
          <w:spacing w:val="40"/>
        </w:rPr>
        <w:t> </w:t>
      </w:r>
      <w:r>
        <w:rPr>
          <w:color w:val="0B0B0B"/>
        </w:rPr>
        <w:t>destinadas o utilizadas para casa habitación, así como partes sociales, documentos pendientes de cobro y títulos de crédito, con excepción de certificados de depósito de bienes cuando por la enajenación de dichos bienes se esté obligado a pagar este impuesto y de certificados de participación inmobiliaria no amortizables u otros títulos que</w:t>
      </w:r>
      <w:r>
        <w:rPr>
          <w:color w:val="0B0B0B"/>
          <w:spacing w:val="-3"/>
        </w:rPr>
        <w:t> </w:t>
      </w:r>
      <w:r>
        <w:rPr>
          <w:color w:val="0B0B0B"/>
        </w:rPr>
        <w:t>otorguen</w:t>
      </w:r>
      <w:r>
        <w:rPr>
          <w:color w:val="0B0B0B"/>
          <w:spacing w:val="-3"/>
        </w:rPr>
        <w:t> </w:t>
      </w:r>
      <w:r>
        <w:rPr>
          <w:color w:val="0B0B0B"/>
        </w:rPr>
        <w:t>a</w:t>
      </w:r>
      <w:r>
        <w:rPr>
          <w:color w:val="0B0B0B"/>
          <w:spacing w:val="-2"/>
        </w:rPr>
        <w:t> </w:t>
      </w:r>
      <w:r>
        <w:rPr>
          <w:color w:val="0B0B0B"/>
        </w:rPr>
        <w:t>su</w:t>
      </w:r>
      <w:r>
        <w:rPr>
          <w:color w:val="0B0B0B"/>
          <w:spacing w:val="-3"/>
        </w:rPr>
        <w:t> </w:t>
      </w:r>
      <w:r>
        <w:rPr>
          <w:color w:val="0B0B0B"/>
        </w:rPr>
        <w:t>titular</w:t>
      </w:r>
      <w:r>
        <w:rPr>
          <w:color w:val="0B0B0B"/>
          <w:spacing w:val="-3"/>
        </w:rPr>
        <w:t> </w:t>
      </w:r>
      <w:r>
        <w:rPr>
          <w:color w:val="0B0B0B"/>
        </w:rPr>
        <w:t>derechos</w:t>
      </w:r>
      <w:r>
        <w:rPr>
          <w:color w:val="0B0B0B"/>
          <w:spacing w:val="-3"/>
        </w:rPr>
        <w:t> </w:t>
      </w:r>
      <w:r>
        <w:rPr>
          <w:color w:val="0B0B0B"/>
        </w:rPr>
        <w:t>sobre</w:t>
      </w:r>
      <w:r>
        <w:rPr>
          <w:color w:val="0B0B0B"/>
          <w:spacing w:val="-3"/>
        </w:rPr>
        <w:t> </w:t>
      </w:r>
      <w:r>
        <w:rPr>
          <w:color w:val="0B0B0B"/>
        </w:rPr>
        <w:t>inmuebles</w:t>
      </w:r>
      <w:r>
        <w:rPr>
          <w:color w:val="0B0B0B"/>
          <w:spacing w:val="-3"/>
        </w:rPr>
        <w:t> </w:t>
      </w:r>
      <w:r>
        <w:rPr>
          <w:color w:val="0B0B0B"/>
        </w:rPr>
        <w:t>distintos</w:t>
      </w:r>
      <w:r>
        <w:rPr>
          <w:color w:val="0B0B0B"/>
          <w:spacing w:val="-3"/>
        </w:rPr>
        <w:t> </w:t>
      </w:r>
      <w:r>
        <w:rPr>
          <w:color w:val="0B0B0B"/>
        </w:rPr>
        <w:t>a</w:t>
      </w:r>
      <w:r>
        <w:rPr>
          <w:color w:val="0B0B0B"/>
          <w:spacing w:val="-3"/>
        </w:rPr>
        <w:t> </w:t>
      </w:r>
      <w:r>
        <w:rPr>
          <w:color w:val="0B0B0B"/>
        </w:rPr>
        <w:t>casa</w:t>
      </w:r>
      <w:r>
        <w:rPr>
          <w:color w:val="0B0B0B"/>
          <w:spacing w:val="-3"/>
        </w:rPr>
        <w:t> </w:t>
      </w:r>
      <w:r>
        <w:rPr>
          <w:color w:val="0B0B0B"/>
        </w:rPr>
        <w:t>habitación</w:t>
      </w:r>
      <w:r>
        <w:rPr>
          <w:color w:val="0B0B0B"/>
          <w:spacing w:val="-3"/>
        </w:rPr>
        <w:t> </w:t>
      </w:r>
      <w:r>
        <w:rPr>
          <w:color w:val="0B0B0B"/>
        </w:rPr>
        <w:t>o</w:t>
      </w:r>
      <w:r>
        <w:rPr>
          <w:color w:val="0B0B0B"/>
          <w:spacing w:val="-3"/>
        </w:rPr>
        <w:t> </w:t>
      </w:r>
      <w:r>
        <w:rPr>
          <w:color w:val="0B0B0B"/>
        </w:rPr>
        <w:t>suelo.</w:t>
      </w:r>
    </w:p>
    <w:p>
      <w:pPr>
        <w:pStyle w:val="BodyText"/>
        <w:spacing w:before="81"/>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5"/>
        </w:numPr>
        <w:tabs>
          <w:tab w:pos="2664" w:val="left" w:leader="none"/>
        </w:tabs>
        <w:spacing w:line="249" w:lineRule="auto" w:before="85" w:after="0"/>
        <w:ind w:left="2664" w:right="257" w:hanging="504"/>
        <w:jc w:val="both"/>
        <w:rPr>
          <w:sz w:val="18"/>
        </w:rPr>
      </w:pPr>
      <w:r>
        <w:rPr>
          <w:color w:val="0B0B0B"/>
          <w:sz w:val="18"/>
        </w:rPr>
        <w:t>Considerar como enajenación de casa habitación para efectos del ISR e IVA, la que se realice de los certificados inmobiliarios que representen membresías de tiempo compartido,</w:t>
      </w:r>
      <w:r>
        <w:rPr>
          <w:color w:val="0B0B0B"/>
          <w:sz w:val="18"/>
        </w:rPr>
        <w:t> las cuales tengan incorporados créditos vacacionales canjeables por</w:t>
      </w:r>
      <w:r>
        <w:rPr>
          <w:color w:val="0B0B0B"/>
          <w:sz w:val="18"/>
        </w:rPr>
        <w:t> productos y servicios de recreación, viajes, unidades de alojamiento,</w:t>
      </w:r>
      <w:r>
        <w:rPr>
          <w:color w:val="0B0B0B"/>
          <w:spacing w:val="-2"/>
          <w:sz w:val="18"/>
        </w:rPr>
        <w:t> </w:t>
      </w:r>
      <w:r>
        <w:rPr>
          <w:color w:val="0B0B0B"/>
          <w:sz w:val="18"/>
        </w:rPr>
        <w:t>hospedaje</w:t>
      </w:r>
      <w:r>
        <w:rPr>
          <w:color w:val="0B0B0B"/>
          <w:spacing w:val="-1"/>
          <w:sz w:val="18"/>
        </w:rPr>
        <w:t> </w:t>
      </w:r>
      <w:r>
        <w:rPr>
          <w:color w:val="0B0B0B"/>
          <w:sz w:val="18"/>
        </w:rPr>
        <w:t>y</w:t>
      </w:r>
      <w:r>
        <w:rPr>
          <w:color w:val="0B0B0B"/>
          <w:spacing w:val="-1"/>
          <w:sz w:val="18"/>
        </w:rPr>
        <w:t> </w:t>
      </w:r>
      <w:r>
        <w:rPr>
          <w:color w:val="0B0B0B"/>
          <w:sz w:val="18"/>
        </w:rPr>
        <w:t>otros productos</w:t>
      </w:r>
      <w:r>
        <w:rPr>
          <w:color w:val="0B0B0B"/>
          <w:spacing w:val="-1"/>
          <w:sz w:val="18"/>
        </w:rPr>
        <w:t> </w:t>
      </w:r>
      <w:r>
        <w:rPr>
          <w:color w:val="0B0B0B"/>
          <w:sz w:val="18"/>
        </w:rPr>
        <w:t>relacionados,</w:t>
      </w:r>
      <w:r>
        <w:rPr>
          <w:color w:val="0B0B0B"/>
          <w:spacing w:val="-1"/>
          <w:sz w:val="18"/>
        </w:rPr>
        <w:t> </w:t>
      </w:r>
      <w:r>
        <w:rPr>
          <w:color w:val="0B0B0B"/>
          <w:sz w:val="18"/>
        </w:rPr>
        <w:t>que</w:t>
      </w:r>
      <w:r>
        <w:rPr>
          <w:color w:val="0B0B0B"/>
          <w:spacing w:val="-1"/>
          <w:sz w:val="18"/>
        </w:rPr>
        <w:t> </w:t>
      </w:r>
      <w:r>
        <w:rPr>
          <w:color w:val="0B0B0B"/>
          <w:sz w:val="18"/>
        </w:rPr>
        <w:t>otorguen</w:t>
      </w:r>
      <w:r>
        <w:rPr>
          <w:color w:val="0B0B0B"/>
          <w:spacing w:val="-1"/>
          <w:sz w:val="18"/>
        </w:rPr>
        <w:t> </w:t>
      </w:r>
      <w:r>
        <w:rPr>
          <w:color w:val="0B0B0B"/>
          <w:sz w:val="18"/>
        </w:rPr>
        <w:t>el</w:t>
      </w:r>
      <w:r>
        <w:rPr>
          <w:color w:val="0B0B0B"/>
          <w:spacing w:val="-1"/>
          <w:sz w:val="18"/>
        </w:rPr>
        <w:t> </w:t>
      </w:r>
      <w:r>
        <w:rPr>
          <w:color w:val="0B0B0B"/>
          <w:sz w:val="18"/>
        </w:rPr>
        <w:t>derecho a utilizarse durante un periodo determinado.</w:t>
      </w:r>
    </w:p>
    <w:p>
      <w:pPr>
        <w:pStyle w:val="ListParagraph"/>
        <w:numPr>
          <w:ilvl w:val="0"/>
          <w:numId w:val="15"/>
        </w:numPr>
        <w:tabs>
          <w:tab w:pos="2664" w:val="left" w:leader="none"/>
        </w:tabs>
        <w:spacing w:line="249" w:lineRule="auto" w:before="81"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4"/>
        <w:ind w:left="0"/>
        <w:jc w:val="left"/>
        <w:rPr>
          <w:sz w:val="6"/>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435"/>
        <w:gridCol w:w="4433"/>
      </w:tblGrid>
      <w:tr>
        <w:trPr>
          <w:trHeight w:val="292" w:hRule="atLeast"/>
        </w:trPr>
        <w:tc>
          <w:tcPr>
            <w:tcW w:w="2435" w:type="dxa"/>
            <w:shd w:val="clear" w:color="auto" w:fill="BDBDBD"/>
          </w:tcPr>
          <w:p>
            <w:pPr>
              <w:pStyle w:val="TableParagraph"/>
              <w:ind w:left="11"/>
              <w:jc w:val="center"/>
              <w:rPr>
                <w:rFonts w:ascii="Arial"/>
                <w:b/>
                <w:sz w:val="16"/>
              </w:rPr>
            </w:pPr>
            <w:r>
              <w:rPr>
                <w:rFonts w:ascii="Arial"/>
                <w:b/>
                <w:color w:val="0B0B0B"/>
                <w:spacing w:val="-2"/>
                <w:sz w:val="16"/>
              </w:rPr>
              <w:t>Origen</w:t>
            </w:r>
          </w:p>
        </w:tc>
        <w:tc>
          <w:tcPr>
            <w:tcW w:w="4433" w:type="dxa"/>
            <w:shd w:val="clear" w:color="auto" w:fill="BDBDBD"/>
          </w:tcPr>
          <w:p>
            <w:pPr>
              <w:pStyle w:val="TableParagraph"/>
              <w:ind w:left="147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22" w:hRule="atLeast"/>
        </w:trPr>
        <w:tc>
          <w:tcPr>
            <w:tcW w:w="2435" w:type="dxa"/>
          </w:tcPr>
          <w:p>
            <w:pPr>
              <w:pStyle w:val="TableParagraph"/>
              <w:spacing w:line="280" w:lineRule="auto" w:before="22"/>
              <w:ind w:right="56"/>
              <w:jc w:val="both"/>
              <w:rPr>
                <w:sz w:val="16"/>
              </w:rPr>
            </w:pPr>
            <w:r>
              <w:rPr>
                <w:color w:val="0B0B0B"/>
                <w:sz w:val="16"/>
              </w:rPr>
              <w:t>Novena Resolución </w:t>
            </w:r>
            <w:r>
              <w:rPr>
                <w:color w:val="0B0B0B"/>
                <w:sz w:val="16"/>
              </w:rPr>
              <w:t>de Modificaciones a la RMF para </w:t>
            </w:r>
            <w:r>
              <w:rPr>
                <w:color w:val="0B0B0B"/>
                <w:spacing w:val="-4"/>
                <w:sz w:val="16"/>
              </w:rPr>
              <w:t>2006</w:t>
            </w:r>
          </w:p>
        </w:tc>
        <w:tc>
          <w:tcPr>
            <w:tcW w:w="4433" w:type="dxa"/>
          </w:tcPr>
          <w:p>
            <w:pPr>
              <w:pStyle w:val="TableParagraph"/>
              <w:spacing w:line="280" w:lineRule="auto" w:before="22"/>
              <w:ind w:right="56"/>
              <w:jc w:val="both"/>
              <w:rPr>
                <w:sz w:val="16"/>
              </w:rPr>
            </w:pPr>
            <w:r>
              <w:rPr>
                <w:color w:val="0B0B0B"/>
                <w:sz w:val="16"/>
              </w:rPr>
              <w:t>Publicada en el DOF el 30 de noviembre de 2006, Anexo</w:t>
            </w:r>
            <w:r>
              <w:rPr>
                <w:color w:val="0B0B0B"/>
                <w:spacing w:val="40"/>
                <w:sz w:val="16"/>
              </w:rPr>
              <w:t> </w:t>
            </w:r>
            <w:r>
              <w:rPr>
                <w:color w:val="0B0B0B"/>
                <w:sz w:val="16"/>
              </w:rPr>
              <w:t>26, publicado en el DOF el 7 de diciembre de 2006, con número de criterio no vinculativo 11/ISR.</w:t>
            </w:r>
          </w:p>
        </w:tc>
      </w:tr>
    </w:tbl>
    <w:p>
      <w:pPr>
        <w:pStyle w:val="BodyText"/>
        <w:spacing w:before="91"/>
        <w:ind w:left="0"/>
        <w:jc w:val="left"/>
      </w:pPr>
    </w:p>
    <w:p>
      <w:pPr>
        <w:pStyle w:val="Heading1"/>
        <w:tabs>
          <w:tab w:pos="2145" w:val="left" w:leader="none"/>
        </w:tabs>
        <w:spacing w:line="249" w:lineRule="auto" w:before="1"/>
        <w:ind w:right="257"/>
      </w:pPr>
      <w:r>
        <w:rPr>
          <w:color w:val="0B0B0B"/>
          <w:spacing w:val="-2"/>
        </w:rPr>
        <w:t>13/ISR/PI</w:t>
      </w:r>
      <w:r>
        <w:rPr>
          <w:color w:val="0B0B0B"/>
        </w:rPr>
        <w:tab/>
        <w:t>Aplicación</w:t>
      </w:r>
      <w:r>
        <w:rPr>
          <w:color w:val="0B0B0B"/>
          <w:spacing w:val="22"/>
        </w:rPr>
        <w:t> </w:t>
      </w:r>
      <w:r>
        <w:rPr>
          <w:color w:val="0B0B0B"/>
        </w:rPr>
        <w:t>de los</w:t>
      </w:r>
      <w:r>
        <w:rPr>
          <w:color w:val="0B0B0B"/>
          <w:spacing w:val="22"/>
        </w:rPr>
        <w:t> </w:t>
      </w:r>
      <w:r>
        <w:rPr>
          <w:color w:val="0B0B0B"/>
        </w:rPr>
        <w:t>artículos</w:t>
      </w:r>
      <w:r>
        <w:rPr>
          <w:color w:val="0B0B0B"/>
          <w:spacing w:val="22"/>
        </w:rPr>
        <w:t> </w:t>
      </w:r>
      <w:r>
        <w:rPr>
          <w:color w:val="0B0B0B"/>
        </w:rPr>
        <w:t>de</w:t>
      </w:r>
      <w:r>
        <w:rPr>
          <w:color w:val="0B0B0B"/>
          <w:spacing w:val="22"/>
        </w:rPr>
        <w:t> </w:t>
      </w:r>
      <w:r>
        <w:rPr>
          <w:color w:val="0B0B0B"/>
        </w:rPr>
        <w:t>los</w:t>
      </w:r>
      <w:r>
        <w:rPr>
          <w:color w:val="0B0B0B"/>
          <w:spacing w:val="22"/>
        </w:rPr>
        <w:t> </w:t>
      </w:r>
      <w:r>
        <w:rPr>
          <w:color w:val="0B0B0B"/>
        </w:rPr>
        <w:t>tratados</w:t>
      </w:r>
      <w:r>
        <w:rPr>
          <w:color w:val="0B0B0B"/>
          <w:spacing w:val="22"/>
        </w:rPr>
        <w:t> </w:t>
      </w:r>
      <w:r>
        <w:rPr>
          <w:color w:val="0B0B0B"/>
        </w:rPr>
        <w:t>para</w:t>
      </w:r>
      <w:r>
        <w:rPr>
          <w:color w:val="0B0B0B"/>
          <w:spacing w:val="22"/>
        </w:rPr>
        <w:t> </w:t>
      </w:r>
      <w:r>
        <w:rPr>
          <w:color w:val="0B0B0B"/>
        </w:rPr>
        <w:t>evitar</w:t>
      </w:r>
      <w:r>
        <w:rPr>
          <w:color w:val="0B0B0B"/>
          <w:spacing w:val="22"/>
        </w:rPr>
        <w:t> </w:t>
      </w:r>
      <w:r>
        <w:rPr>
          <w:color w:val="0B0B0B"/>
        </w:rPr>
        <w:t>la</w:t>
      </w:r>
      <w:r>
        <w:rPr>
          <w:color w:val="0B0B0B"/>
          <w:spacing w:val="22"/>
        </w:rPr>
        <w:t> </w:t>
      </w:r>
      <w:r>
        <w:rPr>
          <w:color w:val="0B0B0B"/>
        </w:rPr>
        <w:t>doble</w:t>
      </w:r>
      <w:r>
        <w:rPr>
          <w:color w:val="0B0B0B"/>
          <w:spacing w:val="22"/>
        </w:rPr>
        <w:t> </w:t>
      </w:r>
      <w:r>
        <w:rPr>
          <w:color w:val="0B0B0B"/>
        </w:rPr>
        <w:t>tributación</w:t>
      </w:r>
      <w:r>
        <w:rPr>
          <w:color w:val="0B0B0B"/>
          <w:spacing w:val="22"/>
        </w:rPr>
        <w:t> </w:t>
      </w:r>
      <w:r>
        <w:rPr>
          <w:color w:val="0B0B0B"/>
        </w:rPr>
        <w:t>que México tiene en vigor, relativos a la imposición sobre sucursales.</w:t>
      </w:r>
    </w:p>
    <w:p>
      <w:pPr>
        <w:pStyle w:val="BodyText"/>
        <w:spacing w:line="249" w:lineRule="auto" w:before="77"/>
        <w:ind w:right="256"/>
      </w:pPr>
      <w:r>
        <w:rPr>
          <w:color w:val="0B0B0B"/>
        </w:rPr>
        <w:t>El artículo 164, fracciones II y III de la Ley del ISR, establece un gravamen al envío de utilidades</w:t>
      </w:r>
      <w:r>
        <w:rPr>
          <w:color w:val="0B0B0B"/>
          <w:spacing w:val="39"/>
        </w:rPr>
        <w:t> </w:t>
      </w:r>
      <w:r>
        <w:rPr>
          <w:color w:val="0B0B0B"/>
        </w:rPr>
        <w:t>en</w:t>
      </w:r>
      <w:r>
        <w:rPr>
          <w:color w:val="0B0B0B"/>
          <w:spacing w:val="40"/>
        </w:rPr>
        <w:t> </w:t>
      </w:r>
      <w:r>
        <w:rPr>
          <w:color w:val="0B0B0B"/>
        </w:rPr>
        <w:t>efectivo</w:t>
      </w:r>
      <w:r>
        <w:rPr>
          <w:color w:val="0B0B0B"/>
          <w:spacing w:val="39"/>
        </w:rPr>
        <w:t> </w:t>
      </w:r>
      <w:r>
        <w:rPr>
          <w:color w:val="0B0B0B"/>
        </w:rPr>
        <w:t>o</w:t>
      </w:r>
      <w:r>
        <w:rPr>
          <w:color w:val="0B0B0B"/>
          <w:spacing w:val="39"/>
        </w:rPr>
        <w:t> </w:t>
      </w:r>
      <w:r>
        <w:rPr>
          <w:color w:val="0B0B0B"/>
        </w:rPr>
        <w:t>en</w:t>
      </w:r>
      <w:r>
        <w:rPr>
          <w:color w:val="0B0B0B"/>
          <w:spacing w:val="40"/>
        </w:rPr>
        <w:t> </w:t>
      </w:r>
      <w:r>
        <w:rPr>
          <w:color w:val="0B0B0B"/>
        </w:rPr>
        <w:t>bienes</w:t>
      </w:r>
      <w:r>
        <w:rPr>
          <w:color w:val="0B0B0B"/>
          <w:spacing w:val="39"/>
        </w:rPr>
        <w:t> </w:t>
      </w:r>
      <w:r>
        <w:rPr>
          <w:color w:val="0B0B0B"/>
        </w:rPr>
        <w:t>que</w:t>
      </w:r>
      <w:r>
        <w:rPr>
          <w:color w:val="0B0B0B"/>
          <w:spacing w:val="39"/>
        </w:rPr>
        <w:t> </w:t>
      </w:r>
      <w:r>
        <w:rPr>
          <w:color w:val="0B0B0B"/>
        </w:rPr>
        <w:t>efectúen</w:t>
      </w:r>
      <w:r>
        <w:rPr>
          <w:color w:val="0B0B0B"/>
          <w:spacing w:val="39"/>
        </w:rPr>
        <w:t> </w:t>
      </w:r>
      <w:r>
        <w:rPr>
          <w:color w:val="0B0B0B"/>
        </w:rPr>
        <w:t>los</w:t>
      </w:r>
      <w:r>
        <w:rPr>
          <w:color w:val="0B0B0B"/>
          <w:spacing w:val="39"/>
        </w:rPr>
        <w:t> </w:t>
      </w:r>
      <w:r>
        <w:rPr>
          <w:color w:val="0B0B0B"/>
        </w:rPr>
        <w:t>establecimientos</w:t>
      </w:r>
      <w:r>
        <w:rPr>
          <w:color w:val="0B0B0B"/>
          <w:spacing w:val="40"/>
        </w:rPr>
        <w:t> </w:t>
      </w:r>
      <w:r>
        <w:rPr>
          <w:color w:val="0B0B0B"/>
        </w:rPr>
        <w:t>permanentes de personas morales residentes en el extranjero a la oficina central de la sociedad o a otro establecimiento permanente de esta en el extranjero que no provengan del saldo de la cuenta de utilidad fiscal neta o de la cuenta de remesas de capital del residente en el extranjero, así como a los reembolsos que los establecimientos permanentes efectúen a su oficina central o a cualquiera de sus establecimientos en el extranjero, incluyendo aquellos que deriven de la terminación de sus actividades, en los términos previstos por el artículo 78 de la Ley del ISR.</w:t>
      </w:r>
    </w:p>
    <w:p>
      <w:pPr>
        <w:pStyle w:val="BodyText"/>
        <w:spacing w:before="82"/>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6"/>
        </w:numPr>
        <w:tabs>
          <w:tab w:pos="2664" w:val="left" w:leader="none"/>
        </w:tabs>
        <w:spacing w:line="249" w:lineRule="auto" w:before="86" w:after="0"/>
        <w:ind w:left="2664" w:right="257" w:hanging="504"/>
        <w:jc w:val="both"/>
        <w:rPr>
          <w:sz w:val="18"/>
        </w:rPr>
      </w:pPr>
      <w:r>
        <w:rPr>
          <w:color w:val="0B0B0B"/>
          <w:sz w:val="18"/>
        </w:rPr>
        <w:t>El residente en el extranjero que tenga un establecimiento permanente en el país, que aplique las disposiciones de cualquiera de los artículos a que se refieren los incisos siguientes, en relación con el artículo 164, fracciones II y III de la Ley del ISR, respecto de dicho establecimiento permanente:</w:t>
      </w:r>
    </w:p>
    <w:p>
      <w:pPr>
        <w:pStyle w:val="ListParagraph"/>
        <w:numPr>
          <w:ilvl w:val="1"/>
          <w:numId w:val="16"/>
        </w:numPr>
        <w:tabs>
          <w:tab w:pos="3110" w:val="left" w:leader="none"/>
        </w:tabs>
        <w:spacing w:line="249" w:lineRule="auto" w:before="78" w:after="0"/>
        <w:ind w:left="3110" w:right="257" w:hanging="432"/>
        <w:jc w:val="both"/>
        <w:rPr>
          <w:sz w:val="18"/>
        </w:rPr>
      </w:pPr>
      <w:r>
        <w:rPr>
          <w:color w:val="0B0B0B"/>
          <w:sz w:val="18"/>
        </w:rPr>
        <w:t>Artículo</w:t>
      </w:r>
      <w:r>
        <w:rPr>
          <w:color w:val="0B0B0B"/>
          <w:spacing w:val="-2"/>
          <w:sz w:val="18"/>
        </w:rPr>
        <w:t> </w:t>
      </w:r>
      <w:r>
        <w:rPr>
          <w:color w:val="0B0B0B"/>
          <w:sz w:val="18"/>
        </w:rPr>
        <w:t>10,</w:t>
      </w:r>
      <w:r>
        <w:rPr>
          <w:color w:val="0B0B0B"/>
          <w:spacing w:val="-2"/>
          <w:sz w:val="18"/>
        </w:rPr>
        <w:t> </w:t>
      </w:r>
      <w:r>
        <w:rPr>
          <w:color w:val="0B0B0B"/>
          <w:sz w:val="18"/>
        </w:rPr>
        <w:t>párrafo</w:t>
      </w:r>
      <w:r>
        <w:rPr>
          <w:color w:val="0B0B0B"/>
          <w:spacing w:val="-3"/>
          <w:sz w:val="18"/>
        </w:rPr>
        <w:t> </w:t>
      </w:r>
      <w:r>
        <w:rPr>
          <w:color w:val="0B0B0B"/>
          <w:sz w:val="18"/>
        </w:rPr>
        <w:t>6</w:t>
      </w:r>
      <w:r>
        <w:rPr>
          <w:color w:val="0B0B0B"/>
          <w:spacing w:val="-2"/>
          <w:sz w:val="18"/>
        </w:rPr>
        <w:t> </w:t>
      </w:r>
      <w:r>
        <w:rPr>
          <w:color w:val="0B0B0B"/>
          <w:sz w:val="18"/>
        </w:rPr>
        <w:t>del</w:t>
      </w:r>
      <w:r>
        <w:rPr>
          <w:color w:val="0B0B0B"/>
          <w:spacing w:val="-2"/>
          <w:sz w:val="18"/>
        </w:rPr>
        <w:t> </w:t>
      </w:r>
      <w:r>
        <w:rPr>
          <w:color w:val="0B0B0B"/>
          <w:sz w:val="18"/>
        </w:rPr>
        <w:t>Acuerdo</w:t>
      </w:r>
      <w:r>
        <w:rPr>
          <w:color w:val="0B0B0B"/>
          <w:spacing w:val="-2"/>
          <w:sz w:val="18"/>
        </w:rPr>
        <w:t> </w:t>
      </w:r>
      <w:r>
        <w:rPr>
          <w:color w:val="0B0B0B"/>
          <w:sz w:val="18"/>
        </w:rPr>
        <w:t>entre</w:t>
      </w:r>
      <w:r>
        <w:rPr>
          <w:color w:val="0B0B0B"/>
          <w:spacing w:val="-2"/>
          <w:sz w:val="18"/>
        </w:rPr>
        <w:t> </w:t>
      </w:r>
      <w:r>
        <w:rPr>
          <w:color w:val="0B0B0B"/>
          <w:sz w:val="18"/>
        </w:rPr>
        <w:t>el</w:t>
      </w:r>
      <w:r>
        <w:rPr>
          <w:color w:val="0B0B0B"/>
          <w:spacing w:val="-2"/>
          <w:sz w:val="18"/>
        </w:rPr>
        <w:t> </w:t>
      </w:r>
      <w:r>
        <w:rPr>
          <w:color w:val="0B0B0B"/>
          <w:sz w:val="18"/>
        </w:rPr>
        <w:t>Gobierno</w:t>
      </w:r>
      <w:r>
        <w:rPr>
          <w:color w:val="0B0B0B"/>
          <w:spacing w:val="-2"/>
          <w:sz w:val="18"/>
        </w:rPr>
        <w:t> </w:t>
      </w:r>
      <w:r>
        <w:rPr>
          <w:color w:val="0B0B0B"/>
          <w:sz w:val="18"/>
        </w:rPr>
        <w:t>de</w:t>
      </w:r>
      <w:r>
        <w:rPr>
          <w:color w:val="0B0B0B"/>
          <w:spacing w:val="-2"/>
          <w:sz w:val="18"/>
        </w:rPr>
        <w:t> </w:t>
      </w:r>
      <w:r>
        <w:rPr>
          <w:color w:val="0B0B0B"/>
          <w:sz w:val="18"/>
        </w:rPr>
        <w:t>los</w:t>
      </w:r>
      <w:r>
        <w:rPr>
          <w:color w:val="0B0B0B"/>
          <w:spacing w:val="-2"/>
          <w:sz w:val="18"/>
        </w:rPr>
        <w:t> </w:t>
      </w:r>
      <w:r>
        <w:rPr>
          <w:color w:val="0B0B0B"/>
          <w:sz w:val="18"/>
        </w:rPr>
        <w:t>Estados</w:t>
      </w:r>
      <w:r>
        <w:rPr>
          <w:color w:val="0B0B0B"/>
          <w:spacing w:val="-2"/>
          <w:sz w:val="18"/>
        </w:rPr>
        <w:t> </w:t>
      </w:r>
      <w:r>
        <w:rPr>
          <w:color w:val="0B0B0B"/>
          <w:sz w:val="18"/>
        </w:rPr>
        <w:t>Unidos Mexicanos y el Gobierno del Reino de Arabia Saudita para Evitar la Doble Imposición y Prevenir la Evasión Fiscal en materia de Impuestos sobre la </w:t>
      </w:r>
      <w:r>
        <w:rPr>
          <w:color w:val="0B0B0B"/>
          <w:spacing w:val="-2"/>
          <w:sz w:val="18"/>
        </w:rPr>
        <w:t>Renta.</w:t>
      </w:r>
    </w:p>
    <w:p>
      <w:pPr>
        <w:pStyle w:val="ListParagraph"/>
        <w:numPr>
          <w:ilvl w:val="1"/>
          <w:numId w:val="16"/>
        </w:numPr>
        <w:tabs>
          <w:tab w:pos="3108" w:val="left" w:leader="none"/>
          <w:tab w:pos="3110" w:val="left" w:leader="none"/>
        </w:tabs>
        <w:spacing w:line="249" w:lineRule="auto" w:before="79" w:after="0"/>
        <w:ind w:left="3110" w:right="258" w:hanging="432"/>
        <w:jc w:val="both"/>
        <w:rPr>
          <w:sz w:val="18"/>
        </w:rPr>
      </w:pPr>
      <w:r>
        <w:rPr>
          <w:color w:val="0B0B0B"/>
          <w:sz w:val="18"/>
        </w:rPr>
        <w:t>Artículo</w:t>
      </w:r>
      <w:r>
        <w:rPr>
          <w:color w:val="0B0B0B"/>
          <w:spacing w:val="-3"/>
          <w:sz w:val="18"/>
        </w:rPr>
        <w:t> </w:t>
      </w:r>
      <w:r>
        <w:rPr>
          <w:color w:val="0B0B0B"/>
          <w:sz w:val="18"/>
        </w:rPr>
        <w:t>10,</w:t>
      </w:r>
      <w:r>
        <w:rPr>
          <w:color w:val="0B0B0B"/>
          <w:spacing w:val="-3"/>
          <w:sz w:val="18"/>
        </w:rPr>
        <w:t> </w:t>
      </w:r>
      <w:r>
        <w:rPr>
          <w:color w:val="0B0B0B"/>
          <w:sz w:val="18"/>
        </w:rPr>
        <w:t>párrafo</w:t>
      </w:r>
      <w:r>
        <w:rPr>
          <w:color w:val="0B0B0B"/>
          <w:spacing w:val="-4"/>
          <w:sz w:val="18"/>
        </w:rPr>
        <w:t> </w:t>
      </w:r>
      <w:r>
        <w:rPr>
          <w:color w:val="0B0B0B"/>
          <w:sz w:val="18"/>
        </w:rPr>
        <w:t>6</w:t>
      </w:r>
      <w:r>
        <w:rPr>
          <w:color w:val="0B0B0B"/>
          <w:spacing w:val="-2"/>
          <w:sz w:val="18"/>
        </w:rPr>
        <w:t> </w:t>
      </w:r>
      <w:r>
        <w:rPr>
          <w:color w:val="0B0B0B"/>
          <w:sz w:val="18"/>
        </w:rPr>
        <w:t>del</w:t>
      </w:r>
      <w:r>
        <w:rPr>
          <w:color w:val="0B0B0B"/>
          <w:spacing w:val="-2"/>
          <w:sz w:val="18"/>
        </w:rPr>
        <w:t> </w:t>
      </w:r>
      <w:r>
        <w:rPr>
          <w:color w:val="0B0B0B"/>
          <w:sz w:val="18"/>
        </w:rPr>
        <w:t>Acuerdo</w:t>
      </w:r>
      <w:r>
        <w:rPr>
          <w:color w:val="0B0B0B"/>
          <w:spacing w:val="-3"/>
          <w:sz w:val="18"/>
        </w:rPr>
        <w:t> </w:t>
      </w:r>
      <w:r>
        <w:rPr>
          <w:color w:val="0B0B0B"/>
          <w:sz w:val="18"/>
        </w:rPr>
        <w:t>entre</w:t>
      </w:r>
      <w:r>
        <w:rPr>
          <w:color w:val="0B0B0B"/>
          <w:spacing w:val="-3"/>
          <w:sz w:val="18"/>
        </w:rPr>
        <w:t> </w:t>
      </w:r>
      <w:r>
        <w:rPr>
          <w:color w:val="0B0B0B"/>
          <w:sz w:val="18"/>
        </w:rPr>
        <w:t>los</w:t>
      </w:r>
      <w:r>
        <w:rPr>
          <w:color w:val="0B0B0B"/>
          <w:spacing w:val="-3"/>
          <w:sz w:val="18"/>
        </w:rPr>
        <w:t> </w:t>
      </w:r>
      <w:r>
        <w:rPr>
          <w:color w:val="0B0B0B"/>
          <w:sz w:val="18"/>
        </w:rPr>
        <w:t>Estados</w:t>
      </w:r>
      <w:r>
        <w:rPr>
          <w:color w:val="0B0B0B"/>
          <w:spacing w:val="-3"/>
          <w:sz w:val="18"/>
        </w:rPr>
        <w:t> </w:t>
      </w:r>
      <w:r>
        <w:rPr>
          <w:color w:val="0B0B0B"/>
          <w:sz w:val="18"/>
        </w:rPr>
        <w:t>Unidos</w:t>
      </w:r>
      <w:r>
        <w:rPr>
          <w:color w:val="0B0B0B"/>
          <w:spacing w:val="-2"/>
          <w:sz w:val="18"/>
        </w:rPr>
        <w:t> </w:t>
      </w:r>
      <w:r>
        <w:rPr>
          <w:color w:val="0B0B0B"/>
          <w:sz w:val="18"/>
        </w:rPr>
        <w:t>Mexicanos</w:t>
      </w:r>
      <w:r>
        <w:rPr>
          <w:color w:val="0B0B0B"/>
          <w:spacing w:val="-2"/>
          <w:sz w:val="18"/>
        </w:rPr>
        <w:t> </w:t>
      </w:r>
      <w:r>
        <w:rPr>
          <w:color w:val="0B0B0B"/>
          <w:sz w:val="18"/>
        </w:rPr>
        <w:t>y</w:t>
      </w:r>
      <w:r>
        <w:rPr>
          <w:color w:val="0B0B0B"/>
          <w:spacing w:val="-2"/>
          <w:sz w:val="18"/>
        </w:rPr>
        <w:t> </w:t>
      </w:r>
      <w:r>
        <w:rPr>
          <w:color w:val="0B0B0B"/>
          <w:sz w:val="18"/>
        </w:rPr>
        <w:t>la República Argentina para Evitar la Doble Imposición y Prevenir la Evasión Fiscal con respecto a los Impuestos sobre la Renta y sobre el Patrimonio.</w:t>
      </w:r>
    </w:p>
    <w:p>
      <w:pPr>
        <w:pStyle w:val="ListParagraph"/>
        <w:numPr>
          <w:ilvl w:val="1"/>
          <w:numId w:val="16"/>
        </w:numPr>
        <w:tabs>
          <w:tab w:pos="3110" w:val="left" w:leader="none"/>
        </w:tabs>
        <w:spacing w:line="249" w:lineRule="auto" w:before="79" w:after="0"/>
        <w:ind w:left="3110" w:right="257" w:hanging="432"/>
        <w:jc w:val="both"/>
        <w:rPr>
          <w:sz w:val="18"/>
        </w:rPr>
      </w:pPr>
      <w:r>
        <w:rPr>
          <w:color w:val="0B0B0B"/>
          <w:sz w:val="18"/>
        </w:rPr>
        <w:t>Artículo 10, párrafo</w:t>
      </w:r>
      <w:r>
        <w:rPr>
          <w:color w:val="0B0B0B"/>
          <w:sz w:val="18"/>
        </w:rPr>
        <w:t> 6 del Convenio entre el Gobierno de los Estados Unidos Mexicanos y el Gobierno de Barbados para evitar la Doble Imposición y Prevenir la Evasión Fiscal en Materia de Impuestos sobre la </w:t>
      </w:r>
      <w:r>
        <w:rPr>
          <w:color w:val="0B0B0B"/>
          <w:spacing w:val="-2"/>
          <w:sz w:val="18"/>
        </w:rPr>
        <w:t>Renta.</w:t>
      </w:r>
    </w:p>
    <w:p>
      <w:pPr>
        <w:pStyle w:val="ListParagraph"/>
        <w:numPr>
          <w:ilvl w:val="1"/>
          <w:numId w:val="16"/>
        </w:numPr>
        <w:tabs>
          <w:tab w:pos="3108" w:val="left" w:leader="none"/>
          <w:tab w:pos="3110" w:val="left" w:leader="none"/>
        </w:tabs>
        <w:spacing w:line="249" w:lineRule="auto" w:before="78" w:after="0"/>
        <w:ind w:left="3110" w:right="258" w:hanging="432"/>
        <w:jc w:val="both"/>
        <w:rPr>
          <w:sz w:val="18"/>
        </w:rPr>
      </w:pPr>
      <w:r>
        <w:rPr>
          <w:color w:val="0B0B0B"/>
          <w:sz w:val="18"/>
        </w:rPr>
        <w:t>Artículo 10, párrafo</w:t>
      </w:r>
      <w:r>
        <w:rPr>
          <w:color w:val="0B0B0B"/>
          <w:sz w:val="18"/>
        </w:rPr>
        <w:t> 6 del Convenio entre el Gobierno de los Estados Unidos Mexicanos y el Gobierno de Canadá para Evitar la Doble Imposición y Prevenir la Evasión Fiscal en Materia de Impuestos sobre la </w:t>
      </w:r>
      <w:r>
        <w:rPr>
          <w:color w:val="0B0B0B"/>
          <w:spacing w:val="-2"/>
          <w:sz w:val="18"/>
        </w:rPr>
        <w:t>Renta.</w:t>
      </w:r>
    </w:p>
    <w:p>
      <w:pPr>
        <w:pStyle w:val="ListParagraph"/>
        <w:spacing w:after="0" w:line="249" w:lineRule="auto"/>
        <w:jc w:val="both"/>
        <w:rPr>
          <w:sz w:val="18"/>
        </w:rPr>
        <w:sectPr>
          <w:headerReference w:type="default" r:id="rId21"/>
          <w:pgSz w:w="12240" w:h="15840"/>
          <w:pgMar w:header="690" w:footer="0" w:top="1040" w:bottom="280" w:left="1440" w:right="1440"/>
        </w:sectPr>
      </w:pPr>
    </w:p>
    <w:p>
      <w:pPr>
        <w:pStyle w:val="ListParagraph"/>
        <w:numPr>
          <w:ilvl w:val="1"/>
          <w:numId w:val="16"/>
        </w:numPr>
        <w:tabs>
          <w:tab w:pos="3110" w:val="left" w:leader="none"/>
        </w:tabs>
        <w:spacing w:line="256" w:lineRule="auto" w:before="116" w:after="0"/>
        <w:ind w:left="3110" w:right="257" w:hanging="432"/>
        <w:jc w:val="both"/>
        <w:rPr>
          <w:sz w:val="18"/>
        </w:rPr>
      </w:pPr>
      <w:r>
        <w:rPr>
          <w:color w:val="0B0B0B"/>
          <w:sz w:val="18"/>
        </w:rPr>
        <w:t>Artículo</w:t>
      </w:r>
      <w:r>
        <w:rPr>
          <w:color w:val="0B0B0B"/>
          <w:spacing w:val="-3"/>
          <w:sz w:val="18"/>
        </w:rPr>
        <w:t> </w:t>
      </w:r>
      <w:r>
        <w:rPr>
          <w:color w:val="0B0B0B"/>
          <w:sz w:val="18"/>
        </w:rPr>
        <w:t>10,</w:t>
      </w:r>
      <w:r>
        <w:rPr>
          <w:color w:val="0B0B0B"/>
          <w:spacing w:val="-3"/>
          <w:sz w:val="18"/>
        </w:rPr>
        <w:t> </w:t>
      </w:r>
      <w:r>
        <w:rPr>
          <w:color w:val="0B0B0B"/>
          <w:sz w:val="18"/>
        </w:rPr>
        <w:t>párrafo</w:t>
      </w:r>
      <w:r>
        <w:rPr>
          <w:color w:val="0B0B0B"/>
          <w:spacing w:val="-4"/>
          <w:sz w:val="18"/>
        </w:rPr>
        <w:t> </w:t>
      </w:r>
      <w:r>
        <w:rPr>
          <w:color w:val="0B0B0B"/>
          <w:sz w:val="18"/>
        </w:rPr>
        <w:t>6</w:t>
      </w:r>
      <w:r>
        <w:rPr>
          <w:color w:val="0B0B0B"/>
          <w:spacing w:val="-2"/>
          <w:sz w:val="18"/>
        </w:rPr>
        <w:t> </w:t>
      </w:r>
      <w:r>
        <w:rPr>
          <w:color w:val="0B0B0B"/>
          <w:sz w:val="18"/>
        </w:rPr>
        <w:t>del</w:t>
      </w:r>
      <w:r>
        <w:rPr>
          <w:color w:val="0B0B0B"/>
          <w:spacing w:val="-2"/>
          <w:sz w:val="18"/>
        </w:rPr>
        <w:t> </w:t>
      </w:r>
      <w:r>
        <w:rPr>
          <w:color w:val="0B0B0B"/>
          <w:sz w:val="18"/>
        </w:rPr>
        <w:t>Acuerdo</w:t>
      </w:r>
      <w:r>
        <w:rPr>
          <w:color w:val="0B0B0B"/>
          <w:spacing w:val="-3"/>
          <w:sz w:val="18"/>
        </w:rPr>
        <w:t> </w:t>
      </w:r>
      <w:r>
        <w:rPr>
          <w:color w:val="0B0B0B"/>
          <w:sz w:val="18"/>
        </w:rPr>
        <w:t>entre</w:t>
      </w:r>
      <w:r>
        <w:rPr>
          <w:color w:val="0B0B0B"/>
          <w:spacing w:val="-3"/>
          <w:sz w:val="18"/>
        </w:rPr>
        <w:t> </w:t>
      </w:r>
      <w:r>
        <w:rPr>
          <w:color w:val="0B0B0B"/>
          <w:sz w:val="18"/>
        </w:rPr>
        <w:t>los</w:t>
      </w:r>
      <w:r>
        <w:rPr>
          <w:color w:val="0B0B0B"/>
          <w:spacing w:val="-3"/>
          <w:sz w:val="18"/>
        </w:rPr>
        <w:t> </w:t>
      </w:r>
      <w:r>
        <w:rPr>
          <w:color w:val="0B0B0B"/>
          <w:sz w:val="18"/>
        </w:rPr>
        <w:t>Estados</w:t>
      </w:r>
      <w:r>
        <w:rPr>
          <w:color w:val="0B0B0B"/>
          <w:spacing w:val="-3"/>
          <w:sz w:val="18"/>
        </w:rPr>
        <w:t> </w:t>
      </w:r>
      <w:r>
        <w:rPr>
          <w:color w:val="0B0B0B"/>
          <w:sz w:val="18"/>
        </w:rPr>
        <w:t>Unidos</w:t>
      </w:r>
      <w:r>
        <w:rPr>
          <w:color w:val="0B0B0B"/>
          <w:spacing w:val="-2"/>
          <w:sz w:val="18"/>
        </w:rPr>
        <w:t> </w:t>
      </w:r>
      <w:r>
        <w:rPr>
          <w:color w:val="0B0B0B"/>
          <w:sz w:val="18"/>
        </w:rPr>
        <w:t>Mexicanos</w:t>
      </w:r>
      <w:r>
        <w:rPr>
          <w:color w:val="0B0B0B"/>
          <w:spacing w:val="-2"/>
          <w:sz w:val="18"/>
        </w:rPr>
        <w:t> </w:t>
      </w:r>
      <w:r>
        <w:rPr>
          <w:color w:val="0B0B0B"/>
          <w:sz w:val="18"/>
        </w:rPr>
        <w:t>y</w:t>
      </w:r>
      <w:r>
        <w:rPr>
          <w:color w:val="0B0B0B"/>
          <w:spacing w:val="-2"/>
          <w:sz w:val="18"/>
        </w:rPr>
        <w:t> </w:t>
      </w:r>
      <w:r>
        <w:rPr>
          <w:color w:val="0B0B0B"/>
          <w:sz w:val="18"/>
        </w:rPr>
        <w:t>la República de Costa Rica para Evitar la Doble Imposición y Prevenir la Evasión Fiscal en materia de Impuestos sobre la Renta.</w:t>
      </w:r>
    </w:p>
    <w:p>
      <w:pPr>
        <w:pStyle w:val="ListParagraph"/>
        <w:numPr>
          <w:ilvl w:val="1"/>
          <w:numId w:val="16"/>
        </w:numPr>
        <w:tabs>
          <w:tab w:pos="3110" w:val="left" w:leader="none"/>
        </w:tabs>
        <w:spacing w:line="256" w:lineRule="auto" w:before="103" w:after="0"/>
        <w:ind w:left="3110" w:right="256" w:hanging="432"/>
        <w:jc w:val="both"/>
        <w:rPr>
          <w:sz w:val="18"/>
        </w:rPr>
      </w:pPr>
      <w:r>
        <w:rPr>
          <w:color w:val="0B0B0B"/>
          <w:sz w:val="18"/>
        </w:rPr>
        <w:t>Artículo</w:t>
      </w:r>
      <w:r>
        <w:rPr>
          <w:color w:val="0B0B0B"/>
          <w:sz w:val="18"/>
        </w:rPr>
        <w:t> 11-A del Convenio entre el Gobierno de los Estados Unidos Mexicanos y el Gobierno de los Estados Unidos de América para Evitar la Doble Imposición y Prevenir la Evasión Fiscal en Materia de Impuestos sobre la Renta.</w:t>
      </w:r>
    </w:p>
    <w:p>
      <w:pPr>
        <w:pStyle w:val="ListParagraph"/>
        <w:numPr>
          <w:ilvl w:val="1"/>
          <w:numId w:val="16"/>
        </w:numPr>
        <w:tabs>
          <w:tab w:pos="3108" w:val="left" w:leader="none"/>
          <w:tab w:pos="3110" w:val="left" w:leader="none"/>
        </w:tabs>
        <w:spacing w:line="256" w:lineRule="auto" w:before="103" w:after="0"/>
        <w:ind w:left="3110" w:right="257" w:hanging="432"/>
        <w:jc w:val="both"/>
        <w:rPr>
          <w:sz w:val="18"/>
        </w:rPr>
      </w:pPr>
      <w:r>
        <w:rPr>
          <w:color w:val="0B0B0B"/>
          <w:sz w:val="18"/>
        </w:rPr>
        <w:t>Artículo</w:t>
      </w:r>
      <w:r>
        <w:rPr>
          <w:color w:val="0B0B0B"/>
          <w:spacing w:val="-2"/>
          <w:sz w:val="18"/>
        </w:rPr>
        <w:t> </w:t>
      </w:r>
      <w:r>
        <w:rPr>
          <w:color w:val="0B0B0B"/>
          <w:sz w:val="18"/>
        </w:rPr>
        <w:t>10,</w:t>
      </w:r>
      <w:r>
        <w:rPr>
          <w:color w:val="0B0B0B"/>
          <w:spacing w:val="-2"/>
          <w:sz w:val="18"/>
        </w:rPr>
        <w:t> </w:t>
      </w:r>
      <w:r>
        <w:rPr>
          <w:color w:val="0B0B0B"/>
          <w:sz w:val="18"/>
        </w:rPr>
        <w:t>párrafo</w:t>
      </w:r>
      <w:r>
        <w:rPr>
          <w:color w:val="0B0B0B"/>
          <w:spacing w:val="-2"/>
          <w:sz w:val="18"/>
        </w:rPr>
        <w:t> </w:t>
      </w:r>
      <w:r>
        <w:rPr>
          <w:color w:val="0B0B0B"/>
          <w:sz w:val="18"/>
        </w:rPr>
        <w:t>6</w:t>
      </w:r>
      <w:r>
        <w:rPr>
          <w:color w:val="0B0B0B"/>
          <w:spacing w:val="-2"/>
          <w:sz w:val="18"/>
        </w:rPr>
        <w:t> </w:t>
      </w:r>
      <w:r>
        <w:rPr>
          <w:color w:val="0B0B0B"/>
          <w:sz w:val="18"/>
        </w:rPr>
        <w:t>del</w:t>
      </w:r>
      <w:r>
        <w:rPr>
          <w:color w:val="0B0B0B"/>
          <w:spacing w:val="-2"/>
          <w:sz w:val="18"/>
        </w:rPr>
        <w:t> </w:t>
      </w:r>
      <w:r>
        <w:rPr>
          <w:color w:val="0B0B0B"/>
          <w:sz w:val="18"/>
        </w:rPr>
        <w:t>Acuerdo</w:t>
      </w:r>
      <w:r>
        <w:rPr>
          <w:color w:val="0B0B0B"/>
          <w:spacing w:val="-2"/>
          <w:sz w:val="18"/>
        </w:rPr>
        <w:t> </w:t>
      </w:r>
      <w:r>
        <w:rPr>
          <w:color w:val="0B0B0B"/>
          <w:sz w:val="18"/>
        </w:rPr>
        <w:t>entre</w:t>
      </w:r>
      <w:r>
        <w:rPr>
          <w:color w:val="0B0B0B"/>
          <w:spacing w:val="-2"/>
          <w:sz w:val="18"/>
        </w:rPr>
        <w:t> </w:t>
      </w:r>
      <w:r>
        <w:rPr>
          <w:color w:val="0B0B0B"/>
          <w:sz w:val="18"/>
        </w:rPr>
        <w:t>el</w:t>
      </w:r>
      <w:r>
        <w:rPr>
          <w:color w:val="0B0B0B"/>
          <w:spacing w:val="-2"/>
          <w:sz w:val="18"/>
        </w:rPr>
        <w:t> </w:t>
      </w:r>
      <w:r>
        <w:rPr>
          <w:color w:val="0B0B0B"/>
          <w:sz w:val="18"/>
        </w:rPr>
        <w:t>Gobierno</w:t>
      </w:r>
      <w:r>
        <w:rPr>
          <w:color w:val="0B0B0B"/>
          <w:spacing w:val="-2"/>
          <w:sz w:val="18"/>
        </w:rPr>
        <w:t> </w:t>
      </w:r>
      <w:r>
        <w:rPr>
          <w:color w:val="0B0B0B"/>
          <w:sz w:val="18"/>
        </w:rPr>
        <w:t>de</w:t>
      </w:r>
      <w:r>
        <w:rPr>
          <w:color w:val="0B0B0B"/>
          <w:spacing w:val="-2"/>
          <w:sz w:val="18"/>
        </w:rPr>
        <w:t> </w:t>
      </w:r>
      <w:r>
        <w:rPr>
          <w:color w:val="0B0B0B"/>
          <w:sz w:val="18"/>
        </w:rPr>
        <w:t>los</w:t>
      </w:r>
      <w:r>
        <w:rPr>
          <w:color w:val="0B0B0B"/>
          <w:spacing w:val="-2"/>
          <w:sz w:val="18"/>
        </w:rPr>
        <w:t> </w:t>
      </w:r>
      <w:r>
        <w:rPr>
          <w:color w:val="0B0B0B"/>
          <w:sz w:val="18"/>
        </w:rPr>
        <w:t>Estados</w:t>
      </w:r>
      <w:r>
        <w:rPr>
          <w:color w:val="0B0B0B"/>
          <w:spacing w:val="-2"/>
          <w:sz w:val="18"/>
        </w:rPr>
        <w:t> </w:t>
      </w:r>
      <w:r>
        <w:rPr>
          <w:color w:val="0B0B0B"/>
          <w:sz w:val="18"/>
        </w:rPr>
        <w:t>Unidos Mexicanos y el Gobierno de la República de Filipinas para Evitar la Doble Imposición en materia de Impuestos sobre la Renta y Prevenir la Evasión </w:t>
      </w:r>
      <w:r>
        <w:rPr>
          <w:color w:val="0B0B0B"/>
          <w:spacing w:val="-2"/>
          <w:sz w:val="18"/>
        </w:rPr>
        <w:t>Fiscal.</w:t>
      </w:r>
    </w:p>
    <w:p>
      <w:pPr>
        <w:pStyle w:val="ListParagraph"/>
        <w:numPr>
          <w:ilvl w:val="1"/>
          <w:numId w:val="16"/>
        </w:numPr>
        <w:tabs>
          <w:tab w:pos="3108" w:val="left" w:leader="none"/>
          <w:tab w:pos="3110" w:val="left" w:leader="none"/>
        </w:tabs>
        <w:spacing w:line="256" w:lineRule="auto" w:before="104" w:after="0"/>
        <w:ind w:left="3110" w:right="253" w:hanging="432"/>
        <w:jc w:val="both"/>
        <w:rPr>
          <w:sz w:val="18"/>
        </w:rPr>
      </w:pPr>
      <w:r>
        <w:rPr>
          <w:color w:val="0B0B0B"/>
          <w:sz w:val="18"/>
        </w:rPr>
        <w:t>Artículo</w:t>
      </w:r>
      <w:r>
        <w:rPr>
          <w:color w:val="0B0B0B"/>
          <w:spacing w:val="-2"/>
          <w:sz w:val="18"/>
        </w:rPr>
        <w:t> </w:t>
      </w:r>
      <w:r>
        <w:rPr>
          <w:color w:val="0B0B0B"/>
          <w:sz w:val="18"/>
        </w:rPr>
        <w:t>10,</w:t>
      </w:r>
      <w:r>
        <w:rPr>
          <w:color w:val="0B0B0B"/>
          <w:spacing w:val="-2"/>
          <w:sz w:val="18"/>
        </w:rPr>
        <w:t> </w:t>
      </w:r>
      <w:r>
        <w:rPr>
          <w:color w:val="0B0B0B"/>
          <w:sz w:val="18"/>
        </w:rPr>
        <w:t>párrafo</w:t>
      </w:r>
      <w:r>
        <w:rPr>
          <w:color w:val="0B0B0B"/>
          <w:spacing w:val="-2"/>
          <w:sz w:val="18"/>
        </w:rPr>
        <w:t> </w:t>
      </w:r>
      <w:r>
        <w:rPr>
          <w:color w:val="0B0B0B"/>
          <w:sz w:val="18"/>
        </w:rPr>
        <w:t>6</w:t>
      </w:r>
      <w:r>
        <w:rPr>
          <w:color w:val="0B0B0B"/>
          <w:spacing w:val="-2"/>
          <w:sz w:val="18"/>
        </w:rPr>
        <w:t> </w:t>
      </w:r>
      <w:r>
        <w:rPr>
          <w:color w:val="0B0B0B"/>
          <w:sz w:val="18"/>
        </w:rPr>
        <w:t>del</w:t>
      </w:r>
      <w:r>
        <w:rPr>
          <w:color w:val="0B0B0B"/>
          <w:spacing w:val="-2"/>
          <w:sz w:val="18"/>
        </w:rPr>
        <w:t> </w:t>
      </w:r>
      <w:r>
        <w:rPr>
          <w:color w:val="0B0B0B"/>
          <w:sz w:val="18"/>
        </w:rPr>
        <w:t>Acuerdo</w:t>
      </w:r>
      <w:r>
        <w:rPr>
          <w:color w:val="0B0B0B"/>
          <w:spacing w:val="-2"/>
          <w:sz w:val="18"/>
        </w:rPr>
        <w:t> </w:t>
      </w:r>
      <w:r>
        <w:rPr>
          <w:color w:val="0B0B0B"/>
          <w:sz w:val="18"/>
        </w:rPr>
        <w:t>entre</w:t>
      </w:r>
      <w:r>
        <w:rPr>
          <w:color w:val="0B0B0B"/>
          <w:spacing w:val="-2"/>
          <w:sz w:val="18"/>
        </w:rPr>
        <w:t> </w:t>
      </w:r>
      <w:r>
        <w:rPr>
          <w:color w:val="0B0B0B"/>
          <w:sz w:val="18"/>
        </w:rPr>
        <w:t>el</w:t>
      </w:r>
      <w:r>
        <w:rPr>
          <w:color w:val="0B0B0B"/>
          <w:spacing w:val="-2"/>
          <w:sz w:val="18"/>
        </w:rPr>
        <w:t> </w:t>
      </w:r>
      <w:r>
        <w:rPr>
          <w:color w:val="0B0B0B"/>
          <w:sz w:val="18"/>
        </w:rPr>
        <w:t>Gobierno</w:t>
      </w:r>
      <w:r>
        <w:rPr>
          <w:color w:val="0B0B0B"/>
          <w:spacing w:val="-2"/>
          <w:sz w:val="18"/>
        </w:rPr>
        <w:t> </w:t>
      </w:r>
      <w:r>
        <w:rPr>
          <w:color w:val="0B0B0B"/>
          <w:sz w:val="18"/>
        </w:rPr>
        <w:t>de</w:t>
      </w:r>
      <w:r>
        <w:rPr>
          <w:color w:val="0B0B0B"/>
          <w:spacing w:val="-2"/>
          <w:sz w:val="18"/>
        </w:rPr>
        <w:t> </w:t>
      </w:r>
      <w:r>
        <w:rPr>
          <w:color w:val="0B0B0B"/>
          <w:sz w:val="18"/>
        </w:rPr>
        <w:t>los</w:t>
      </w:r>
      <w:r>
        <w:rPr>
          <w:color w:val="0B0B0B"/>
          <w:spacing w:val="-2"/>
          <w:sz w:val="18"/>
        </w:rPr>
        <w:t> </w:t>
      </w:r>
      <w:r>
        <w:rPr>
          <w:color w:val="0B0B0B"/>
          <w:sz w:val="18"/>
        </w:rPr>
        <w:t>Estados</w:t>
      </w:r>
      <w:r>
        <w:rPr>
          <w:color w:val="0B0B0B"/>
          <w:spacing w:val="-2"/>
          <w:sz w:val="18"/>
        </w:rPr>
        <w:t> </w:t>
      </w:r>
      <w:r>
        <w:rPr>
          <w:color w:val="0B0B0B"/>
          <w:sz w:val="18"/>
        </w:rPr>
        <w:t>Unidos Mexicanos</w:t>
      </w:r>
      <w:r>
        <w:rPr>
          <w:color w:val="0B0B0B"/>
          <w:spacing w:val="-2"/>
          <w:sz w:val="18"/>
        </w:rPr>
        <w:t> </w:t>
      </w:r>
      <w:r>
        <w:rPr>
          <w:color w:val="0B0B0B"/>
          <w:sz w:val="18"/>
        </w:rPr>
        <w:t>y</w:t>
      </w:r>
      <w:r>
        <w:rPr>
          <w:color w:val="0B0B0B"/>
          <w:spacing w:val="-2"/>
          <w:sz w:val="18"/>
        </w:rPr>
        <w:t> </w:t>
      </w:r>
      <w:r>
        <w:rPr>
          <w:color w:val="0B0B0B"/>
          <w:sz w:val="18"/>
        </w:rPr>
        <w:t>el</w:t>
      </w:r>
      <w:r>
        <w:rPr>
          <w:color w:val="0B0B0B"/>
          <w:spacing w:val="-2"/>
          <w:sz w:val="18"/>
        </w:rPr>
        <w:t> </w:t>
      </w:r>
      <w:r>
        <w:rPr>
          <w:color w:val="0B0B0B"/>
          <w:sz w:val="18"/>
        </w:rPr>
        <w:t>Gobierno</w:t>
      </w:r>
      <w:r>
        <w:rPr>
          <w:color w:val="0B0B0B"/>
          <w:spacing w:val="-2"/>
          <w:sz w:val="18"/>
        </w:rPr>
        <w:t> </w:t>
      </w:r>
      <w:r>
        <w:rPr>
          <w:color w:val="0B0B0B"/>
          <w:sz w:val="18"/>
        </w:rPr>
        <w:t>de</w:t>
      </w:r>
      <w:r>
        <w:rPr>
          <w:color w:val="0B0B0B"/>
          <w:spacing w:val="-2"/>
          <w:sz w:val="18"/>
        </w:rPr>
        <w:t> </w:t>
      </w:r>
      <w:r>
        <w:rPr>
          <w:color w:val="0B0B0B"/>
          <w:sz w:val="18"/>
        </w:rPr>
        <w:t>la</w:t>
      </w:r>
      <w:r>
        <w:rPr>
          <w:color w:val="0B0B0B"/>
          <w:spacing w:val="-4"/>
          <w:sz w:val="18"/>
        </w:rPr>
        <w:t> </w:t>
      </w:r>
      <w:r>
        <w:rPr>
          <w:color w:val="0B0B0B"/>
          <w:sz w:val="18"/>
        </w:rPr>
        <w:t>República</w:t>
      </w:r>
      <w:r>
        <w:rPr>
          <w:color w:val="0B0B0B"/>
          <w:spacing w:val="-3"/>
          <w:sz w:val="18"/>
        </w:rPr>
        <w:t> </w:t>
      </w:r>
      <w:r>
        <w:rPr>
          <w:color w:val="0B0B0B"/>
          <w:sz w:val="18"/>
        </w:rPr>
        <w:t>de</w:t>
      </w:r>
      <w:r>
        <w:rPr>
          <w:color w:val="0B0B0B"/>
          <w:spacing w:val="-2"/>
          <w:sz w:val="18"/>
        </w:rPr>
        <w:t> </w:t>
      </w:r>
      <w:r>
        <w:rPr>
          <w:color w:val="0B0B0B"/>
          <w:sz w:val="18"/>
        </w:rPr>
        <w:t>Indonesia</w:t>
      </w:r>
      <w:r>
        <w:rPr>
          <w:color w:val="0B0B0B"/>
          <w:spacing w:val="-3"/>
          <w:sz w:val="18"/>
        </w:rPr>
        <w:t> </w:t>
      </w:r>
      <w:r>
        <w:rPr>
          <w:color w:val="0B0B0B"/>
          <w:sz w:val="18"/>
        </w:rPr>
        <w:t>para</w:t>
      </w:r>
      <w:r>
        <w:rPr>
          <w:color w:val="0B0B0B"/>
          <w:spacing w:val="-4"/>
          <w:sz w:val="18"/>
        </w:rPr>
        <w:t> </w:t>
      </w:r>
      <w:r>
        <w:rPr>
          <w:color w:val="0B0B0B"/>
          <w:sz w:val="18"/>
        </w:rPr>
        <w:t>Evitar</w:t>
      </w:r>
      <w:r>
        <w:rPr>
          <w:color w:val="0B0B0B"/>
          <w:spacing w:val="-2"/>
          <w:sz w:val="18"/>
        </w:rPr>
        <w:t> </w:t>
      </w:r>
      <w:r>
        <w:rPr>
          <w:color w:val="0B0B0B"/>
          <w:sz w:val="18"/>
        </w:rPr>
        <w:t>la</w:t>
      </w:r>
      <w:r>
        <w:rPr>
          <w:color w:val="0B0B0B"/>
          <w:spacing w:val="-3"/>
          <w:sz w:val="18"/>
        </w:rPr>
        <w:t> </w:t>
      </w:r>
      <w:r>
        <w:rPr>
          <w:color w:val="0B0B0B"/>
          <w:sz w:val="18"/>
        </w:rPr>
        <w:t>Doble Imposición y Prevenir la Evasión Fiscal en materia de Impuestos sobre la </w:t>
      </w:r>
      <w:r>
        <w:rPr>
          <w:color w:val="0B0B0B"/>
          <w:spacing w:val="-2"/>
          <w:sz w:val="18"/>
        </w:rPr>
        <w:t>Renta.</w:t>
      </w:r>
    </w:p>
    <w:p>
      <w:pPr>
        <w:pStyle w:val="ListParagraph"/>
        <w:numPr>
          <w:ilvl w:val="1"/>
          <w:numId w:val="16"/>
        </w:numPr>
        <w:tabs>
          <w:tab w:pos="3110" w:val="left" w:leader="none"/>
        </w:tabs>
        <w:spacing w:line="256" w:lineRule="auto" w:before="103" w:after="0"/>
        <w:ind w:left="3110" w:right="257" w:hanging="432"/>
        <w:jc w:val="both"/>
        <w:rPr>
          <w:sz w:val="18"/>
        </w:rPr>
      </w:pPr>
      <w:r>
        <w:rPr>
          <w:color w:val="0B0B0B"/>
          <w:sz w:val="18"/>
        </w:rPr>
        <w:t>Artículo 10, párrafo 6 del Acuerdo entre los Estados Unidos Mexicanos y Jamaica para Evitar la Doble Imposición y Prevenir la Evasión Fiscal en Materia de Impuestos sobre la Renta.</w:t>
      </w:r>
    </w:p>
    <w:p>
      <w:pPr>
        <w:pStyle w:val="ListParagraph"/>
        <w:numPr>
          <w:ilvl w:val="1"/>
          <w:numId w:val="16"/>
        </w:numPr>
        <w:tabs>
          <w:tab w:pos="3110" w:val="left" w:leader="none"/>
        </w:tabs>
        <w:spacing w:line="256" w:lineRule="auto" w:before="102" w:after="0"/>
        <w:ind w:left="3110" w:right="257" w:hanging="432"/>
        <w:jc w:val="both"/>
        <w:rPr>
          <w:sz w:val="18"/>
        </w:rPr>
      </w:pPr>
      <w:r>
        <w:rPr>
          <w:color w:val="0B0B0B"/>
          <w:sz w:val="18"/>
        </w:rPr>
        <w:t>Artículo 7, apartado 8 del Convenio entre el Gobierno de los Estados Unidos</w:t>
      </w:r>
      <w:r>
        <w:rPr>
          <w:color w:val="0B0B0B"/>
          <w:spacing w:val="-1"/>
          <w:sz w:val="18"/>
        </w:rPr>
        <w:t> </w:t>
      </w:r>
      <w:r>
        <w:rPr>
          <w:color w:val="0B0B0B"/>
          <w:sz w:val="18"/>
        </w:rPr>
        <w:t>Mexicanos y</w:t>
      </w:r>
      <w:r>
        <w:rPr>
          <w:color w:val="0B0B0B"/>
          <w:spacing w:val="-3"/>
          <w:sz w:val="18"/>
        </w:rPr>
        <w:t> </w:t>
      </w:r>
      <w:r>
        <w:rPr>
          <w:color w:val="0B0B0B"/>
          <w:sz w:val="18"/>
        </w:rPr>
        <w:t>el</w:t>
      </w:r>
      <w:r>
        <w:rPr>
          <w:color w:val="0B0B0B"/>
          <w:spacing w:val="-1"/>
          <w:sz w:val="18"/>
        </w:rPr>
        <w:t> </w:t>
      </w:r>
      <w:r>
        <w:rPr>
          <w:color w:val="0B0B0B"/>
          <w:sz w:val="18"/>
        </w:rPr>
        <w:t>Gobierno</w:t>
      </w:r>
      <w:r>
        <w:rPr>
          <w:color w:val="0B0B0B"/>
          <w:spacing w:val="-1"/>
          <w:sz w:val="18"/>
        </w:rPr>
        <w:t> </w:t>
      </w:r>
      <w:r>
        <w:rPr>
          <w:color w:val="0B0B0B"/>
          <w:sz w:val="18"/>
        </w:rPr>
        <w:t>de</w:t>
      </w:r>
      <w:r>
        <w:rPr>
          <w:color w:val="0B0B0B"/>
          <w:spacing w:val="-1"/>
          <w:sz w:val="18"/>
        </w:rPr>
        <w:t> </w:t>
      </w:r>
      <w:r>
        <w:rPr>
          <w:color w:val="0B0B0B"/>
          <w:sz w:val="18"/>
        </w:rPr>
        <w:t>la</w:t>
      </w:r>
      <w:r>
        <w:rPr>
          <w:color w:val="0B0B0B"/>
          <w:spacing w:val="-1"/>
          <w:sz w:val="18"/>
        </w:rPr>
        <w:t> </w:t>
      </w:r>
      <w:r>
        <w:rPr>
          <w:color w:val="0B0B0B"/>
          <w:sz w:val="18"/>
        </w:rPr>
        <w:t>República</w:t>
      </w:r>
      <w:r>
        <w:rPr>
          <w:color w:val="0B0B0B"/>
          <w:spacing w:val="-1"/>
          <w:sz w:val="18"/>
        </w:rPr>
        <w:t> </w:t>
      </w:r>
      <w:r>
        <w:rPr>
          <w:color w:val="0B0B0B"/>
          <w:sz w:val="18"/>
        </w:rPr>
        <w:t>de</w:t>
      </w:r>
      <w:r>
        <w:rPr>
          <w:color w:val="0B0B0B"/>
          <w:spacing w:val="-1"/>
          <w:sz w:val="18"/>
        </w:rPr>
        <w:t> </w:t>
      </w:r>
      <w:r>
        <w:rPr>
          <w:color w:val="0B0B0B"/>
          <w:sz w:val="18"/>
        </w:rPr>
        <w:t>Panamá</w:t>
      </w:r>
      <w:r>
        <w:rPr>
          <w:color w:val="0B0B0B"/>
          <w:spacing w:val="-1"/>
          <w:sz w:val="18"/>
        </w:rPr>
        <w:t> </w:t>
      </w:r>
      <w:r>
        <w:rPr>
          <w:color w:val="0B0B0B"/>
          <w:sz w:val="18"/>
        </w:rPr>
        <w:t>para</w:t>
      </w:r>
      <w:r>
        <w:rPr>
          <w:color w:val="0B0B0B"/>
          <w:spacing w:val="-1"/>
          <w:sz w:val="18"/>
        </w:rPr>
        <w:t> </w:t>
      </w:r>
      <w:r>
        <w:rPr>
          <w:color w:val="0B0B0B"/>
          <w:sz w:val="18"/>
        </w:rPr>
        <w:t>Evitar</w:t>
      </w:r>
      <w:r>
        <w:rPr>
          <w:color w:val="0B0B0B"/>
          <w:spacing w:val="-1"/>
          <w:sz w:val="18"/>
        </w:rPr>
        <w:t> </w:t>
      </w:r>
      <w:r>
        <w:rPr>
          <w:color w:val="0B0B0B"/>
          <w:sz w:val="18"/>
        </w:rPr>
        <w:t>la Doble Imposición y Prevenir la Evasión Fiscal en Materia de Impuestos sobre la Renta.</w:t>
      </w:r>
    </w:p>
    <w:p>
      <w:pPr>
        <w:pStyle w:val="ListParagraph"/>
        <w:numPr>
          <w:ilvl w:val="1"/>
          <w:numId w:val="16"/>
        </w:numPr>
        <w:tabs>
          <w:tab w:pos="3110" w:val="left" w:leader="none"/>
        </w:tabs>
        <w:spacing w:line="256" w:lineRule="auto" w:before="103" w:after="0"/>
        <w:ind w:left="3110" w:right="256" w:hanging="432"/>
        <w:jc w:val="both"/>
        <w:rPr>
          <w:sz w:val="18"/>
        </w:rPr>
      </w:pPr>
      <w:r>
        <w:rPr>
          <w:color w:val="0B0B0B"/>
          <w:sz w:val="18"/>
        </w:rPr>
        <w:t>Artículo 10, párrafo 6 del Convenio entre los Estados Unidos Mexicanos y la República del Perú para Evitar la Doble Tributación y para Prevenir la Evasión Fiscal en relación con los Impuestos sobre la Renta.</w:t>
      </w:r>
    </w:p>
    <w:p>
      <w:pPr>
        <w:pStyle w:val="ListParagraph"/>
        <w:numPr>
          <w:ilvl w:val="0"/>
          <w:numId w:val="16"/>
        </w:numPr>
        <w:tabs>
          <w:tab w:pos="2664" w:val="left" w:leader="none"/>
        </w:tabs>
        <w:spacing w:line="256" w:lineRule="auto" w:before="102"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1"/>
        <w:ind w:left="0"/>
        <w:jc w:val="left"/>
        <w:rPr>
          <w:sz w:val="8"/>
        </w:rPr>
      </w:pPr>
    </w:p>
    <w:tbl>
      <w:tblPr>
        <w:tblW w:w="0" w:type="auto"/>
        <w:jc w:val="left"/>
        <w:tblInd w:w="218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64"/>
        <w:gridCol w:w="3912"/>
      </w:tblGrid>
      <w:tr>
        <w:trPr>
          <w:trHeight w:val="323" w:hRule="atLeast"/>
        </w:trPr>
        <w:tc>
          <w:tcPr>
            <w:tcW w:w="2964" w:type="dxa"/>
            <w:shd w:val="clear" w:color="auto" w:fill="BDBDBD"/>
          </w:tcPr>
          <w:p>
            <w:pPr>
              <w:pStyle w:val="TableParagraph"/>
              <w:spacing w:before="28"/>
              <w:ind w:left="10"/>
              <w:jc w:val="center"/>
              <w:rPr>
                <w:rFonts w:ascii="Arial"/>
                <w:b/>
                <w:sz w:val="16"/>
              </w:rPr>
            </w:pPr>
            <w:r>
              <w:rPr>
                <w:rFonts w:ascii="Arial"/>
                <w:b/>
                <w:color w:val="0B0B0B"/>
                <w:spacing w:val="-2"/>
                <w:sz w:val="16"/>
              </w:rPr>
              <w:t>Origen</w:t>
            </w:r>
          </w:p>
        </w:tc>
        <w:tc>
          <w:tcPr>
            <w:tcW w:w="3912" w:type="dxa"/>
            <w:shd w:val="clear" w:color="auto" w:fill="BDBDBD"/>
          </w:tcPr>
          <w:p>
            <w:pPr>
              <w:pStyle w:val="TableParagraph"/>
              <w:spacing w:before="28"/>
              <w:ind w:left="12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6" w:hRule="atLeast"/>
        </w:trPr>
        <w:tc>
          <w:tcPr>
            <w:tcW w:w="2964" w:type="dxa"/>
          </w:tcPr>
          <w:p>
            <w:pPr>
              <w:pStyle w:val="TableParagraph"/>
              <w:spacing w:line="290" w:lineRule="auto" w:before="28"/>
              <w:ind w:left="70" w:right="29"/>
              <w:rPr>
                <w:sz w:val="16"/>
              </w:rPr>
            </w:pPr>
            <w:r>
              <w:rPr>
                <w:color w:val="0B0B0B"/>
                <w:sz w:val="16"/>
              </w:rPr>
              <w:t>Segunda</w:t>
            </w:r>
            <w:r>
              <w:rPr>
                <w:color w:val="0B0B0B"/>
                <w:spacing w:val="-7"/>
                <w:sz w:val="16"/>
              </w:rPr>
              <w:t> </w:t>
            </w:r>
            <w:r>
              <w:rPr>
                <w:color w:val="0B0B0B"/>
                <w:sz w:val="16"/>
              </w:rPr>
              <w:t>Resolución</w:t>
            </w:r>
            <w:r>
              <w:rPr>
                <w:color w:val="0B0B0B"/>
                <w:spacing w:val="-7"/>
                <w:sz w:val="16"/>
              </w:rPr>
              <w:t> </w:t>
            </w:r>
            <w:r>
              <w:rPr>
                <w:color w:val="0B0B0B"/>
                <w:sz w:val="16"/>
              </w:rPr>
              <w:t>de</w:t>
            </w:r>
            <w:r>
              <w:rPr>
                <w:color w:val="0B0B0B"/>
                <w:spacing w:val="-7"/>
                <w:sz w:val="16"/>
              </w:rPr>
              <w:t> </w:t>
            </w:r>
            <w:r>
              <w:rPr>
                <w:color w:val="0B0B0B"/>
                <w:sz w:val="16"/>
              </w:rPr>
              <w:t>Modificaciones a la RMF para 2012</w:t>
            </w:r>
          </w:p>
        </w:tc>
        <w:tc>
          <w:tcPr>
            <w:tcW w:w="3912" w:type="dxa"/>
          </w:tcPr>
          <w:p>
            <w:pPr>
              <w:pStyle w:val="TableParagraph"/>
              <w:spacing w:line="290" w:lineRule="auto" w:before="28"/>
              <w:ind w:right="57"/>
              <w:jc w:val="both"/>
              <w:rPr>
                <w:sz w:val="16"/>
              </w:rPr>
            </w:pPr>
            <w:r>
              <w:rPr>
                <w:color w:val="0B0B0B"/>
                <w:sz w:val="16"/>
              </w:rPr>
              <w:t>Publicada en el DOF el 7 de junio de 2012, Anexo 3, publicado en el DOF el 14 de junio de 2012, </w:t>
            </w:r>
            <w:r>
              <w:rPr>
                <w:color w:val="0B0B0B"/>
                <w:sz w:val="16"/>
              </w:rPr>
              <w:t>con número de criterio no vinculativo 23/ISR.</w:t>
            </w:r>
          </w:p>
        </w:tc>
      </w:tr>
    </w:tbl>
    <w:p>
      <w:pPr>
        <w:pStyle w:val="BodyText"/>
        <w:spacing w:before="125"/>
        <w:ind w:left="0"/>
        <w:jc w:val="left"/>
      </w:pPr>
    </w:p>
    <w:p>
      <w:pPr>
        <w:pStyle w:val="Heading1"/>
        <w:tabs>
          <w:tab w:pos="2145" w:val="left" w:leader="none"/>
        </w:tabs>
        <w:ind w:left="1137" w:firstLine="0"/>
        <w:rPr>
          <w:rFonts w:ascii="Arial MT" w:hAnsi="Arial MT"/>
          <w:b w:val="0"/>
        </w:rPr>
      </w:pPr>
      <w:r>
        <w:rPr>
          <w:color w:val="0B0B0B"/>
          <w:spacing w:val="-2"/>
        </w:rPr>
        <w:t>14/ISR/PI</w:t>
      </w:r>
      <w:r>
        <w:rPr>
          <w:color w:val="0B0B0B"/>
        </w:rPr>
        <w:tab/>
        <w:t>Sociedades</w:t>
      </w:r>
      <w:r>
        <w:rPr>
          <w:color w:val="0B0B0B"/>
          <w:spacing w:val="-7"/>
        </w:rPr>
        <w:t> </w:t>
      </w:r>
      <w:r>
        <w:rPr>
          <w:color w:val="0B0B0B"/>
        </w:rPr>
        <w:t>cooperativas.</w:t>
      </w:r>
      <w:r>
        <w:rPr>
          <w:color w:val="0B0B0B"/>
          <w:spacing w:val="-5"/>
        </w:rPr>
        <w:t> </w:t>
      </w:r>
      <w:r>
        <w:rPr>
          <w:color w:val="0B0B0B"/>
        </w:rPr>
        <w:t>Salarios</w:t>
      </w:r>
      <w:r>
        <w:rPr>
          <w:color w:val="0B0B0B"/>
          <w:spacing w:val="-5"/>
        </w:rPr>
        <w:t> </w:t>
      </w:r>
      <w:r>
        <w:rPr>
          <w:color w:val="0B0B0B"/>
        </w:rPr>
        <w:t>y</w:t>
      </w:r>
      <w:r>
        <w:rPr>
          <w:color w:val="0B0B0B"/>
          <w:spacing w:val="-8"/>
        </w:rPr>
        <w:t> </w:t>
      </w:r>
      <w:r>
        <w:rPr>
          <w:color w:val="0B0B0B"/>
        </w:rPr>
        <w:t>previsión</w:t>
      </w:r>
      <w:r>
        <w:rPr>
          <w:color w:val="0B0B0B"/>
          <w:spacing w:val="-6"/>
        </w:rPr>
        <w:t> </w:t>
      </w:r>
      <w:r>
        <w:rPr>
          <w:color w:val="0B0B0B"/>
          <w:spacing w:val="-2"/>
        </w:rPr>
        <w:t>social</w:t>
      </w:r>
      <w:r>
        <w:rPr>
          <w:rFonts w:ascii="Arial MT" w:hAnsi="Arial MT"/>
          <w:b w:val="0"/>
          <w:color w:val="0B0B0B"/>
          <w:spacing w:val="-2"/>
        </w:rPr>
        <w:t>.</w:t>
      </w:r>
    </w:p>
    <w:p>
      <w:pPr>
        <w:pStyle w:val="BodyText"/>
        <w:spacing w:before="117"/>
      </w:pPr>
      <w:r>
        <w:rPr>
          <w:color w:val="0B0B0B"/>
        </w:rPr>
        <w:t>Se</w:t>
      </w:r>
      <w:r>
        <w:rPr>
          <w:color w:val="0B0B0B"/>
          <w:spacing w:val="-8"/>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7"/>
        </w:rPr>
        <w:t> </w:t>
      </w:r>
      <w:r>
        <w:rPr>
          <w:color w:val="0B0B0B"/>
        </w:rPr>
        <w:t>práctica</w:t>
      </w:r>
      <w:r>
        <w:rPr>
          <w:color w:val="0B0B0B"/>
          <w:spacing w:val="-7"/>
        </w:rPr>
        <w:t> </w:t>
      </w:r>
      <w:r>
        <w:rPr>
          <w:color w:val="0B0B0B"/>
        </w:rPr>
        <w:t>fiscal</w:t>
      </w:r>
      <w:r>
        <w:rPr>
          <w:color w:val="0B0B0B"/>
          <w:spacing w:val="-8"/>
        </w:rPr>
        <w:t> </w:t>
      </w:r>
      <w:r>
        <w:rPr>
          <w:color w:val="0B0B0B"/>
          <w:spacing w:val="-2"/>
        </w:rPr>
        <w:t>indebida:</w:t>
      </w:r>
    </w:p>
    <w:p>
      <w:pPr>
        <w:pStyle w:val="ListParagraph"/>
        <w:numPr>
          <w:ilvl w:val="0"/>
          <w:numId w:val="17"/>
        </w:numPr>
        <w:tabs>
          <w:tab w:pos="2664" w:val="left" w:leader="none"/>
        </w:tabs>
        <w:spacing w:line="256" w:lineRule="auto" w:before="116" w:after="0"/>
        <w:ind w:left="2664" w:right="257" w:hanging="504"/>
        <w:jc w:val="both"/>
        <w:rPr>
          <w:sz w:val="18"/>
        </w:rPr>
      </w:pPr>
      <w:r>
        <w:rPr>
          <w:color w:val="0B0B0B"/>
          <w:sz w:val="18"/>
        </w:rPr>
        <w:t>Quien para omitir total o parcialmente el pago de alguna contribución o para obtener un beneficio en perjuicio del fisco federal, constituya o contrate de manera directa o indirecta a una sociedad cooperativa, para que esta le preste servicios idénticos,</w:t>
      </w:r>
      <w:r>
        <w:rPr>
          <w:color w:val="0B0B0B"/>
          <w:sz w:val="18"/>
        </w:rPr>
        <w:t> similares o análogos a los que sus trabajadores o prestadores de servicios le prestan o hayan prestado.</w:t>
      </w:r>
    </w:p>
    <w:p>
      <w:pPr>
        <w:pStyle w:val="ListParagraph"/>
        <w:numPr>
          <w:ilvl w:val="0"/>
          <w:numId w:val="17"/>
        </w:numPr>
        <w:tabs>
          <w:tab w:pos="2664" w:val="left" w:leader="none"/>
        </w:tabs>
        <w:spacing w:line="256" w:lineRule="auto" w:before="104" w:after="0"/>
        <w:ind w:left="2664" w:right="257" w:hanging="504"/>
        <w:jc w:val="both"/>
        <w:rPr>
          <w:sz w:val="18"/>
        </w:rPr>
      </w:pPr>
      <w:r>
        <w:rPr>
          <w:color w:val="0B0B0B"/>
          <w:sz w:val="18"/>
        </w:rPr>
        <w:t>La sociedad cooperativa que deduzca las cantidades entregadas a sus socios cooperativistas, provenientes del Fondo de Previsión Social, así como el socio cooperativista que no considere dichas cantidades como ingresos por los que está obligado al pago del ISR.</w:t>
      </w:r>
    </w:p>
    <w:p>
      <w:pPr>
        <w:pStyle w:val="ListParagraph"/>
        <w:numPr>
          <w:ilvl w:val="0"/>
          <w:numId w:val="17"/>
        </w:numPr>
        <w:tabs>
          <w:tab w:pos="2662" w:val="left" w:leader="none"/>
          <w:tab w:pos="2664" w:val="left" w:leader="none"/>
        </w:tabs>
        <w:spacing w:line="256" w:lineRule="auto" w:before="103"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line="256" w:lineRule="auto" w:before="101"/>
        <w:ind w:right="259"/>
      </w:pPr>
      <w:r>
        <w:rPr>
          <w:color w:val="0B0B0B"/>
        </w:rPr>
        <w:t>Este criterio también es aplicable a las sociedades en nombre colectivo o en</w:t>
      </w:r>
      <w:r>
        <w:rPr>
          <w:color w:val="0B0B0B"/>
          <w:spacing w:val="40"/>
        </w:rPr>
        <w:t> </w:t>
      </w:r>
      <w:r>
        <w:rPr>
          <w:color w:val="0B0B0B"/>
        </w:rPr>
        <w:t>comandita simple.</w:t>
      </w:r>
    </w:p>
    <w:p>
      <w:pPr>
        <w:pStyle w:val="BodyText"/>
        <w:spacing w:before="1" w:after="1"/>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23" w:hRule="atLeast"/>
        </w:trPr>
        <w:tc>
          <w:tcPr>
            <w:tcW w:w="2760" w:type="dxa"/>
            <w:shd w:val="clear" w:color="auto" w:fill="BDBDBD"/>
          </w:tcPr>
          <w:p>
            <w:pPr>
              <w:pStyle w:val="TableParagraph"/>
              <w:spacing w:before="28"/>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8"/>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6" w:hRule="atLeast"/>
        </w:trPr>
        <w:tc>
          <w:tcPr>
            <w:tcW w:w="2760" w:type="dxa"/>
          </w:tcPr>
          <w:p>
            <w:pPr>
              <w:pStyle w:val="TableParagraph"/>
              <w:tabs>
                <w:tab w:pos="1169" w:val="left" w:leader="none"/>
                <w:tab w:pos="2509" w:val="left" w:leader="none"/>
              </w:tabs>
              <w:spacing w:line="290" w:lineRule="auto" w:before="28"/>
              <w:ind w:right="56"/>
              <w:rPr>
                <w:sz w:val="16"/>
              </w:rPr>
            </w:pPr>
            <w:r>
              <w:rPr>
                <w:color w:val="0B0B0B"/>
                <w:spacing w:val="-2"/>
                <w:sz w:val="16"/>
              </w:rPr>
              <w:t>Novena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4126" w:type="dxa"/>
          </w:tcPr>
          <w:p>
            <w:pPr>
              <w:pStyle w:val="TableParagraph"/>
              <w:spacing w:line="290" w:lineRule="auto" w:before="28"/>
              <w:ind w:right="57"/>
              <w:jc w:val="both"/>
              <w:rPr>
                <w:sz w:val="16"/>
              </w:rPr>
            </w:pPr>
            <w:r>
              <w:rPr>
                <w:color w:val="0B0B0B"/>
                <w:sz w:val="16"/>
              </w:rPr>
              <w:t>Publicada en el DOF el 30 de noviembre de 2006, Anexo 26, publicado en el DOF el 7 de diciembre </w:t>
            </w:r>
            <w:r>
              <w:rPr>
                <w:color w:val="0B0B0B"/>
                <w:sz w:val="16"/>
              </w:rPr>
              <w:t>de 2006, con número de criterio no vinculativo 05/ISR.</w:t>
            </w:r>
          </w:p>
        </w:tc>
      </w:tr>
    </w:tbl>
    <w:p>
      <w:pPr>
        <w:pStyle w:val="TableParagraph"/>
        <w:spacing w:after="0" w:line="290" w:lineRule="auto"/>
        <w:jc w:val="both"/>
        <w:rPr>
          <w:sz w:val="16"/>
        </w:rPr>
        <w:sectPr>
          <w:headerReference w:type="default" r:id="rId22"/>
          <w:pgSz w:w="12240" w:h="15840"/>
          <w:pgMar w:header="690" w:footer="0" w:top="1040" w:bottom="280" w:left="1440" w:right="1440"/>
        </w:sectPr>
      </w:pPr>
    </w:p>
    <w:p>
      <w:pPr>
        <w:pStyle w:val="Heading1"/>
        <w:tabs>
          <w:tab w:pos="2146" w:val="left" w:leader="none"/>
        </w:tabs>
        <w:spacing w:line="268" w:lineRule="auto" w:before="124"/>
        <w:ind w:right="257"/>
      </w:pPr>
      <w:r>
        <w:rPr>
          <w:color w:val="0B0B0B"/>
          <w:spacing w:val="-2"/>
        </w:rPr>
        <w:t>15/ISR/PI</w:t>
      </w:r>
      <w:r>
        <w:rPr>
          <w:color w:val="0B0B0B"/>
        </w:rPr>
        <w:tab/>
        <w:t>Indebida</w:t>
      </w:r>
      <w:r>
        <w:rPr>
          <w:color w:val="0B0B0B"/>
          <w:spacing w:val="38"/>
        </w:rPr>
        <w:t> </w:t>
      </w:r>
      <w:r>
        <w:rPr>
          <w:color w:val="0B0B0B"/>
        </w:rPr>
        <w:t>deducción</w:t>
      </w:r>
      <w:r>
        <w:rPr>
          <w:color w:val="0B0B0B"/>
          <w:spacing w:val="38"/>
        </w:rPr>
        <w:t> </w:t>
      </w:r>
      <w:r>
        <w:rPr>
          <w:color w:val="0B0B0B"/>
        </w:rPr>
        <w:t>de</w:t>
      </w:r>
      <w:r>
        <w:rPr>
          <w:color w:val="0B0B0B"/>
          <w:spacing w:val="37"/>
        </w:rPr>
        <w:t> </w:t>
      </w:r>
      <w:r>
        <w:rPr>
          <w:color w:val="0B0B0B"/>
        </w:rPr>
        <w:t>pérdidas</w:t>
      </w:r>
      <w:r>
        <w:rPr>
          <w:color w:val="0B0B0B"/>
          <w:spacing w:val="38"/>
        </w:rPr>
        <w:t> </w:t>
      </w:r>
      <w:r>
        <w:rPr>
          <w:color w:val="0B0B0B"/>
        </w:rPr>
        <w:t>por</w:t>
      </w:r>
      <w:r>
        <w:rPr>
          <w:color w:val="0B0B0B"/>
          <w:spacing w:val="38"/>
        </w:rPr>
        <w:t> </w:t>
      </w:r>
      <w:r>
        <w:rPr>
          <w:color w:val="0B0B0B"/>
        </w:rPr>
        <w:t>la</w:t>
      </w:r>
      <w:r>
        <w:rPr>
          <w:color w:val="0B0B0B"/>
          <w:spacing w:val="38"/>
        </w:rPr>
        <w:t> </w:t>
      </w:r>
      <w:r>
        <w:rPr>
          <w:color w:val="0B0B0B"/>
        </w:rPr>
        <w:t>enajenación</w:t>
      </w:r>
      <w:r>
        <w:rPr>
          <w:color w:val="0B0B0B"/>
          <w:spacing w:val="38"/>
        </w:rPr>
        <w:t> </w:t>
      </w:r>
      <w:r>
        <w:rPr>
          <w:color w:val="0B0B0B"/>
        </w:rPr>
        <w:t>de</w:t>
      </w:r>
      <w:r>
        <w:rPr>
          <w:color w:val="0B0B0B"/>
          <w:spacing w:val="37"/>
        </w:rPr>
        <w:t> </w:t>
      </w:r>
      <w:r>
        <w:rPr>
          <w:color w:val="0B0B0B"/>
        </w:rPr>
        <w:t>la</w:t>
      </w:r>
      <w:r>
        <w:rPr>
          <w:color w:val="0B0B0B"/>
          <w:spacing w:val="38"/>
        </w:rPr>
        <w:t> </w:t>
      </w:r>
      <w:r>
        <w:rPr>
          <w:color w:val="0B0B0B"/>
        </w:rPr>
        <w:t>nuda</w:t>
      </w:r>
      <w:r>
        <w:rPr>
          <w:color w:val="0B0B0B"/>
          <w:spacing w:val="38"/>
        </w:rPr>
        <w:t> </w:t>
      </w:r>
      <w:r>
        <w:rPr>
          <w:color w:val="0B0B0B"/>
        </w:rPr>
        <w:t>propiedad</w:t>
      </w:r>
      <w:r>
        <w:rPr>
          <w:color w:val="0B0B0B"/>
          <w:spacing w:val="38"/>
        </w:rPr>
        <w:t> </w:t>
      </w:r>
      <w:r>
        <w:rPr>
          <w:color w:val="0B0B0B"/>
        </w:rPr>
        <w:t>de bienes otorgados en usufructo.</w:t>
      </w:r>
    </w:p>
    <w:p>
      <w:pPr>
        <w:pStyle w:val="BodyText"/>
        <w:spacing w:line="268" w:lineRule="auto" w:before="99"/>
        <w:ind w:right="257"/>
      </w:pPr>
      <w:r>
        <w:rPr>
          <w:color w:val="0B0B0B"/>
        </w:rPr>
        <w:t>Conforme al artículo</w:t>
      </w:r>
      <w:r>
        <w:rPr>
          <w:color w:val="0B0B0B"/>
        </w:rPr>
        <w:t> 980 del Código Civil Federal, el usufructo es el derecho real y temporal de disfrutar de los bienes ajenos que es de carácter vitalicio, salvo pacto en contrario, hecha la excepción del que se constituye a favor de personas morales que puedan adquirir y administrar bienes raíces el cual puede durar hasta 20 años.</w:t>
      </w:r>
    </w:p>
    <w:p>
      <w:pPr>
        <w:pStyle w:val="BodyText"/>
        <w:spacing w:line="268" w:lineRule="auto" w:before="97"/>
        <w:ind w:right="258"/>
      </w:pPr>
      <w:r>
        <w:rPr>
          <w:color w:val="0B0B0B"/>
        </w:rPr>
        <w:t>En el mismo sentido, la doctrina en materia civil señala como atributos de la propiedad el uso y percibir los frutos del bien, los cuáles pueden ser sujetos de división y transmitirse a terceros donde generalmente el propietario se reserva la nuda</w:t>
      </w:r>
      <w:r>
        <w:rPr>
          <w:color w:val="0B0B0B"/>
          <w:spacing w:val="40"/>
        </w:rPr>
        <w:t> </w:t>
      </w:r>
      <w:r>
        <w:rPr>
          <w:color w:val="0B0B0B"/>
          <w:spacing w:val="-2"/>
        </w:rPr>
        <w:t>propiedad.</w:t>
      </w:r>
    </w:p>
    <w:p>
      <w:pPr>
        <w:pStyle w:val="BodyText"/>
        <w:spacing w:line="268" w:lineRule="auto" w:before="99"/>
        <w:ind w:right="258"/>
      </w:pPr>
      <w:r>
        <w:rPr>
          <w:color w:val="0B0B0B"/>
        </w:rPr>
        <w:t>En materia fiscal, el artículo 14, fracción I y último párrafo del CFF, establece que se entiende por</w:t>
      </w:r>
      <w:r>
        <w:rPr>
          <w:color w:val="0B0B0B"/>
        </w:rPr>
        <w:t> enajenación de bienes,</w:t>
      </w:r>
      <w:r>
        <w:rPr>
          <w:color w:val="0B0B0B"/>
        </w:rPr>
        <w:t> toda transmisión de propiedad, aun cuando el enajenante</w:t>
      </w:r>
      <w:r>
        <w:rPr>
          <w:color w:val="0B0B0B"/>
          <w:spacing w:val="67"/>
        </w:rPr>
        <w:t> </w:t>
      </w:r>
      <w:r>
        <w:rPr>
          <w:color w:val="0B0B0B"/>
        </w:rPr>
        <w:t>se</w:t>
      </w:r>
      <w:r>
        <w:rPr>
          <w:color w:val="0B0B0B"/>
          <w:spacing w:val="68"/>
        </w:rPr>
        <w:t> </w:t>
      </w:r>
      <w:r>
        <w:rPr>
          <w:color w:val="0B0B0B"/>
        </w:rPr>
        <w:t>reserve</w:t>
      </w:r>
      <w:r>
        <w:rPr>
          <w:color w:val="0B0B0B"/>
          <w:spacing w:val="68"/>
        </w:rPr>
        <w:t> </w:t>
      </w:r>
      <w:r>
        <w:rPr>
          <w:color w:val="0B0B0B"/>
        </w:rPr>
        <w:t>el</w:t>
      </w:r>
      <w:r>
        <w:rPr>
          <w:color w:val="0B0B0B"/>
          <w:spacing w:val="67"/>
        </w:rPr>
        <w:t> </w:t>
      </w:r>
      <w:r>
        <w:rPr>
          <w:color w:val="0B0B0B"/>
        </w:rPr>
        <w:t>dominio</w:t>
      </w:r>
      <w:r>
        <w:rPr>
          <w:color w:val="0B0B0B"/>
          <w:spacing w:val="67"/>
        </w:rPr>
        <w:t> </w:t>
      </w:r>
      <w:r>
        <w:rPr>
          <w:color w:val="0B0B0B"/>
        </w:rPr>
        <w:t>del</w:t>
      </w:r>
      <w:r>
        <w:rPr>
          <w:color w:val="0B0B0B"/>
          <w:spacing w:val="67"/>
        </w:rPr>
        <w:t> </w:t>
      </w:r>
      <w:r>
        <w:rPr>
          <w:color w:val="0B0B0B"/>
        </w:rPr>
        <w:t>bien</w:t>
      </w:r>
      <w:r>
        <w:rPr>
          <w:color w:val="0B0B0B"/>
          <w:spacing w:val="67"/>
        </w:rPr>
        <w:t> </w:t>
      </w:r>
      <w:r>
        <w:rPr>
          <w:color w:val="0B0B0B"/>
        </w:rPr>
        <w:t>enajenado,</w:t>
      </w:r>
      <w:r>
        <w:rPr>
          <w:color w:val="0B0B0B"/>
          <w:spacing w:val="67"/>
        </w:rPr>
        <w:t> </w:t>
      </w:r>
      <w:r>
        <w:rPr>
          <w:color w:val="0B0B0B"/>
        </w:rPr>
        <w:t>considerando</w:t>
      </w:r>
      <w:r>
        <w:rPr>
          <w:color w:val="0B0B0B"/>
          <w:spacing w:val="68"/>
        </w:rPr>
        <w:t> </w:t>
      </w:r>
      <w:r>
        <w:rPr>
          <w:color w:val="0B0B0B"/>
        </w:rPr>
        <w:t>propietario al adquirente de los bienes.</w:t>
      </w:r>
    </w:p>
    <w:p>
      <w:pPr>
        <w:pStyle w:val="BodyText"/>
        <w:spacing w:line="268" w:lineRule="auto" w:before="98"/>
        <w:ind w:right="257"/>
      </w:pPr>
      <w:r>
        <w:rPr>
          <w:color w:val="0B0B0B"/>
        </w:rPr>
        <w:t>En este sentido, los artículos 16 y 90 de la Ley del ISR, señalan que las personas morales y físicas, respectivamente, residentes en el país incluida la asociación en participación,</w:t>
      </w:r>
      <w:r>
        <w:rPr>
          <w:color w:val="0B0B0B"/>
          <w:spacing w:val="80"/>
        </w:rPr>
        <w:t> </w:t>
      </w:r>
      <w:r>
        <w:rPr>
          <w:color w:val="0B0B0B"/>
        </w:rPr>
        <w:t>acumularán</w:t>
      </w:r>
      <w:r>
        <w:rPr>
          <w:color w:val="0B0B0B"/>
          <w:spacing w:val="80"/>
        </w:rPr>
        <w:t> </w:t>
      </w:r>
      <w:r>
        <w:rPr>
          <w:color w:val="0B0B0B"/>
        </w:rPr>
        <w:t>la</w:t>
      </w:r>
      <w:r>
        <w:rPr>
          <w:color w:val="0B0B0B"/>
          <w:spacing w:val="80"/>
        </w:rPr>
        <w:t> </w:t>
      </w:r>
      <w:r>
        <w:rPr>
          <w:color w:val="0B0B0B"/>
        </w:rPr>
        <w:t>totalidad</w:t>
      </w:r>
      <w:r>
        <w:rPr>
          <w:color w:val="0B0B0B"/>
          <w:spacing w:val="80"/>
        </w:rPr>
        <w:t> </w:t>
      </w:r>
      <w:r>
        <w:rPr>
          <w:color w:val="0B0B0B"/>
        </w:rPr>
        <w:t>de</w:t>
      </w:r>
      <w:r>
        <w:rPr>
          <w:color w:val="0B0B0B"/>
          <w:spacing w:val="80"/>
        </w:rPr>
        <w:t> </w:t>
      </w:r>
      <w:r>
        <w:rPr>
          <w:color w:val="0B0B0B"/>
        </w:rPr>
        <w:t>los</w:t>
      </w:r>
      <w:r>
        <w:rPr>
          <w:color w:val="0B0B0B"/>
          <w:spacing w:val="80"/>
        </w:rPr>
        <w:t> </w:t>
      </w:r>
      <w:r>
        <w:rPr>
          <w:color w:val="0B0B0B"/>
        </w:rPr>
        <w:t>ingresos</w:t>
      </w:r>
      <w:r>
        <w:rPr>
          <w:color w:val="0B0B0B"/>
          <w:spacing w:val="80"/>
        </w:rPr>
        <w:t> </w:t>
      </w:r>
      <w:r>
        <w:rPr>
          <w:color w:val="0B0B0B"/>
        </w:rPr>
        <w:t>en</w:t>
      </w:r>
      <w:r>
        <w:rPr>
          <w:color w:val="0B0B0B"/>
          <w:spacing w:val="80"/>
        </w:rPr>
        <w:t> </w:t>
      </w:r>
      <w:r>
        <w:rPr>
          <w:color w:val="0B0B0B"/>
        </w:rPr>
        <w:t>efectivo,</w:t>
      </w:r>
      <w:r>
        <w:rPr>
          <w:color w:val="0B0B0B"/>
          <w:spacing w:val="80"/>
        </w:rPr>
        <w:t> </w:t>
      </w:r>
      <w:r>
        <w:rPr>
          <w:color w:val="0B0B0B"/>
        </w:rPr>
        <w:t>en</w:t>
      </w:r>
      <w:r>
        <w:rPr>
          <w:color w:val="0B0B0B"/>
          <w:spacing w:val="80"/>
        </w:rPr>
        <w:t> </w:t>
      </w:r>
      <w:r>
        <w:rPr>
          <w:color w:val="0B0B0B"/>
        </w:rPr>
        <w:t>bienes, en servicios, en crédito o de cualquier otro tipo, que obtengan en el ejercicio, inclusive los provenientes de sus establecimientos en el extranjero.</w:t>
      </w:r>
    </w:p>
    <w:p>
      <w:pPr>
        <w:pStyle w:val="BodyText"/>
        <w:spacing w:line="268" w:lineRule="auto" w:before="96"/>
        <w:ind w:right="257"/>
      </w:pPr>
      <w:r>
        <w:rPr>
          <w:color w:val="0B0B0B"/>
        </w:rPr>
        <w:t>Por su parte, el artículo 25, fracción V de la Ley del ISR, señala que las personas morales podrán efectuar deducciones por pérdidas en la enajenación de bienes distintos a los que conformen el costo de lo vendido, mientras que el artículo 121, último párrafo de la misma Ley, establece para las personas físicas que las pérdidas</w:t>
      </w:r>
      <w:r>
        <w:rPr>
          <w:color w:val="0B0B0B"/>
          <w:spacing w:val="40"/>
        </w:rPr>
        <w:t> </w:t>
      </w:r>
      <w:r>
        <w:rPr>
          <w:color w:val="0B0B0B"/>
        </w:rPr>
        <w:t>en la enajenación de inmuebles podrán disminuirse en el año de calendario en el que se</w:t>
      </w:r>
      <w:r>
        <w:rPr>
          <w:color w:val="0B0B0B"/>
          <w:spacing w:val="65"/>
        </w:rPr>
        <w:t> </w:t>
      </w:r>
      <w:r>
        <w:rPr>
          <w:color w:val="0B0B0B"/>
        </w:rPr>
        <w:t>generen</w:t>
      </w:r>
      <w:r>
        <w:rPr>
          <w:color w:val="0B0B0B"/>
          <w:spacing w:val="65"/>
        </w:rPr>
        <w:t> </w:t>
      </w:r>
      <w:r>
        <w:rPr>
          <w:color w:val="0B0B0B"/>
        </w:rPr>
        <w:t>o</w:t>
      </w:r>
      <w:r>
        <w:rPr>
          <w:color w:val="0B0B0B"/>
          <w:spacing w:val="66"/>
        </w:rPr>
        <w:t> </w:t>
      </w:r>
      <w:r>
        <w:rPr>
          <w:color w:val="0B0B0B"/>
        </w:rPr>
        <w:t>en</w:t>
      </w:r>
      <w:r>
        <w:rPr>
          <w:color w:val="0B0B0B"/>
          <w:spacing w:val="65"/>
        </w:rPr>
        <w:t> </w:t>
      </w:r>
      <w:r>
        <w:rPr>
          <w:color w:val="0B0B0B"/>
        </w:rPr>
        <w:t>los</w:t>
      </w:r>
      <w:r>
        <w:rPr>
          <w:color w:val="0B0B0B"/>
          <w:spacing w:val="66"/>
        </w:rPr>
        <w:t> </w:t>
      </w:r>
      <w:r>
        <w:rPr>
          <w:color w:val="0B0B0B"/>
        </w:rPr>
        <w:t>3</w:t>
      </w:r>
      <w:r>
        <w:rPr>
          <w:color w:val="0B0B0B"/>
          <w:spacing w:val="65"/>
        </w:rPr>
        <w:t> </w:t>
      </w:r>
      <w:r>
        <w:rPr>
          <w:color w:val="0B0B0B"/>
        </w:rPr>
        <w:t>siguientes,</w:t>
      </w:r>
      <w:r>
        <w:rPr>
          <w:color w:val="0B0B0B"/>
          <w:spacing w:val="64"/>
        </w:rPr>
        <w:t> </w:t>
      </w:r>
      <w:r>
        <w:rPr>
          <w:color w:val="0B0B0B"/>
        </w:rPr>
        <w:t>conforme</w:t>
      </w:r>
      <w:r>
        <w:rPr>
          <w:color w:val="0B0B0B"/>
          <w:spacing w:val="65"/>
        </w:rPr>
        <w:t> </w:t>
      </w:r>
      <w:r>
        <w:rPr>
          <w:color w:val="0B0B0B"/>
        </w:rPr>
        <w:t>a</w:t>
      </w:r>
      <w:r>
        <w:rPr>
          <w:color w:val="0B0B0B"/>
          <w:spacing w:val="65"/>
        </w:rPr>
        <w:t> </w:t>
      </w:r>
      <w:r>
        <w:rPr>
          <w:color w:val="0B0B0B"/>
        </w:rPr>
        <w:t>lo</w:t>
      </w:r>
      <w:r>
        <w:rPr>
          <w:color w:val="0B0B0B"/>
          <w:spacing w:val="65"/>
        </w:rPr>
        <w:t> </w:t>
      </w:r>
      <w:r>
        <w:rPr>
          <w:color w:val="0B0B0B"/>
        </w:rPr>
        <w:t>señalado</w:t>
      </w:r>
      <w:r>
        <w:rPr>
          <w:color w:val="0B0B0B"/>
          <w:spacing w:val="66"/>
        </w:rPr>
        <w:t> </w:t>
      </w:r>
      <w:r>
        <w:rPr>
          <w:color w:val="0B0B0B"/>
        </w:rPr>
        <w:t>en</w:t>
      </w:r>
      <w:r>
        <w:rPr>
          <w:color w:val="0B0B0B"/>
          <w:spacing w:val="66"/>
        </w:rPr>
        <w:t> </w:t>
      </w:r>
      <w:r>
        <w:rPr>
          <w:color w:val="0B0B0B"/>
        </w:rPr>
        <w:t>el</w:t>
      </w:r>
      <w:r>
        <w:rPr>
          <w:color w:val="0B0B0B"/>
          <w:spacing w:val="66"/>
        </w:rPr>
        <w:t> </w:t>
      </w:r>
      <w:r>
        <w:rPr>
          <w:color w:val="0B0B0B"/>
        </w:rPr>
        <w:t>artículo</w:t>
      </w:r>
      <w:r>
        <w:rPr>
          <w:color w:val="0B0B0B"/>
          <w:spacing w:val="65"/>
        </w:rPr>
        <w:t> </w:t>
      </w:r>
      <w:r>
        <w:rPr>
          <w:color w:val="0B0B0B"/>
        </w:rPr>
        <w:t>122 de dicha Ley.</w:t>
      </w:r>
    </w:p>
    <w:p>
      <w:pPr>
        <w:pStyle w:val="BodyText"/>
        <w:spacing w:line="268" w:lineRule="auto" w:before="95"/>
        <w:ind w:right="258"/>
      </w:pPr>
      <w:r>
        <w:rPr>
          <w:color w:val="0B0B0B"/>
        </w:rPr>
        <w:t>Al efecto, se ha detectado que algunos contribuyentes constituyen usufructo sobre bienes</w:t>
      </w:r>
      <w:r>
        <w:rPr>
          <w:color w:val="0B0B0B"/>
          <w:spacing w:val="-1"/>
        </w:rPr>
        <w:t> </w:t>
      </w:r>
      <w:r>
        <w:rPr>
          <w:color w:val="0B0B0B"/>
        </w:rPr>
        <w:t>inmuebles,</w:t>
      </w:r>
      <w:r>
        <w:rPr>
          <w:color w:val="0B0B0B"/>
          <w:spacing w:val="-2"/>
        </w:rPr>
        <w:t> </w:t>
      </w:r>
      <w:r>
        <w:rPr>
          <w:color w:val="0B0B0B"/>
        </w:rPr>
        <w:t>donde</w:t>
      </w:r>
      <w:r>
        <w:rPr>
          <w:color w:val="0B0B0B"/>
          <w:spacing w:val="-1"/>
        </w:rPr>
        <w:t> </w:t>
      </w:r>
      <w:r>
        <w:rPr>
          <w:color w:val="0B0B0B"/>
        </w:rPr>
        <w:t>el</w:t>
      </w:r>
      <w:r>
        <w:rPr>
          <w:color w:val="0B0B0B"/>
          <w:spacing w:val="-1"/>
        </w:rPr>
        <w:t> </w:t>
      </w:r>
      <w:r>
        <w:rPr>
          <w:color w:val="0B0B0B"/>
        </w:rPr>
        <w:t>nudo</w:t>
      </w:r>
      <w:r>
        <w:rPr>
          <w:color w:val="0B0B0B"/>
          <w:spacing w:val="-1"/>
        </w:rPr>
        <w:t> </w:t>
      </w:r>
      <w:r>
        <w:rPr>
          <w:color w:val="0B0B0B"/>
        </w:rPr>
        <w:t>propietario</w:t>
      </w:r>
      <w:r>
        <w:rPr>
          <w:color w:val="0B0B0B"/>
          <w:spacing w:val="-1"/>
        </w:rPr>
        <w:t> </w:t>
      </w:r>
      <w:r>
        <w:rPr>
          <w:color w:val="0B0B0B"/>
        </w:rPr>
        <w:t>enajena</w:t>
      </w:r>
      <w:r>
        <w:rPr>
          <w:color w:val="0B0B0B"/>
          <w:spacing w:val="-1"/>
        </w:rPr>
        <w:t> </w:t>
      </w:r>
      <w:r>
        <w:rPr>
          <w:color w:val="0B0B0B"/>
        </w:rPr>
        <w:t>la</w:t>
      </w:r>
      <w:r>
        <w:rPr>
          <w:color w:val="0B0B0B"/>
          <w:spacing w:val="-1"/>
        </w:rPr>
        <w:t> </w:t>
      </w:r>
      <w:r>
        <w:rPr>
          <w:color w:val="0B0B0B"/>
        </w:rPr>
        <w:t>nuda</w:t>
      </w:r>
      <w:r>
        <w:rPr>
          <w:color w:val="0B0B0B"/>
          <w:spacing w:val="-2"/>
        </w:rPr>
        <w:t> </w:t>
      </w:r>
      <w:r>
        <w:rPr>
          <w:color w:val="0B0B0B"/>
        </w:rPr>
        <w:t>propiedad,</w:t>
      </w:r>
      <w:r>
        <w:rPr>
          <w:color w:val="0B0B0B"/>
          <w:spacing w:val="-1"/>
        </w:rPr>
        <w:t> </w:t>
      </w:r>
      <w:r>
        <w:rPr>
          <w:color w:val="0B0B0B"/>
        </w:rPr>
        <w:t>determinando indebidamente una supuesta pérdida fiscal en la enajenación de su derecho, al comparar el precio de enajenación de la nuda propiedad del bien usufructuado contra el</w:t>
      </w:r>
      <w:r>
        <w:rPr>
          <w:color w:val="0B0B0B"/>
          <w:spacing w:val="-2"/>
        </w:rPr>
        <w:t> </w:t>
      </w:r>
      <w:r>
        <w:rPr>
          <w:color w:val="0B0B0B"/>
        </w:rPr>
        <w:t>costo</w:t>
      </w:r>
      <w:r>
        <w:rPr>
          <w:color w:val="0B0B0B"/>
          <w:spacing w:val="-2"/>
        </w:rPr>
        <w:t> </w:t>
      </w:r>
      <w:r>
        <w:rPr>
          <w:color w:val="0B0B0B"/>
        </w:rPr>
        <w:t>comprobado</w:t>
      </w:r>
      <w:r>
        <w:rPr>
          <w:color w:val="0B0B0B"/>
          <w:spacing w:val="-1"/>
        </w:rPr>
        <w:t> </w:t>
      </w:r>
      <w:r>
        <w:rPr>
          <w:color w:val="0B0B0B"/>
        </w:rPr>
        <w:t>de</w:t>
      </w:r>
      <w:r>
        <w:rPr>
          <w:color w:val="0B0B0B"/>
          <w:spacing w:val="-2"/>
        </w:rPr>
        <w:t> </w:t>
      </w:r>
      <w:r>
        <w:rPr>
          <w:color w:val="0B0B0B"/>
        </w:rPr>
        <w:t>adquisición</w:t>
      </w:r>
      <w:r>
        <w:rPr>
          <w:color w:val="0B0B0B"/>
          <w:spacing w:val="-2"/>
        </w:rPr>
        <w:t> </w:t>
      </w:r>
      <w:r>
        <w:rPr>
          <w:color w:val="0B0B0B"/>
        </w:rPr>
        <w:t>de</w:t>
      </w:r>
      <w:r>
        <w:rPr>
          <w:color w:val="0B0B0B"/>
          <w:spacing w:val="-2"/>
        </w:rPr>
        <w:t> </w:t>
      </w:r>
      <w:r>
        <w:rPr>
          <w:color w:val="0B0B0B"/>
        </w:rPr>
        <w:t>dicho</w:t>
      </w:r>
      <w:r>
        <w:rPr>
          <w:color w:val="0B0B0B"/>
          <w:spacing w:val="-2"/>
        </w:rPr>
        <w:t> </w:t>
      </w:r>
      <w:r>
        <w:rPr>
          <w:color w:val="0B0B0B"/>
        </w:rPr>
        <w:t>bien,</w:t>
      </w:r>
      <w:r>
        <w:rPr>
          <w:color w:val="0B0B0B"/>
          <w:spacing w:val="-2"/>
        </w:rPr>
        <w:t> </w:t>
      </w:r>
      <w:r>
        <w:rPr>
          <w:color w:val="0B0B0B"/>
        </w:rPr>
        <w:t>como</w:t>
      </w:r>
      <w:r>
        <w:rPr>
          <w:color w:val="0B0B0B"/>
          <w:spacing w:val="-2"/>
        </w:rPr>
        <w:t> </w:t>
      </w:r>
      <w:r>
        <w:rPr>
          <w:color w:val="0B0B0B"/>
        </w:rPr>
        <w:t>si</w:t>
      </w:r>
      <w:r>
        <w:rPr>
          <w:color w:val="0B0B0B"/>
          <w:spacing w:val="-1"/>
        </w:rPr>
        <w:t> </w:t>
      </w:r>
      <w:r>
        <w:rPr>
          <w:color w:val="0B0B0B"/>
        </w:rPr>
        <w:t>no</w:t>
      </w:r>
      <w:r>
        <w:rPr>
          <w:color w:val="0B0B0B"/>
          <w:spacing w:val="-2"/>
        </w:rPr>
        <w:t> </w:t>
      </w:r>
      <w:r>
        <w:rPr>
          <w:color w:val="0B0B0B"/>
        </w:rPr>
        <w:t>hubiese</w:t>
      </w:r>
      <w:r>
        <w:rPr>
          <w:color w:val="0B0B0B"/>
          <w:spacing w:val="-2"/>
        </w:rPr>
        <w:t> </w:t>
      </w:r>
      <w:r>
        <w:rPr>
          <w:color w:val="0B0B0B"/>
        </w:rPr>
        <w:t>sido</w:t>
      </w:r>
      <w:r>
        <w:rPr>
          <w:color w:val="0B0B0B"/>
          <w:spacing w:val="-2"/>
        </w:rPr>
        <w:t> </w:t>
      </w:r>
      <w:r>
        <w:rPr>
          <w:color w:val="0B0B0B"/>
        </w:rPr>
        <w:t>constituido el usufructo.</w:t>
      </w:r>
    </w:p>
    <w:p>
      <w:pPr>
        <w:pStyle w:val="BodyText"/>
        <w:spacing w:before="96"/>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18"/>
        </w:numPr>
        <w:tabs>
          <w:tab w:pos="2664" w:val="left" w:leader="none"/>
        </w:tabs>
        <w:spacing w:line="268" w:lineRule="auto" w:before="126" w:after="0"/>
        <w:ind w:left="2664" w:right="259" w:hanging="504"/>
        <w:jc w:val="both"/>
        <w:rPr>
          <w:sz w:val="18"/>
        </w:rPr>
      </w:pPr>
      <w:r>
        <w:rPr>
          <w:color w:val="0B0B0B"/>
          <w:sz w:val="18"/>
        </w:rPr>
        <w:t>Determinar pérdidas fiscales en la enajenación de la nuda propiedad de bienes inmuebles considerando el costo comprobado de adquisición como si no hubiesen sido afectos de usufructo.</w:t>
      </w:r>
    </w:p>
    <w:p>
      <w:pPr>
        <w:pStyle w:val="ListParagraph"/>
        <w:numPr>
          <w:ilvl w:val="0"/>
          <w:numId w:val="18"/>
        </w:numPr>
        <w:tabs>
          <w:tab w:pos="2664" w:val="left" w:leader="none"/>
        </w:tabs>
        <w:spacing w:line="266" w:lineRule="auto" w:before="99" w:after="0"/>
        <w:ind w:left="2664" w:right="258" w:hanging="504"/>
        <w:jc w:val="both"/>
        <w:rPr>
          <w:sz w:val="18"/>
        </w:rPr>
      </w:pPr>
      <w:r>
        <w:rPr>
          <w:color w:val="0B0B0B"/>
          <w:sz w:val="18"/>
        </w:rPr>
        <w:t>Determinar, declarar, registrar y/o deducir para efectos del ISR una supuesta pérdida fiscal, derivado de la práctica señalada en la fracción anterior.</w:t>
      </w:r>
    </w:p>
    <w:p>
      <w:pPr>
        <w:pStyle w:val="ListParagraph"/>
        <w:numPr>
          <w:ilvl w:val="0"/>
          <w:numId w:val="18"/>
        </w:numPr>
        <w:tabs>
          <w:tab w:pos="2662" w:val="left" w:leader="none"/>
          <w:tab w:pos="2664" w:val="left" w:leader="none"/>
        </w:tabs>
        <w:spacing w:line="266" w:lineRule="auto" w:before="103" w:after="0"/>
        <w:ind w:left="2664" w:right="259" w:hanging="504"/>
        <w:jc w:val="both"/>
        <w:rPr>
          <w:sz w:val="18"/>
        </w:rPr>
      </w:pPr>
      <w:r>
        <w:rPr>
          <w:color w:val="0B0B0B"/>
          <w:sz w:val="18"/>
        </w:rPr>
        <w:t>Asesorar, aconsejar, prestar servicios o participar en la realización o la implementación de cualquiera de las prácticas anteriores.</w:t>
      </w:r>
    </w:p>
    <w:p>
      <w:pPr>
        <w:pStyle w:val="BodyText"/>
        <w:spacing w:before="6" w:after="1"/>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31" w:hRule="atLeast"/>
        </w:trPr>
        <w:tc>
          <w:tcPr>
            <w:tcW w:w="2760" w:type="dxa"/>
            <w:shd w:val="clear" w:color="auto" w:fill="BDBDBD"/>
          </w:tcPr>
          <w:p>
            <w:pPr>
              <w:pStyle w:val="TableParagraph"/>
              <w:spacing w:before="34"/>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34"/>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3" w:hRule="atLeast"/>
        </w:trPr>
        <w:tc>
          <w:tcPr>
            <w:tcW w:w="2760" w:type="dxa"/>
          </w:tcPr>
          <w:p>
            <w:pPr>
              <w:pStyle w:val="TableParagraph"/>
              <w:tabs>
                <w:tab w:pos="1215" w:val="left" w:leader="none"/>
                <w:tab w:pos="2509" w:val="left" w:leader="none"/>
              </w:tabs>
              <w:spacing w:line="300" w:lineRule="auto" w:before="35"/>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2010</w:t>
            </w:r>
          </w:p>
        </w:tc>
        <w:tc>
          <w:tcPr>
            <w:tcW w:w="4126" w:type="dxa"/>
          </w:tcPr>
          <w:p>
            <w:pPr>
              <w:pStyle w:val="TableParagraph"/>
              <w:spacing w:line="302" w:lineRule="auto" w:before="35"/>
              <w:ind w:right="56"/>
              <w:jc w:val="both"/>
              <w:rPr>
                <w:sz w:val="16"/>
              </w:rPr>
            </w:pPr>
            <w:r>
              <w:rPr>
                <w:color w:val="0B0B0B"/>
                <w:sz w:val="16"/>
              </w:rPr>
              <w:t>Publicada en el DOF el 3 de diciembre de 2010, Anexo 3, publicado en el DOF el 7 de diciembre de 2010, con el número de criterio no vinculativo 20/ISR.</w:t>
            </w:r>
          </w:p>
        </w:tc>
      </w:tr>
    </w:tbl>
    <w:p>
      <w:pPr>
        <w:pStyle w:val="BodyText"/>
        <w:spacing w:before="142"/>
        <w:ind w:left="0"/>
        <w:jc w:val="left"/>
      </w:pPr>
    </w:p>
    <w:p>
      <w:pPr>
        <w:pStyle w:val="Heading1"/>
        <w:tabs>
          <w:tab w:pos="2145" w:val="left" w:leader="none"/>
        </w:tabs>
        <w:spacing w:line="268" w:lineRule="auto"/>
        <w:ind w:right="257"/>
      </w:pPr>
      <w:r>
        <w:rPr>
          <w:color w:val="0B0B0B"/>
          <w:spacing w:val="-2"/>
        </w:rPr>
        <w:t>16/ISR/PI</w:t>
      </w:r>
      <w:r>
        <w:rPr>
          <w:color w:val="0B0B0B"/>
        </w:rPr>
        <w:tab/>
        <w:t>Ganancias</w:t>
      </w:r>
      <w:r>
        <w:rPr>
          <w:color w:val="0B0B0B"/>
          <w:spacing w:val="40"/>
        </w:rPr>
        <w:t> </w:t>
      </w:r>
      <w:r>
        <w:rPr>
          <w:color w:val="0B0B0B"/>
        </w:rPr>
        <w:t>obtenidas</w:t>
      </w:r>
      <w:r>
        <w:rPr>
          <w:color w:val="0B0B0B"/>
          <w:spacing w:val="40"/>
        </w:rPr>
        <w:t> </w:t>
      </w:r>
      <w:r>
        <w:rPr>
          <w:color w:val="0B0B0B"/>
        </w:rPr>
        <w:t>por</w:t>
      </w:r>
      <w:r>
        <w:rPr>
          <w:color w:val="0B0B0B"/>
          <w:spacing w:val="40"/>
        </w:rPr>
        <w:t> </w:t>
      </w:r>
      <w:r>
        <w:rPr>
          <w:color w:val="0B0B0B"/>
        </w:rPr>
        <w:t>residentes</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extranjero</w:t>
      </w:r>
      <w:r>
        <w:rPr>
          <w:color w:val="0B0B0B"/>
          <w:spacing w:val="40"/>
        </w:rPr>
        <w:t> </w:t>
      </w:r>
      <w:r>
        <w:rPr>
          <w:color w:val="0B0B0B"/>
        </w:rPr>
        <w:t>en</w:t>
      </w:r>
      <w:r>
        <w:rPr>
          <w:color w:val="0B0B0B"/>
          <w:spacing w:val="40"/>
        </w:rPr>
        <w:t> </w:t>
      </w:r>
      <w:r>
        <w:rPr>
          <w:color w:val="0B0B0B"/>
        </w:rPr>
        <w:t>la</w:t>
      </w:r>
      <w:r>
        <w:rPr>
          <w:color w:val="0B0B0B"/>
          <w:spacing w:val="40"/>
        </w:rPr>
        <w:t> </w:t>
      </w:r>
      <w:r>
        <w:rPr>
          <w:color w:val="0B0B0B"/>
        </w:rPr>
        <w:t>enajenación</w:t>
      </w:r>
      <w:r>
        <w:rPr>
          <w:color w:val="0B0B0B"/>
          <w:spacing w:val="40"/>
        </w:rPr>
        <w:t> </w:t>
      </w:r>
      <w:r>
        <w:rPr>
          <w:color w:val="0B0B0B"/>
        </w:rPr>
        <w:t>de</w:t>
      </w:r>
      <w:r>
        <w:rPr>
          <w:color w:val="0B0B0B"/>
          <w:spacing w:val="40"/>
        </w:rPr>
        <w:t> </w:t>
      </w:r>
      <w:r>
        <w:rPr>
          <w:color w:val="0B0B0B"/>
        </w:rPr>
        <w:t>acciones inmobiliarias.</w:t>
      </w:r>
    </w:p>
    <w:p>
      <w:pPr>
        <w:pStyle w:val="BodyText"/>
        <w:spacing w:line="268" w:lineRule="auto" w:before="100"/>
        <w:ind w:right="258"/>
      </w:pPr>
      <w:r>
        <w:rPr>
          <w:color w:val="0B0B0B"/>
        </w:rPr>
        <w:t>El artículo 13, párrafos 1 y 2 del Convenio entre el Gobierno de los Estados Unidos Mexicanos y el Gobierno de los Estados Unidos de América para Evitar la Doble Imposición e Impedir la Evasión Fiscal en materia del ISR en vigor, posibilita que México pueda someter a imposición las ganancias de capital en diversos supuestos.</w:t>
      </w:r>
    </w:p>
    <w:p>
      <w:pPr>
        <w:pStyle w:val="BodyText"/>
        <w:spacing w:after="0" w:line="268" w:lineRule="auto"/>
        <w:sectPr>
          <w:headerReference w:type="default" r:id="rId23"/>
          <w:pgSz w:w="12240" w:h="15840"/>
          <w:pgMar w:header="690" w:footer="0" w:top="1040" w:bottom="280" w:left="1440" w:right="1440"/>
        </w:sectPr>
      </w:pPr>
    </w:p>
    <w:p>
      <w:pPr>
        <w:pStyle w:val="BodyText"/>
        <w:spacing w:line="276" w:lineRule="auto" w:before="128"/>
        <w:ind w:right="256"/>
      </w:pPr>
      <w:r>
        <w:rPr>
          <w:color w:val="0B0B0B"/>
        </w:rPr>
        <w:t>En adición a estos supuestos,</w:t>
      </w:r>
      <w:r>
        <w:rPr>
          <w:color w:val="0B0B0B"/>
        </w:rPr>
        <w:t> el párrafo</w:t>
      </w:r>
      <w:r>
        <w:rPr>
          <w:color w:val="0B0B0B"/>
        </w:rPr>
        <w:t> 4 del artículo citado establece que las ganancias obtenidas por un residente de un Estado Contratante por la enajenación de acciones,</w:t>
      </w:r>
      <w:r>
        <w:rPr>
          <w:color w:val="0B0B0B"/>
        </w:rPr>
        <w:t> participaciones y otros derechos en el capital de una sociedad, u otra persona moral residente del otro Estado Contratante pueden someterse a imposición en este otro Estado Contratante</w:t>
      </w:r>
      <w:r>
        <w:rPr>
          <w:color w:val="0B0B0B"/>
        </w:rPr>
        <w:t> cuando el perceptor de la ganancia ha detentado, directa o indirectamente,</w:t>
      </w:r>
      <w:r>
        <w:rPr>
          <w:color w:val="0B0B0B"/>
        </w:rPr>
        <w:t> durante un periodo de doce meses anteriores a la enajenación, una participación de al menos el 25 por</w:t>
      </w:r>
      <w:r>
        <w:rPr>
          <w:color w:val="0B0B0B"/>
        </w:rPr>
        <w:t> ciento en el capital de dicha sociedad o persona moral.</w:t>
      </w:r>
    </w:p>
    <w:p>
      <w:pPr>
        <w:pStyle w:val="BodyText"/>
        <w:spacing w:before="93"/>
      </w:pPr>
      <w:r>
        <w:rPr>
          <w:color w:val="0B0B0B"/>
        </w:rPr>
        <w:t>Por</w:t>
      </w:r>
      <w:r>
        <w:rPr>
          <w:color w:val="0B0B0B"/>
          <w:spacing w:val="-7"/>
        </w:rPr>
        <w:t> </w:t>
      </w:r>
      <w:r>
        <w:rPr>
          <w:color w:val="0B0B0B"/>
        </w:rPr>
        <w:t>lo</w:t>
      </w:r>
      <w:r>
        <w:rPr>
          <w:color w:val="0B0B0B"/>
          <w:spacing w:val="-7"/>
        </w:rPr>
        <w:t> </w:t>
      </w:r>
      <w:r>
        <w:rPr>
          <w:color w:val="0B0B0B"/>
        </w:rPr>
        <w:t>anterior,</w:t>
      </w:r>
      <w:r>
        <w:rPr>
          <w:color w:val="0B0B0B"/>
          <w:spacing w:val="-5"/>
        </w:rPr>
        <w:t> </w:t>
      </w:r>
      <w:r>
        <w:rPr>
          <w:color w:val="0B0B0B"/>
        </w:rPr>
        <w:t>es</w:t>
      </w:r>
      <w:r>
        <w:rPr>
          <w:color w:val="0B0B0B"/>
          <w:spacing w:val="-7"/>
        </w:rPr>
        <w:t> </w:t>
      </w:r>
      <w:r>
        <w:rPr>
          <w:color w:val="0B0B0B"/>
        </w:rPr>
        <w:t>una</w:t>
      </w:r>
      <w:r>
        <w:rPr>
          <w:color w:val="0B0B0B"/>
          <w:spacing w:val="-7"/>
        </w:rPr>
        <w:t> </w:t>
      </w:r>
      <w:r>
        <w:rPr>
          <w:color w:val="0B0B0B"/>
        </w:rPr>
        <w:t>práctica</w:t>
      </w:r>
      <w:r>
        <w:rPr>
          <w:color w:val="0B0B0B"/>
          <w:spacing w:val="-7"/>
        </w:rPr>
        <w:t> </w:t>
      </w:r>
      <w:r>
        <w:rPr>
          <w:color w:val="0B0B0B"/>
        </w:rPr>
        <w:t>fiscal</w:t>
      </w:r>
      <w:r>
        <w:rPr>
          <w:color w:val="0B0B0B"/>
          <w:spacing w:val="-7"/>
        </w:rPr>
        <w:t> </w:t>
      </w:r>
      <w:r>
        <w:rPr>
          <w:color w:val="0B0B0B"/>
          <w:spacing w:val="-2"/>
        </w:rPr>
        <w:t>indebida:</w:t>
      </w:r>
    </w:p>
    <w:p>
      <w:pPr>
        <w:pStyle w:val="ListParagraph"/>
        <w:numPr>
          <w:ilvl w:val="0"/>
          <w:numId w:val="19"/>
        </w:numPr>
        <w:tabs>
          <w:tab w:pos="2664" w:val="left" w:leader="none"/>
        </w:tabs>
        <w:spacing w:line="273" w:lineRule="auto" w:before="131" w:after="0"/>
        <w:ind w:left="2664" w:right="258" w:hanging="504"/>
        <w:jc w:val="both"/>
        <w:rPr>
          <w:sz w:val="18"/>
        </w:rPr>
      </w:pPr>
      <w:r>
        <w:rPr>
          <w:color w:val="0B0B0B"/>
          <w:sz w:val="18"/>
        </w:rPr>
        <w:t>Considerar que cuando México no pueda someter a imposición las ganancias</w:t>
      </w:r>
      <w:r>
        <w:rPr>
          <w:color w:val="0B0B0B"/>
          <w:spacing w:val="40"/>
          <w:sz w:val="18"/>
        </w:rPr>
        <w:t> </w:t>
      </w:r>
      <w:r>
        <w:rPr>
          <w:color w:val="0B0B0B"/>
          <w:sz w:val="18"/>
        </w:rPr>
        <w:t>de capital en términos del artículo</w:t>
      </w:r>
      <w:r>
        <w:rPr>
          <w:color w:val="0B0B0B"/>
          <w:sz w:val="18"/>
        </w:rPr>
        <w:t> 13,</w:t>
      </w:r>
      <w:r>
        <w:rPr>
          <w:color w:val="0B0B0B"/>
          <w:sz w:val="18"/>
        </w:rPr>
        <w:t> párrafos</w:t>
      </w:r>
      <w:r>
        <w:rPr>
          <w:color w:val="0B0B0B"/>
          <w:sz w:val="18"/>
        </w:rPr>
        <w:t> 1 y 2 del referido Convenio, tampoco está en posibilidad de gravar las ganancias de capital a que hace referencia el párrafo 4 del propio artículo.</w:t>
      </w:r>
    </w:p>
    <w:p>
      <w:pPr>
        <w:pStyle w:val="ListParagraph"/>
        <w:numPr>
          <w:ilvl w:val="0"/>
          <w:numId w:val="19"/>
        </w:numPr>
        <w:tabs>
          <w:tab w:pos="2664" w:val="left" w:leader="none"/>
        </w:tabs>
        <w:spacing w:line="276" w:lineRule="auto" w:before="105"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9"/>
        <w:ind w:left="0"/>
        <w:jc w:val="left"/>
        <w:rPr>
          <w:sz w:val="6"/>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192"/>
      </w:tblGrid>
      <w:tr>
        <w:trPr>
          <w:trHeight w:val="337" w:hRule="atLeast"/>
        </w:trPr>
        <w:tc>
          <w:tcPr>
            <w:tcW w:w="2676" w:type="dxa"/>
            <w:shd w:val="clear" w:color="auto" w:fill="BDBDBD"/>
          </w:tcPr>
          <w:p>
            <w:pPr>
              <w:pStyle w:val="TableParagraph"/>
              <w:spacing w:before="40"/>
              <w:ind w:left="13"/>
              <w:jc w:val="center"/>
              <w:rPr>
                <w:rFonts w:ascii="Arial"/>
                <w:b/>
                <w:sz w:val="16"/>
              </w:rPr>
            </w:pPr>
            <w:r>
              <w:rPr>
                <w:rFonts w:ascii="Arial"/>
                <w:b/>
                <w:color w:val="0B0B0B"/>
                <w:spacing w:val="-2"/>
                <w:sz w:val="16"/>
              </w:rPr>
              <w:t>Origen</w:t>
            </w:r>
          </w:p>
        </w:tc>
        <w:tc>
          <w:tcPr>
            <w:tcW w:w="4192" w:type="dxa"/>
            <w:shd w:val="clear" w:color="auto" w:fill="BDBDBD"/>
          </w:tcPr>
          <w:p>
            <w:pPr>
              <w:pStyle w:val="TableParagraph"/>
              <w:spacing w:before="40"/>
              <w:ind w:left="135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11" w:hRule="atLeast"/>
        </w:trPr>
        <w:tc>
          <w:tcPr>
            <w:tcW w:w="2676" w:type="dxa"/>
          </w:tcPr>
          <w:p>
            <w:pPr>
              <w:pStyle w:val="TableParagraph"/>
              <w:spacing w:before="40"/>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2011</w:t>
            </w:r>
          </w:p>
        </w:tc>
        <w:tc>
          <w:tcPr>
            <w:tcW w:w="4192" w:type="dxa"/>
          </w:tcPr>
          <w:p>
            <w:pPr>
              <w:pStyle w:val="TableParagraph"/>
              <w:spacing w:line="309" w:lineRule="auto" w:before="40"/>
              <w:ind w:right="57"/>
              <w:jc w:val="both"/>
              <w:rPr>
                <w:sz w:val="16"/>
              </w:rPr>
            </w:pPr>
            <w:r>
              <w:rPr>
                <w:color w:val="0B0B0B"/>
                <w:sz w:val="16"/>
              </w:rPr>
              <w:t>Publicada en el DOF el 1 de julio de 2011, Anexo 3, publicado en el DOF el 5 de julio de 2011, con número de criterio no vinculativo 22/ISR.</w:t>
            </w:r>
          </w:p>
        </w:tc>
      </w:tr>
    </w:tbl>
    <w:p>
      <w:pPr>
        <w:pStyle w:val="BodyText"/>
        <w:spacing w:before="154"/>
        <w:ind w:left="0"/>
        <w:jc w:val="left"/>
      </w:pPr>
    </w:p>
    <w:p>
      <w:pPr>
        <w:pStyle w:val="Heading1"/>
        <w:tabs>
          <w:tab w:pos="2146" w:val="left" w:leader="none"/>
        </w:tabs>
        <w:spacing w:before="1"/>
        <w:ind w:left="1137" w:firstLine="0"/>
      </w:pPr>
      <w:r>
        <w:rPr>
          <w:color w:val="0B0B0B"/>
          <w:spacing w:val="-2"/>
        </w:rPr>
        <w:t>17/ISR/PI</w:t>
      </w:r>
      <w:r>
        <w:rPr>
          <w:color w:val="0B0B0B"/>
        </w:rPr>
        <w:tab/>
        <w:t>Subcontratación.</w:t>
      </w:r>
      <w:r>
        <w:rPr>
          <w:color w:val="0B0B0B"/>
          <w:spacing w:val="-2"/>
        </w:rPr>
        <w:t> </w:t>
      </w:r>
      <w:r>
        <w:rPr>
          <w:color w:val="0B0B0B"/>
        </w:rPr>
        <w:t>Retención</w:t>
      </w:r>
      <w:r>
        <w:rPr>
          <w:color w:val="0B0B0B"/>
          <w:spacing w:val="-3"/>
        </w:rPr>
        <w:t> </w:t>
      </w:r>
      <w:r>
        <w:rPr>
          <w:color w:val="0B0B0B"/>
        </w:rPr>
        <w:t>de</w:t>
      </w:r>
      <w:r>
        <w:rPr>
          <w:color w:val="0B0B0B"/>
          <w:spacing w:val="-1"/>
        </w:rPr>
        <w:t> </w:t>
      </w:r>
      <w:r>
        <w:rPr>
          <w:color w:val="0B0B0B"/>
          <w:spacing w:val="-2"/>
        </w:rPr>
        <w:t>salarios.</w:t>
      </w:r>
    </w:p>
    <w:p>
      <w:pPr>
        <w:pStyle w:val="BodyText"/>
        <w:spacing w:before="130"/>
      </w:pPr>
      <w:r>
        <w:rPr>
          <w:color w:val="0B0B0B"/>
        </w:rPr>
        <w:t>Se</w:t>
      </w:r>
      <w:r>
        <w:rPr>
          <w:color w:val="0B0B0B"/>
          <w:spacing w:val="-8"/>
        </w:rPr>
        <w:t> </w:t>
      </w:r>
      <w:r>
        <w:rPr>
          <w:color w:val="0B0B0B"/>
        </w:rPr>
        <w:t>considera</w:t>
      </w:r>
      <w:r>
        <w:rPr>
          <w:color w:val="0B0B0B"/>
          <w:spacing w:val="-8"/>
        </w:rPr>
        <w:t> </w:t>
      </w:r>
      <w:r>
        <w:rPr>
          <w:color w:val="0B0B0B"/>
        </w:rPr>
        <w:t>que</w:t>
      </w:r>
      <w:r>
        <w:rPr>
          <w:color w:val="0B0B0B"/>
          <w:spacing w:val="-8"/>
        </w:rPr>
        <w:t> </w:t>
      </w:r>
      <w:r>
        <w:rPr>
          <w:color w:val="0B0B0B"/>
        </w:rPr>
        <w:t>realiza</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rPr>
        <w:t>indebida</w:t>
      </w:r>
      <w:r>
        <w:rPr>
          <w:color w:val="0B0B0B"/>
          <w:spacing w:val="-8"/>
        </w:rPr>
        <w:t> </w:t>
      </w:r>
      <w:r>
        <w:rPr>
          <w:color w:val="0B0B0B"/>
          <w:spacing w:val="-2"/>
        </w:rPr>
        <w:t>quien:</w:t>
      </w:r>
    </w:p>
    <w:p>
      <w:pPr>
        <w:pStyle w:val="ListParagraph"/>
        <w:numPr>
          <w:ilvl w:val="0"/>
          <w:numId w:val="20"/>
        </w:numPr>
        <w:tabs>
          <w:tab w:pos="2664" w:val="left" w:leader="none"/>
        </w:tabs>
        <w:spacing w:line="276" w:lineRule="auto" w:before="131" w:after="0"/>
        <w:ind w:left="2664" w:right="257" w:hanging="504"/>
        <w:jc w:val="both"/>
        <w:rPr>
          <w:sz w:val="18"/>
        </w:rPr>
      </w:pPr>
      <w:r>
        <w:rPr>
          <w:color w:val="0B0B0B"/>
          <w:sz w:val="18"/>
        </w:rPr>
        <w:t>Constituya o contrate de manera directa o indirecta a una persona física o</w:t>
      </w:r>
      <w:r>
        <w:rPr>
          <w:color w:val="0B0B0B"/>
          <w:spacing w:val="40"/>
          <w:sz w:val="18"/>
        </w:rPr>
        <w:t> </w:t>
      </w:r>
      <w:r>
        <w:rPr>
          <w:color w:val="0B0B0B"/>
          <w:sz w:val="18"/>
        </w:rPr>
        <w:t>moral, cuando entre otras, se trate de Sociedades de Solidaridad Social, Cooperativas, Civil, Civil Universal, Civil Particular; Fideicomisos,</w:t>
      </w:r>
      <w:r>
        <w:rPr>
          <w:color w:val="0B0B0B"/>
          <w:sz w:val="18"/>
        </w:rPr>
        <w:t> Sindicatos, Asociación</w:t>
      </w:r>
      <w:r>
        <w:rPr>
          <w:color w:val="0B0B0B"/>
          <w:spacing w:val="-1"/>
          <w:sz w:val="18"/>
        </w:rPr>
        <w:t> </w:t>
      </w:r>
      <w:r>
        <w:rPr>
          <w:color w:val="0B0B0B"/>
          <w:sz w:val="18"/>
        </w:rPr>
        <w:t>en</w:t>
      </w:r>
      <w:r>
        <w:rPr>
          <w:color w:val="0B0B0B"/>
          <w:spacing w:val="-1"/>
          <w:sz w:val="18"/>
        </w:rPr>
        <w:t> </w:t>
      </w:r>
      <w:r>
        <w:rPr>
          <w:color w:val="0B0B0B"/>
          <w:sz w:val="18"/>
        </w:rPr>
        <w:t>Participación</w:t>
      </w:r>
      <w:r>
        <w:rPr>
          <w:color w:val="0B0B0B"/>
          <w:spacing w:val="-1"/>
          <w:sz w:val="18"/>
        </w:rPr>
        <w:t> </w:t>
      </w:r>
      <w:r>
        <w:rPr>
          <w:color w:val="0B0B0B"/>
          <w:sz w:val="18"/>
        </w:rPr>
        <w:t>o</w:t>
      </w:r>
      <w:r>
        <w:rPr>
          <w:color w:val="0B0B0B"/>
          <w:spacing w:val="-1"/>
          <w:sz w:val="18"/>
        </w:rPr>
        <w:t> </w:t>
      </w:r>
      <w:r>
        <w:rPr>
          <w:color w:val="0B0B0B"/>
          <w:sz w:val="18"/>
        </w:rPr>
        <w:t>Empresas Integradoras,</w:t>
      </w:r>
      <w:r>
        <w:rPr>
          <w:color w:val="0B0B0B"/>
          <w:spacing w:val="-2"/>
          <w:sz w:val="18"/>
        </w:rPr>
        <w:t> </w:t>
      </w:r>
      <w:r>
        <w:rPr>
          <w:color w:val="0B0B0B"/>
          <w:sz w:val="18"/>
        </w:rPr>
        <w:t>para que</w:t>
      </w:r>
      <w:r>
        <w:rPr>
          <w:color w:val="0B0B0B"/>
          <w:spacing w:val="-1"/>
          <w:sz w:val="18"/>
        </w:rPr>
        <w:t> </w:t>
      </w:r>
      <w:r>
        <w:rPr>
          <w:color w:val="0B0B0B"/>
          <w:sz w:val="18"/>
        </w:rPr>
        <w:t>estas le</w:t>
      </w:r>
      <w:r>
        <w:rPr>
          <w:color w:val="0B0B0B"/>
          <w:spacing w:val="-1"/>
          <w:sz w:val="18"/>
        </w:rPr>
        <w:t> </w:t>
      </w:r>
      <w:r>
        <w:rPr>
          <w:color w:val="0B0B0B"/>
          <w:sz w:val="18"/>
        </w:rPr>
        <w:t>presten servicios idénticos,</w:t>
      </w:r>
      <w:r>
        <w:rPr>
          <w:color w:val="0B0B0B"/>
          <w:sz w:val="18"/>
        </w:rPr>
        <w:t> similares o análogos a los que sus trabajadores o prestadores de servicios le prestan o hayan prestado, y con ello omita el pago</w:t>
      </w:r>
      <w:r>
        <w:rPr>
          <w:color w:val="0B0B0B"/>
          <w:spacing w:val="40"/>
          <w:sz w:val="18"/>
        </w:rPr>
        <w:t> </w:t>
      </w:r>
      <w:r>
        <w:rPr>
          <w:color w:val="0B0B0B"/>
          <w:sz w:val="18"/>
        </w:rPr>
        <w:t>de alguna contribución u obtenga un beneficio indebido en perjuicio del fisco </w:t>
      </w:r>
      <w:r>
        <w:rPr>
          <w:color w:val="0B0B0B"/>
          <w:spacing w:val="-2"/>
          <w:sz w:val="18"/>
        </w:rPr>
        <w:t>federal.</w:t>
      </w:r>
    </w:p>
    <w:p>
      <w:pPr>
        <w:pStyle w:val="ListParagraph"/>
        <w:numPr>
          <w:ilvl w:val="0"/>
          <w:numId w:val="20"/>
        </w:numPr>
        <w:tabs>
          <w:tab w:pos="2662" w:val="left" w:leader="none"/>
          <w:tab w:pos="2664" w:val="left" w:leader="none"/>
        </w:tabs>
        <w:spacing w:line="273" w:lineRule="auto" w:before="93" w:after="0"/>
        <w:ind w:left="2664" w:right="258" w:hanging="505"/>
        <w:jc w:val="both"/>
        <w:rPr>
          <w:sz w:val="18"/>
        </w:rPr>
      </w:pPr>
      <w:r>
        <w:rPr>
          <w:color w:val="0B0B0B"/>
          <w:sz w:val="18"/>
        </w:rPr>
        <w:t>Derivado de la práctica señalada en la fracción anterior, se omita efectuar la retención del ISR a los trabajadores o prestadores de servicios sobre los que,</w:t>
      </w:r>
      <w:r>
        <w:rPr>
          <w:color w:val="0B0B0B"/>
          <w:spacing w:val="40"/>
          <w:sz w:val="18"/>
        </w:rPr>
        <w:t> </w:t>
      </w:r>
      <w:r>
        <w:rPr>
          <w:color w:val="0B0B0B"/>
          <w:sz w:val="18"/>
        </w:rPr>
        <w:t>de conformidad con lo establecido por el artículo 20 de la Ley Federal del Trabajo, mantiene una relación laboral por estar bajo su subordinación y toda vez que dichos trabajadores o prestadores de servicios perciben un salario por ese trabajo subordinado, aunque sea por</w:t>
      </w:r>
      <w:r>
        <w:rPr>
          <w:color w:val="0B0B0B"/>
          <w:sz w:val="18"/>
        </w:rPr>
        <w:t> conducto</w:t>
      </w:r>
      <w:r>
        <w:rPr>
          <w:color w:val="0B0B0B"/>
          <w:sz w:val="18"/>
        </w:rPr>
        <w:t> del intermediario o </w:t>
      </w:r>
      <w:r>
        <w:rPr>
          <w:color w:val="0B0B0B"/>
          <w:spacing w:val="-2"/>
          <w:sz w:val="18"/>
        </w:rPr>
        <w:t>subcontratista.</w:t>
      </w:r>
    </w:p>
    <w:p>
      <w:pPr>
        <w:pStyle w:val="ListParagraph"/>
        <w:numPr>
          <w:ilvl w:val="0"/>
          <w:numId w:val="20"/>
        </w:numPr>
        <w:tabs>
          <w:tab w:pos="2662" w:val="left" w:leader="none"/>
          <w:tab w:pos="2664" w:val="left" w:leader="none"/>
        </w:tabs>
        <w:spacing w:line="273" w:lineRule="auto" w:before="108" w:after="0"/>
        <w:ind w:left="2664" w:right="257" w:hanging="504"/>
        <w:jc w:val="both"/>
        <w:rPr>
          <w:sz w:val="18"/>
        </w:rPr>
      </w:pPr>
      <w:r>
        <w:rPr>
          <w:color w:val="0B0B0B"/>
          <w:sz w:val="18"/>
        </w:rPr>
        <w:t>Deduzca, para efectos del ISR, el comprobante fiscal que ampare la prestación de servicios que emite el intermediario laboral, sin cumplir con lo establecido en el artículo 27, fracción V de la Ley del ISR.</w:t>
      </w:r>
    </w:p>
    <w:p>
      <w:pPr>
        <w:pStyle w:val="ListParagraph"/>
        <w:numPr>
          <w:ilvl w:val="0"/>
          <w:numId w:val="20"/>
        </w:numPr>
        <w:tabs>
          <w:tab w:pos="2664" w:val="left" w:leader="none"/>
        </w:tabs>
        <w:spacing w:line="276" w:lineRule="auto" w:before="105" w:after="0"/>
        <w:ind w:left="2664" w:right="259" w:hanging="504"/>
        <w:jc w:val="both"/>
        <w:rPr>
          <w:sz w:val="18"/>
        </w:rPr>
      </w:pPr>
      <w:r>
        <w:rPr>
          <w:color w:val="0B0B0B"/>
          <w:sz w:val="18"/>
        </w:rPr>
        <w:t>Acredite, para efectos del IVA, el impuesto contenido en el comprobante fiscal que ampare la prestación de servicios que emite el intermediario, sin cumplir</w:t>
      </w:r>
      <w:r>
        <w:rPr>
          <w:color w:val="0B0B0B"/>
          <w:spacing w:val="40"/>
          <w:sz w:val="18"/>
        </w:rPr>
        <w:t> </w:t>
      </w:r>
      <w:r>
        <w:rPr>
          <w:color w:val="0B0B0B"/>
          <w:sz w:val="18"/>
        </w:rPr>
        <w:t>con lo establecido en los artículos 5o. y 32 de la Ley del IVA.</w:t>
      </w:r>
    </w:p>
    <w:p>
      <w:pPr>
        <w:pStyle w:val="ListParagraph"/>
        <w:numPr>
          <w:ilvl w:val="0"/>
          <w:numId w:val="20"/>
        </w:numPr>
        <w:tabs>
          <w:tab w:pos="2662" w:val="left" w:leader="none"/>
          <w:tab w:pos="2664" w:val="left" w:leader="none"/>
        </w:tabs>
        <w:spacing w:line="276" w:lineRule="auto" w:before="97" w:after="0"/>
        <w:ind w:left="2664" w:right="259" w:hanging="504"/>
        <w:jc w:val="both"/>
        <w:rPr>
          <w:sz w:val="18"/>
        </w:rPr>
      </w:pPr>
      <w:r>
        <w:rPr>
          <w:color w:val="0B0B0B"/>
          <w:sz w:val="18"/>
        </w:rPr>
        <w:t>Asesore, aconseje, preste servicios o participe en la realización o la implementación de cualquiera de las prácticas anteriores.</w:t>
      </w:r>
    </w:p>
    <w:p>
      <w:pPr>
        <w:pStyle w:val="BodyText"/>
        <w:spacing w:before="9"/>
        <w:ind w:left="0"/>
        <w:jc w:val="left"/>
        <w:rPr>
          <w:sz w:val="6"/>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338" w:hRule="atLeast"/>
        </w:trPr>
        <w:tc>
          <w:tcPr>
            <w:tcW w:w="2760" w:type="dxa"/>
            <w:shd w:val="clear" w:color="auto" w:fill="BDBDBD"/>
          </w:tcPr>
          <w:p>
            <w:pPr>
              <w:pStyle w:val="TableParagraph"/>
              <w:spacing w:before="40"/>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40"/>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10" w:hRule="atLeast"/>
        </w:trPr>
        <w:tc>
          <w:tcPr>
            <w:tcW w:w="2760" w:type="dxa"/>
          </w:tcPr>
          <w:p>
            <w:pPr>
              <w:pStyle w:val="TableParagraph"/>
              <w:tabs>
                <w:tab w:pos="1170" w:val="left" w:leader="none"/>
                <w:tab w:pos="2509" w:val="left" w:leader="none"/>
              </w:tabs>
              <w:spacing w:line="309" w:lineRule="auto" w:before="39"/>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2013</w:t>
            </w:r>
          </w:p>
        </w:tc>
        <w:tc>
          <w:tcPr>
            <w:tcW w:w="4108" w:type="dxa"/>
          </w:tcPr>
          <w:p>
            <w:pPr>
              <w:pStyle w:val="TableParagraph"/>
              <w:spacing w:line="309" w:lineRule="auto" w:before="39"/>
              <w:ind w:right="57"/>
              <w:jc w:val="both"/>
              <w:rPr>
                <w:sz w:val="16"/>
              </w:rPr>
            </w:pPr>
            <w:r>
              <w:rPr>
                <w:color w:val="0B0B0B"/>
                <w:sz w:val="16"/>
              </w:rPr>
              <w:t>Publicada</w:t>
            </w:r>
            <w:r>
              <w:rPr>
                <w:color w:val="0B0B0B"/>
                <w:spacing w:val="-4"/>
                <w:sz w:val="16"/>
              </w:rPr>
              <w:t> </w:t>
            </w:r>
            <w:r>
              <w:rPr>
                <w:color w:val="0B0B0B"/>
                <w:sz w:val="16"/>
              </w:rPr>
              <w:t>en</w:t>
            </w:r>
            <w:r>
              <w:rPr>
                <w:color w:val="0B0B0B"/>
                <w:spacing w:val="-4"/>
                <w:sz w:val="16"/>
              </w:rPr>
              <w:t> </w:t>
            </w:r>
            <w:r>
              <w:rPr>
                <w:color w:val="0B0B0B"/>
                <w:sz w:val="16"/>
              </w:rPr>
              <w:t>el</w:t>
            </w:r>
            <w:r>
              <w:rPr>
                <w:color w:val="0B0B0B"/>
                <w:spacing w:val="-3"/>
                <w:sz w:val="16"/>
              </w:rPr>
              <w:t> </w:t>
            </w:r>
            <w:r>
              <w:rPr>
                <w:color w:val="0B0B0B"/>
                <w:sz w:val="16"/>
              </w:rPr>
              <w:t>DOF</w:t>
            </w:r>
            <w:r>
              <w:rPr>
                <w:color w:val="0B0B0B"/>
                <w:spacing w:val="-4"/>
                <w:sz w:val="16"/>
              </w:rPr>
              <w:t> </w:t>
            </w:r>
            <w:r>
              <w:rPr>
                <w:color w:val="0B0B0B"/>
                <w:sz w:val="16"/>
              </w:rPr>
              <w:t>el</w:t>
            </w:r>
            <w:r>
              <w:rPr>
                <w:color w:val="0B0B0B"/>
                <w:spacing w:val="-4"/>
                <w:sz w:val="16"/>
              </w:rPr>
              <w:t> </w:t>
            </w:r>
            <w:r>
              <w:rPr>
                <w:color w:val="0B0B0B"/>
                <w:sz w:val="16"/>
              </w:rPr>
              <w:t>14</w:t>
            </w:r>
            <w:r>
              <w:rPr>
                <w:color w:val="0B0B0B"/>
                <w:spacing w:val="-3"/>
                <w:sz w:val="16"/>
              </w:rPr>
              <w:t> </w:t>
            </w:r>
            <w:r>
              <w:rPr>
                <w:color w:val="0B0B0B"/>
                <w:sz w:val="16"/>
              </w:rPr>
              <w:t>de</w:t>
            </w:r>
            <w:r>
              <w:rPr>
                <w:color w:val="0B0B0B"/>
                <w:spacing w:val="-3"/>
                <w:sz w:val="16"/>
              </w:rPr>
              <w:t> </w:t>
            </w:r>
            <w:r>
              <w:rPr>
                <w:color w:val="0B0B0B"/>
                <w:sz w:val="16"/>
              </w:rPr>
              <w:t>agosto</w:t>
            </w:r>
            <w:r>
              <w:rPr>
                <w:color w:val="0B0B0B"/>
                <w:spacing w:val="-4"/>
                <w:sz w:val="16"/>
              </w:rPr>
              <w:t> </w:t>
            </w:r>
            <w:r>
              <w:rPr>
                <w:color w:val="0B0B0B"/>
                <w:sz w:val="16"/>
              </w:rPr>
              <w:t>de</w:t>
            </w:r>
            <w:r>
              <w:rPr>
                <w:color w:val="0B0B0B"/>
                <w:spacing w:val="-4"/>
                <w:sz w:val="16"/>
              </w:rPr>
              <w:t> </w:t>
            </w:r>
            <w:r>
              <w:rPr>
                <w:color w:val="0B0B0B"/>
                <w:sz w:val="16"/>
              </w:rPr>
              <w:t>2013,</w:t>
            </w:r>
            <w:r>
              <w:rPr>
                <w:color w:val="0B0B0B"/>
                <w:spacing w:val="-4"/>
                <w:sz w:val="16"/>
              </w:rPr>
              <w:t> </w:t>
            </w:r>
            <w:r>
              <w:rPr>
                <w:color w:val="0B0B0B"/>
                <w:sz w:val="16"/>
              </w:rPr>
              <w:t>Anexo</w:t>
            </w:r>
            <w:r>
              <w:rPr>
                <w:color w:val="0B0B0B"/>
                <w:spacing w:val="-3"/>
                <w:sz w:val="16"/>
              </w:rPr>
              <w:t> </w:t>
            </w:r>
            <w:r>
              <w:rPr>
                <w:color w:val="0B0B0B"/>
                <w:sz w:val="16"/>
              </w:rPr>
              <w:t>3, publicado en la misma fecha de la Modificación, con número de criterio no vinculativo 31/ISR.</w:t>
            </w:r>
          </w:p>
        </w:tc>
      </w:tr>
    </w:tbl>
    <w:p>
      <w:pPr>
        <w:pStyle w:val="TableParagraph"/>
        <w:spacing w:after="0" w:line="309" w:lineRule="auto"/>
        <w:jc w:val="both"/>
        <w:rPr>
          <w:sz w:val="16"/>
        </w:rPr>
        <w:sectPr>
          <w:headerReference w:type="default" r:id="rId24"/>
          <w:pgSz w:w="12240" w:h="15840"/>
          <w:pgMar w:header="690" w:footer="0" w:top="1040" w:bottom="280" w:left="1440" w:right="1440"/>
        </w:sectPr>
      </w:pPr>
    </w:p>
    <w:p>
      <w:pPr>
        <w:pStyle w:val="Heading1"/>
        <w:tabs>
          <w:tab w:pos="2145" w:val="left" w:leader="none"/>
        </w:tabs>
        <w:spacing w:before="112"/>
        <w:ind w:left="1137" w:firstLine="0"/>
      </w:pPr>
      <w:r>
        <w:rPr>
          <w:color w:val="0B0B0B"/>
          <w:spacing w:val="-2"/>
        </w:rPr>
        <w:t>18/ISR/PI</w:t>
      </w:r>
      <w:r>
        <w:rPr>
          <w:color w:val="0B0B0B"/>
        </w:rPr>
        <w:tab/>
        <w:t>Simulación</w:t>
      </w:r>
      <w:r>
        <w:rPr>
          <w:color w:val="0B0B0B"/>
          <w:spacing w:val="-3"/>
        </w:rPr>
        <w:t> </w:t>
      </w:r>
      <w:r>
        <w:rPr>
          <w:color w:val="0B0B0B"/>
        </w:rPr>
        <w:t>de </w:t>
      </w:r>
      <w:r>
        <w:rPr>
          <w:color w:val="0B0B0B"/>
          <w:spacing w:val="-2"/>
        </w:rPr>
        <w:t>constancias.</w:t>
      </w:r>
    </w:p>
    <w:p>
      <w:pPr>
        <w:pStyle w:val="BodyText"/>
        <w:spacing w:before="81"/>
      </w:pPr>
      <w:r>
        <w:rPr>
          <w:color w:val="0B0B0B"/>
        </w:rPr>
        <w:t>Se</w:t>
      </w:r>
      <w:r>
        <w:rPr>
          <w:color w:val="0B0B0B"/>
          <w:spacing w:val="-8"/>
        </w:rPr>
        <w:t> </w:t>
      </w:r>
      <w:r>
        <w:rPr>
          <w:color w:val="0B0B0B"/>
        </w:rPr>
        <w:t>considera</w:t>
      </w:r>
      <w:r>
        <w:rPr>
          <w:color w:val="0B0B0B"/>
          <w:spacing w:val="-8"/>
        </w:rPr>
        <w:t> </w:t>
      </w:r>
      <w:r>
        <w:rPr>
          <w:color w:val="0B0B0B"/>
        </w:rPr>
        <w:t>que</w:t>
      </w:r>
      <w:r>
        <w:rPr>
          <w:color w:val="0B0B0B"/>
          <w:spacing w:val="-8"/>
        </w:rPr>
        <w:t> </w:t>
      </w:r>
      <w:r>
        <w:rPr>
          <w:color w:val="0B0B0B"/>
        </w:rPr>
        <w:t>realiza</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rPr>
        <w:t>indebida</w:t>
      </w:r>
      <w:r>
        <w:rPr>
          <w:color w:val="0B0B0B"/>
          <w:spacing w:val="-8"/>
        </w:rPr>
        <w:t> </w:t>
      </w:r>
      <w:r>
        <w:rPr>
          <w:color w:val="0B0B0B"/>
          <w:spacing w:val="-2"/>
        </w:rPr>
        <w:t>quien:</w:t>
      </w:r>
    </w:p>
    <w:p>
      <w:pPr>
        <w:pStyle w:val="ListParagraph"/>
        <w:numPr>
          <w:ilvl w:val="0"/>
          <w:numId w:val="21"/>
        </w:numPr>
        <w:tabs>
          <w:tab w:pos="2664" w:val="left" w:leader="none"/>
        </w:tabs>
        <w:spacing w:line="249" w:lineRule="auto" w:before="81" w:after="0"/>
        <w:ind w:left="2664" w:right="258" w:hanging="504"/>
        <w:jc w:val="both"/>
        <w:rPr>
          <w:sz w:val="18"/>
        </w:rPr>
      </w:pPr>
      <w:r>
        <w:rPr>
          <w:color w:val="0B0B0B"/>
          <w:sz w:val="18"/>
        </w:rPr>
        <w:t>Constituya o contrate de manera directa o indirecta a una persona física o</w:t>
      </w:r>
      <w:r>
        <w:rPr>
          <w:color w:val="0B0B0B"/>
          <w:spacing w:val="40"/>
          <w:sz w:val="18"/>
        </w:rPr>
        <w:t> </w:t>
      </w:r>
      <w:r>
        <w:rPr>
          <w:color w:val="0B0B0B"/>
          <w:sz w:val="18"/>
        </w:rPr>
        <w:t>moral, cuando entre otras se trate de Sociedades de Solidaridad Social, Cooperativas, Civil, Civil Universal, Civil Particular; Fideicomisos,</w:t>
      </w:r>
      <w:r>
        <w:rPr>
          <w:color w:val="0B0B0B"/>
          <w:sz w:val="18"/>
        </w:rPr>
        <w:t> Sindicatos, Asociaciones en Participación o Empresas Integradoras, para que funjan como retenedores y les efectúen el pago de diversas</w:t>
      </w:r>
      <w:r>
        <w:rPr>
          <w:color w:val="0B0B0B"/>
          <w:sz w:val="18"/>
        </w:rPr>
        <w:t> remuneraciones, por ejemplo salarios,</w:t>
      </w:r>
      <w:r>
        <w:rPr>
          <w:color w:val="0B0B0B"/>
          <w:spacing w:val="-3"/>
          <w:sz w:val="18"/>
        </w:rPr>
        <w:t> </w:t>
      </w:r>
      <w:r>
        <w:rPr>
          <w:color w:val="0B0B0B"/>
          <w:sz w:val="18"/>
        </w:rPr>
        <w:t>asimilados,</w:t>
      </w:r>
      <w:r>
        <w:rPr>
          <w:color w:val="0B0B0B"/>
          <w:spacing w:val="-3"/>
          <w:sz w:val="18"/>
        </w:rPr>
        <w:t> </w:t>
      </w:r>
      <w:r>
        <w:rPr>
          <w:color w:val="0B0B0B"/>
          <w:sz w:val="18"/>
        </w:rPr>
        <w:t>honorarios,</w:t>
      </w:r>
      <w:r>
        <w:rPr>
          <w:color w:val="0B0B0B"/>
          <w:spacing w:val="-3"/>
          <w:sz w:val="18"/>
        </w:rPr>
        <w:t> </w:t>
      </w:r>
      <w:r>
        <w:rPr>
          <w:color w:val="0B0B0B"/>
          <w:sz w:val="18"/>
        </w:rPr>
        <w:t>dividendos</w:t>
      </w:r>
      <w:r>
        <w:rPr>
          <w:color w:val="0B0B0B"/>
          <w:spacing w:val="-2"/>
          <w:sz w:val="18"/>
        </w:rPr>
        <w:t> </w:t>
      </w:r>
      <w:r>
        <w:rPr>
          <w:color w:val="0B0B0B"/>
          <w:sz w:val="18"/>
        </w:rPr>
        <w:t>y</w:t>
      </w:r>
      <w:r>
        <w:rPr>
          <w:color w:val="0B0B0B"/>
          <w:spacing w:val="-3"/>
          <w:sz w:val="18"/>
        </w:rPr>
        <w:t> </w:t>
      </w:r>
      <w:r>
        <w:rPr>
          <w:color w:val="0B0B0B"/>
          <w:sz w:val="18"/>
        </w:rPr>
        <w:t>como</w:t>
      </w:r>
      <w:r>
        <w:rPr>
          <w:color w:val="0B0B0B"/>
          <w:spacing w:val="-3"/>
          <w:sz w:val="18"/>
        </w:rPr>
        <w:t> </w:t>
      </w:r>
      <w:r>
        <w:rPr>
          <w:color w:val="0B0B0B"/>
          <w:sz w:val="18"/>
        </w:rPr>
        <w:t>resultado</w:t>
      </w:r>
      <w:r>
        <w:rPr>
          <w:color w:val="0B0B0B"/>
          <w:spacing w:val="-3"/>
          <w:sz w:val="18"/>
        </w:rPr>
        <w:t> </w:t>
      </w:r>
      <w:r>
        <w:rPr>
          <w:color w:val="0B0B0B"/>
          <w:sz w:val="18"/>
        </w:rPr>
        <w:t>de</w:t>
      </w:r>
      <w:r>
        <w:rPr>
          <w:color w:val="0B0B0B"/>
          <w:spacing w:val="-2"/>
          <w:sz w:val="18"/>
        </w:rPr>
        <w:t> </w:t>
      </w:r>
      <w:r>
        <w:rPr>
          <w:color w:val="0B0B0B"/>
          <w:sz w:val="18"/>
        </w:rPr>
        <w:t>ello,</w:t>
      </w:r>
      <w:r>
        <w:rPr>
          <w:color w:val="0B0B0B"/>
          <w:spacing w:val="-2"/>
          <w:sz w:val="18"/>
        </w:rPr>
        <w:t> </w:t>
      </w:r>
      <w:r>
        <w:rPr>
          <w:color w:val="0B0B0B"/>
          <w:sz w:val="18"/>
        </w:rPr>
        <w:t>ya</w:t>
      </w:r>
      <w:r>
        <w:rPr>
          <w:color w:val="0B0B0B"/>
          <w:spacing w:val="-3"/>
          <w:sz w:val="18"/>
        </w:rPr>
        <w:t> </w:t>
      </w:r>
      <w:r>
        <w:rPr>
          <w:color w:val="0B0B0B"/>
          <w:sz w:val="18"/>
        </w:rPr>
        <w:t>sea</w:t>
      </w:r>
      <w:r>
        <w:rPr>
          <w:color w:val="0B0B0B"/>
          <w:spacing w:val="-3"/>
          <w:sz w:val="18"/>
        </w:rPr>
        <w:t> </w:t>
      </w:r>
      <w:r>
        <w:rPr>
          <w:color w:val="0B0B0B"/>
          <w:sz w:val="18"/>
        </w:rPr>
        <w:t>por sí o a través de dicho tercero,</w:t>
      </w:r>
      <w:r>
        <w:rPr>
          <w:color w:val="0B0B0B"/>
          <w:sz w:val="18"/>
        </w:rPr>
        <w:t> omita total o parcialmente el pago de alguna contribución u obtenga un beneficio indebido en perjuicio del fisco federal.</w:t>
      </w:r>
    </w:p>
    <w:p>
      <w:pPr>
        <w:pStyle w:val="ListParagraph"/>
        <w:numPr>
          <w:ilvl w:val="0"/>
          <w:numId w:val="21"/>
        </w:numPr>
        <w:tabs>
          <w:tab w:pos="2664" w:val="left" w:leader="none"/>
        </w:tabs>
        <w:spacing w:line="249" w:lineRule="auto" w:before="77" w:after="0"/>
        <w:ind w:left="2664" w:right="261" w:hanging="504"/>
        <w:jc w:val="both"/>
        <w:rPr>
          <w:sz w:val="18"/>
        </w:rPr>
      </w:pPr>
      <w:r>
        <w:rPr>
          <w:color w:val="0B0B0B"/>
          <w:sz w:val="18"/>
        </w:rPr>
        <w:t>Acredite, para efectos del ISR, una retención de ISR y no recabe del retenedor</w:t>
      </w:r>
      <w:r>
        <w:rPr>
          <w:color w:val="0B0B0B"/>
          <w:spacing w:val="40"/>
          <w:sz w:val="18"/>
        </w:rPr>
        <w:t> </w:t>
      </w:r>
      <w:r>
        <w:rPr>
          <w:color w:val="0B0B0B"/>
          <w:sz w:val="18"/>
        </w:rPr>
        <w:t>la documentación en donde conste la retención y entero correcto de dicho ISR.</w:t>
      </w:r>
    </w:p>
    <w:p>
      <w:pPr>
        <w:pStyle w:val="ListParagraph"/>
        <w:numPr>
          <w:ilvl w:val="0"/>
          <w:numId w:val="21"/>
        </w:numPr>
        <w:tabs>
          <w:tab w:pos="2662" w:val="left" w:leader="none"/>
          <w:tab w:pos="2664" w:val="left" w:leader="none"/>
        </w:tabs>
        <w:spacing w:line="249" w:lineRule="auto" w:before="74" w:after="0"/>
        <w:ind w:left="2664" w:right="259" w:hanging="504"/>
        <w:jc w:val="both"/>
        <w:rPr>
          <w:sz w:val="18"/>
        </w:rPr>
      </w:pPr>
      <w:r>
        <w:rPr>
          <w:color w:val="0B0B0B"/>
          <w:sz w:val="18"/>
        </w:rPr>
        <w:t>Asesore, aconseje, preste servicios o participe en la realización o la implementación de cualquiera de las prácticas anteriores.</w:t>
      </w:r>
    </w:p>
    <w:p>
      <w:pPr>
        <w:pStyle w:val="BodyText"/>
        <w:spacing w:before="0"/>
        <w:ind w:left="0"/>
        <w:jc w:val="left"/>
        <w:rPr>
          <w:sz w:val="6"/>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288" w:hRule="atLeast"/>
        </w:trPr>
        <w:tc>
          <w:tcPr>
            <w:tcW w:w="2760"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19" w:hRule="atLeast"/>
        </w:trPr>
        <w:tc>
          <w:tcPr>
            <w:tcW w:w="2760" w:type="dxa"/>
          </w:tcPr>
          <w:p>
            <w:pPr>
              <w:pStyle w:val="TableParagraph"/>
              <w:tabs>
                <w:tab w:pos="1170" w:val="left" w:leader="none"/>
                <w:tab w:pos="2509" w:val="left" w:leader="none"/>
              </w:tabs>
              <w:spacing w:line="280" w:lineRule="auto" w:before="22"/>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2013</w:t>
            </w:r>
          </w:p>
        </w:tc>
        <w:tc>
          <w:tcPr>
            <w:tcW w:w="4108" w:type="dxa"/>
          </w:tcPr>
          <w:p>
            <w:pPr>
              <w:pStyle w:val="TableParagraph"/>
              <w:spacing w:line="280" w:lineRule="auto" w:before="22"/>
              <w:ind w:right="57"/>
              <w:jc w:val="both"/>
              <w:rPr>
                <w:sz w:val="16"/>
              </w:rPr>
            </w:pPr>
            <w:r>
              <w:rPr>
                <w:color w:val="0B0B0B"/>
                <w:sz w:val="16"/>
              </w:rPr>
              <w:t>Publicada</w:t>
            </w:r>
            <w:r>
              <w:rPr>
                <w:color w:val="0B0B0B"/>
                <w:spacing w:val="-4"/>
                <w:sz w:val="16"/>
              </w:rPr>
              <w:t> </w:t>
            </w:r>
            <w:r>
              <w:rPr>
                <w:color w:val="0B0B0B"/>
                <w:sz w:val="16"/>
              </w:rPr>
              <w:t>en</w:t>
            </w:r>
            <w:r>
              <w:rPr>
                <w:color w:val="0B0B0B"/>
                <w:spacing w:val="-4"/>
                <w:sz w:val="16"/>
              </w:rPr>
              <w:t> </w:t>
            </w:r>
            <w:r>
              <w:rPr>
                <w:color w:val="0B0B0B"/>
                <w:sz w:val="16"/>
              </w:rPr>
              <w:t>el</w:t>
            </w:r>
            <w:r>
              <w:rPr>
                <w:color w:val="0B0B0B"/>
                <w:spacing w:val="-3"/>
                <w:sz w:val="16"/>
              </w:rPr>
              <w:t> </w:t>
            </w:r>
            <w:r>
              <w:rPr>
                <w:color w:val="0B0B0B"/>
                <w:sz w:val="16"/>
              </w:rPr>
              <w:t>DOF</w:t>
            </w:r>
            <w:r>
              <w:rPr>
                <w:color w:val="0B0B0B"/>
                <w:spacing w:val="-4"/>
                <w:sz w:val="16"/>
              </w:rPr>
              <w:t> </w:t>
            </w:r>
            <w:r>
              <w:rPr>
                <w:color w:val="0B0B0B"/>
                <w:sz w:val="16"/>
              </w:rPr>
              <w:t>el</w:t>
            </w:r>
            <w:r>
              <w:rPr>
                <w:color w:val="0B0B0B"/>
                <w:spacing w:val="-4"/>
                <w:sz w:val="16"/>
              </w:rPr>
              <w:t> </w:t>
            </w:r>
            <w:r>
              <w:rPr>
                <w:color w:val="0B0B0B"/>
                <w:sz w:val="16"/>
              </w:rPr>
              <w:t>14</w:t>
            </w:r>
            <w:r>
              <w:rPr>
                <w:color w:val="0B0B0B"/>
                <w:spacing w:val="-3"/>
                <w:sz w:val="16"/>
              </w:rPr>
              <w:t> </w:t>
            </w:r>
            <w:r>
              <w:rPr>
                <w:color w:val="0B0B0B"/>
                <w:sz w:val="16"/>
              </w:rPr>
              <w:t>de</w:t>
            </w:r>
            <w:r>
              <w:rPr>
                <w:color w:val="0B0B0B"/>
                <w:spacing w:val="-3"/>
                <w:sz w:val="16"/>
              </w:rPr>
              <w:t> </w:t>
            </w:r>
            <w:r>
              <w:rPr>
                <w:color w:val="0B0B0B"/>
                <w:sz w:val="16"/>
              </w:rPr>
              <w:t>agosto</w:t>
            </w:r>
            <w:r>
              <w:rPr>
                <w:color w:val="0B0B0B"/>
                <w:spacing w:val="-4"/>
                <w:sz w:val="16"/>
              </w:rPr>
              <w:t> </w:t>
            </w:r>
            <w:r>
              <w:rPr>
                <w:color w:val="0B0B0B"/>
                <w:sz w:val="16"/>
              </w:rPr>
              <w:t>de</w:t>
            </w:r>
            <w:r>
              <w:rPr>
                <w:color w:val="0B0B0B"/>
                <w:spacing w:val="-4"/>
                <w:sz w:val="16"/>
              </w:rPr>
              <w:t> </w:t>
            </w:r>
            <w:r>
              <w:rPr>
                <w:color w:val="0B0B0B"/>
                <w:sz w:val="16"/>
              </w:rPr>
              <w:t>2013,</w:t>
            </w:r>
            <w:r>
              <w:rPr>
                <w:color w:val="0B0B0B"/>
                <w:spacing w:val="-4"/>
                <w:sz w:val="16"/>
              </w:rPr>
              <w:t> </w:t>
            </w:r>
            <w:r>
              <w:rPr>
                <w:color w:val="0B0B0B"/>
                <w:sz w:val="16"/>
              </w:rPr>
              <w:t>Anexo</w:t>
            </w:r>
            <w:r>
              <w:rPr>
                <w:color w:val="0B0B0B"/>
                <w:spacing w:val="-3"/>
                <w:sz w:val="16"/>
              </w:rPr>
              <w:t> </w:t>
            </w:r>
            <w:r>
              <w:rPr>
                <w:color w:val="0B0B0B"/>
                <w:sz w:val="16"/>
              </w:rPr>
              <w:t>3, publicado en la misma fecha de la Modificación, con número de criterio no vinculativo 32/ISR.</w:t>
            </w:r>
          </w:p>
        </w:tc>
      </w:tr>
    </w:tbl>
    <w:p>
      <w:pPr>
        <w:pStyle w:val="BodyText"/>
        <w:spacing w:before="87"/>
        <w:ind w:left="0"/>
        <w:jc w:val="left"/>
      </w:pPr>
    </w:p>
    <w:p>
      <w:pPr>
        <w:pStyle w:val="Heading1"/>
        <w:tabs>
          <w:tab w:pos="2145" w:val="left" w:leader="none"/>
        </w:tabs>
        <w:ind w:left="1137" w:firstLine="0"/>
      </w:pPr>
      <w:r>
        <w:rPr>
          <w:color w:val="0B0B0B"/>
          <w:spacing w:val="-2"/>
        </w:rPr>
        <w:t>19/ISR/PI</w:t>
      </w:r>
      <w:r>
        <w:rPr>
          <w:color w:val="0B0B0B"/>
        </w:rPr>
        <w:tab/>
        <w:t>Deducción</w:t>
      </w:r>
      <w:r>
        <w:rPr>
          <w:color w:val="0B0B0B"/>
          <w:spacing w:val="-3"/>
        </w:rPr>
        <w:t> </w:t>
      </w:r>
      <w:r>
        <w:rPr>
          <w:color w:val="0B0B0B"/>
        </w:rPr>
        <w:t>de</w:t>
      </w:r>
      <w:r>
        <w:rPr>
          <w:color w:val="0B0B0B"/>
          <w:spacing w:val="-2"/>
        </w:rPr>
        <w:t> </w:t>
      </w:r>
      <w:r>
        <w:rPr>
          <w:color w:val="0B0B0B"/>
        </w:rPr>
        <w:t>pagos a </w:t>
      </w:r>
      <w:r>
        <w:rPr>
          <w:color w:val="0B0B0B"/>
          <w:spacing w:val="-2"/>
        </w:rPr>
        <w:t>sindicatos.</w:t>
      </w:r>
    </w:p>
    <w:p>
      <w:pPr>
        <w:pStyle w:val="BodyText"/>
        <w:spacing w:line="249" w:lineRule="auto" w:before="81"/>
        <w:ind w:right="258"/>
      </w:pPr>
      <w:r>
        <w:rPr>
          <w:color w:val="0B0B0B"/>
        </w:rPr>
        <w:t>Los artículos 27, fracción I y 147, fracción I de la Ley del ISR señalan que las deducciones autorizadas, deberán de cumplir entre otros requisitos, con el ser estrictamente indispensables para los fines de la actividad del contribuyente.</w:t>
      </w:r>
    </w:p>
    <w:p>
      <w:pPr>
        <w:pStyle w:val="BodyText"/>
        <w:spacing w:line="249" w:lineRule="auto" w:before="74"/>
        <w:ind w:right="258"/>
      </w:pPr>
      <w:r>
        <w:rPr>
          <w:color w:val="0B0B0B"/>
        </w:rPr>
        <w:t>El artículo 5o., fracción I de la Ley del IVA señala que para que sea acreditable el IVA, entre otros requisitos, deberán ser estrictamente indispensables las erogaciones efectuadas por el contribuyente y deducibles para los fines del ISR.</w:t>
      </w:r>
    </w:p>
    <w:p>
      <w:pPr>
        <w:pStyle w:val="BodyText"/>
        <w:spacing w:line="249" w:lineRule="auto" w:before="75"/>
        <w:ind w:right="255"/>
      </w:pPr>
      <w:r>
        <w:rPr>
          <w:color w:val="0B0B0B"/>
        </w:rPr>
        <w:t>En virtud de lo establecido en los párrafos</w:t>
      </w:r>
      <w:r>
        <w:rPr>
          <w:color w:val="0B0B0B"/>
        </w:rPr>
        <w:t> anteriores, se considera que las aportaciones que realizan los contribuyentes a los sindicatos para cubrir sus gastos o costos, no son conceptos deducibles para los efectos de la Ley del ISR, en virtud de que no corresponden a erogaciones estrictamente indispensables para los contribuyentes</w:t>
      </w:r>
      <w:r>
        <w:rPr>
          <w:color w:val="0B0B0B"/>
          <w:spacing w:val="-2"/>
        </w:rPr>
        <w:t> </w:t>
      </w:r>
      <w:r>
        <w:rPr>
          <w:color w:val="0B0B0B"/>
        </w:rPr>
        <w:t>y,</w:t>
      </w:r>
      <w:r>
        <w:rPr>
          <w:color w:val="0B0B0B"/>
          <w:spacing w:val="-2"/>
        </w:rPr>
        <w:t> </w:t>
      </w:r>
      <w:r>
        <w:rPr>
          <w:color w:val="0B0B0B"/>
        </w:rPr>
        <w:t>por</w:t>
      </w:r>
      <w:r>
        <w:rPr>
          <w:color w:val="0B0B0B"/>
          <w:spacing w:val="-2"/>
        </w:rPr>
        <w:t> </w:t>
      </w:r>
      <w:r>
        <w:rPr>
          <w:color w:val="0B0B0B"/>
        </w:rPr>
        <w:t>ende,</w:t>
      </w:r>
      <w:r>
        <w:rPr>
          <w:color w:val="0B0B0B"/>
          <w:spacing w:val="-2"/>
        </w:rPr>
        <w:t> </w:t>
      </w:r>
      <w:r>
        <w:rPr>
          <w:color w:val="0B0B0B"/>
        </w:rPr>
        <w:t>no</w:t>
      </w:r>
      <w:r>
        <w:rPr>
          <w:color w:val="0B0B0B"/>
          <w:spacing w:val="-2"/>
        </w:rPr>
        <w:t> </w:t>
      </w:r>
      <w:r>
        <w:rPr>
          <w:color w:val="0B0B0B"/>
        </w:rPr>
        <w:t>cumplen</w:t>
      </w:r>
      <w:r>
        <w:rPr>
          <w:color w:val="0B0B0B"/>
          <w:spacing w:val="-2"/>
        </w:rPr>
        <w:t> </w:t>
      </w:r>
      <w:r>
        <w:rPr>
          <w:color w:val="0B0B0B"/>
        </w:rPr>
        <w:t>requisitos</w:t>
      </w:r>
      <w:r>
        <w:rPr>
          <w:color w:val="0B0B0B"/>
          <w:spacing w:val="-4"/>
        </w:rPr>
        <w:t> </w:t>
      </w:r>
      <w:r>
        <w:rPr>
          <w:color w:val="0B0B0B"/>
        </w:rPr>
        <w:t>para</w:t>
      </w:r>
      <w:r>
        <w:rPr>
          <w:color w:val="0B0B0B"/>
          <w:spacing w:val="-2"/>
        </w:rPr>
        <w:t> </w:t>
      </w:r>
      <w:r>
        <w:rPr>
          <w:color w:val="0B0B0B"/>
        </w:rPr>
        <w:t>que</w:t>
      </w:r>
      <w:r>
        <w:rPr>
          <w:color w:val="0B0B0B"/>
          <w:spacing w:val="-2"/>
        </w:rPr>
        <w:t> </w:t>
      </w:r>
      <w:r>
        <w:rPr>
          <w:color w:val="0B0B0B"/>
        </w:rPr>
        <w:t>el</w:t>
      </w:r>
      <w:r>
        <w:rPr>
          <w:color w:val="0B0B0B"/>
          <w:spacing w:val="-3"/>
        </w:rPr>
        <w:t> </w:t>
      </w:r>
      <w:r>
        <w:rPr>
          <w:color w:val="0B0B0B"/>
        </w:rPr>
        <w:t>IVA</w:t>
      </w:r>
      <w:r>
        <w:rPr>
          <w:color w:val="0B0B0B"/>
          <w:spacing w:val="-3"/>
        </w:rPr>
        <w:t> </w:t>
      </w:r>
      <w:r>
        <w:rPr>
          <w:color w:val="0B0B0B"/>
        </w:rPr>
        <w:t>correspondiente</w:t>
      </w:r>
      <w:r>
        <w:rPr>
          <w:color w:val="0B0B0B"/>
          <w:spacing w:val="-3"/>
        </w:rPr>
        <w:t> </w:t>
      </w:r>
      <w:r>
        <w:rPr>
          <w:color w:val="0B0B0B"/>
        </w:rPr>
        <w:t>sea acreditable, ya que estos no inciden en la realización de las actividades de los contribuyentes y en la consecuente obtención de ingresos, ni repercuten de manera alguna en la realización de sus actividades por no erogarlos.</w:t>
      </w:r>
    </w:p>
    <w:p>
      <w:pPr>
        <w:pStyle w:val="BodyText"/>
        <w:spacing w:line="249" w:lineRule="auto" w:before="77"/>
        <w:ind w:right="257"/>
      </w:pPr>
      <w:r>
        <w:rPr>
          <w:color w:val="0B0B0B"/>
        </w:rPr>
        <w:t>Asimismo, de conformidad con el artículo 86, segundo párrafo de la Ley del ISR, los sindicatos de obreros no tienen la obligación de expedir ni recabar los comprobantes fiscales</w:t>
      </w:r>
      <w:r>
        <w:rPr>
          <w:color w:val="0B0B0B"/>
          <w:spacing w:val="-1"/>
        </w:rPr>
        <w:t> </w:t>
      </w:r>
      <w:r>
        <w:rPr>
          <w:color w:val="0B0B0B"/>
        </w:rPr>
        <w:t>que</w:t>
      </w:r>
      <w:r>
        <w:rPr>
          <w:color w:val="0B0B0B"/>
          <w:spacing w:val="-1"/>
        </w:rPr>
        <w:t> </w:t>
      </w:r>
      <w:r>
        <w:rPr>
          <w:color w:val="0B0B0B"/>
        </w:rPr>
        <w:t>acrediten</w:t>
      </w:r>
      <w:r>
        <w:rPr>
          <w:color w:val="0B0B0B"/>
          <w:spacing w:val="-2"/>
        </w:rPr>
        <w:t> </w:t>
      </w:r>
      <w:r>
        <w:rPr>
          <w:color w:val="0B0B0B"/>
        </w:rPr>
        <w:t>las enajenaciones</w:t>
      </w:r>
      <w:r>
        <w:rPr>
          <w:color w:val="0B0B0B"/>
          <w:spacing w:val="-1"/>
        </w:rPr>
        <w:t> </w:t>
      </w:r>
      <w:r>
        <w:rPr>
          <w:color w:val="0B0B0B"/>
        </w:rPr>
        <w:t>y</w:t>
      </w:r>
      <w:r>
        <w:rPr>
          <w:color w:val="0B0B0B"/>
          <w:spacing w:val="-2"/>
        </w:rPr>
        <w:t> </w:t>
      </w:r>
      <w:r>
        <w:rPr>
          <w:color w:val="0B0B0B"/>
        </w:rPr>
        <w:t>erogaciones</w:t>
      </w:r>
      <w:r>
        <w:rPr>
          <w:color w:val="0B0B0B"/>
          <w:spacing w:val="-2"/>
        </w:rPr>
        <w:t> </w:t>
      </w:r>
      <w:r>
        <w:rPr>
          <w:color w:val="0B0B0B"/>
        </w:rPr>
        <w:t>que</w:t>
      </w:r>
      <w:r>
        <w:rPr>
          <w:color w:val="0B0B0B"/>
          <w:spacing w:val="-1"/>
        </w:rPr>
        <w:t> </w:t>
      </w:r>
      <w:r>
        <w:rPr>
          <w:color w:val="0B0B0B"/>
        </w:rPr>
        <w:t>efectúen,</w:t>
      </w:r>
      <w:r>
        <w:rPr>
          <w:color w:val="0B0B0B"/>
          <w:spacing w:val="-1"/>
        </w:rPr>
        <w:t> </w:t>
      </w:r>
      <w:r>
        <w:rPr>
          <w:color w:val="0B0B0B"/>
        </w:rPr>
        <w:t>los</w:t>
      </w:r>
      <w:r>
        <w:rPr>
          <w:color w:val="0B0B0B"/>
          <w:spacing w:val="-2"/>
        </w:rPr>
        <w:t> </w:t>
      </w:r>
      <w:r>
        <w:rPr>
          <w:color w:val="0B0B0B"/>
        </w:rPr>
        <w:t>servicios que presten o el otorgamiento del uso o goce temporal de bienes, excepto por aquellas actividades que de realizarse por otra persona quedarían comprendidas en el artículo</w:t>
      </w:r>
    </w:p>
    <w:p>
      <w:pPr>
        <w:pStyle w:val="BodyText"/>
        <w:spacing w:line="249" w:lineRule="auto" w:before="4"/>
        <w:ind w:right="259"/>
      </w:pPr>
      <w:r>
        <w:rPr>
          <w:color w:val="0B0B0B"/>
        </w:rPr>
        <w:t>16 del CFF, actividades empresariales, por lo que los contribuyentes no tienen posibilidad jurídica de recabar el comprobante fiscal respectivo por las aportaciones que entrega y, por ello, se incumple con el requisito a que se refieren los artículos 27, fracción III y 147, fracción IV de la Ley del ISR.</w:t>
      </w:r>
    </w:p>
    <w:p>
      <w:pPr>
        <w:pStyle w:val="BodyText"/>
        <w:spacing w:before="75"/>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2"/>
        </w:numPr>
        <w:tabs>
          <w:tab w:pos="2664" w:val="left" w:leader="none"/>
        </w:tabs>
        <w:spacing w:line="249" w:lineRule="auto" w:before="81" w:after="0"/>
        <w:ind w:left="2664" w:right="260" w:hanging="504"/>
        <w:jc w:val="both"/>
        <w:rPr>
          <w:sz w:val="18"/>
        </w:rPr>
      </w:pPr>
      <w:r>
        <w:rPr>
          <w:color w:val="0B0B0B"/>
          <w:sz w:val="18"/>
        </w:rPr>
        <w:t>Deducir para los efectos del ISR o acreditar el IVA, el pago realizado a los sindicatos para que estos cubran sus gastos o costos y el IVA trasladado.</w:t>
      </w:r>
    </w:p>
    <w:p>
      <w:pPr>
        <w:pStyle w:val="ListParagraph"/>
        <w:numPr>
          <w:ilvl w:val="0"/>
          <w:numId w:val="22"/>
        </w:numPr>
        <w:tabs>
          <w:tab w:pos="2664" w:val="left" w:leader="none"/>
        </w:tabs>
        <w:spacing w:line="249" w:lineRule="auto" w:before="74"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line="249" w:lineRule="auto" w:before="73"/>
        <w:ind w:right="260"/>
      </w:pPr>
      <w:r>
        <w:rPr>
          <w:color w:val="0B0B0B"/>
        </w:rPr>
        <w:t>Se considera que también realizan una práctica fiscal indebida los sindicatos, a través de los cuales, se lleve a cabo la conducta a que se refiere el presente criterio.</w:t>
      </w:r>
    </w:p>
    <w:p>
      <w:pPr>
        <w:pStyle w:val="BodyText"/>
        <w:spacing w:before="0"/>
        <w:ind w:left="0"/>
        <w:jc w:val="left"/>
        <w:rPr>
          <w:sz w:val="6"/>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14"/>
        <w:gridCol w:w="4254"/>
      </w:tblGrid>
      <w:tr>
        <w:trPr>
          <w:trHeight w:val="287" w:hRule="atLeast"/>
        </w:trPr>
        <w:tc>
          <w:tcPr>
            <w:tcW w:w="2614"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4254" w:type="dxa"/>
            <w:shd w:val="clear" w:color="auto" w:fill="BDBDBD"/>
          </w:tcPr>
          <w:p>
            <w:pPr>
              <w:pStyle w:val="TableParagraph"/>
              <w:spacing w:before="22"/>
              <w:ind w:left="138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27" w:hRule="atLeast"/>
        </w:trPr>
        <w:tc>
          <w:tcPr>
            <w:tcW w:w="2614" w:type="dxa"/>
            <w:tcBorders>
              <w:bottom w:val="nil"/>
            </w:tcBorders>
          </w:tcPr>
          <w:p>
            <w:pPr>
              <w:pStyle w:val="TableParagraph"/>
              <w:tabs>
                <w:tab w:pos="1141" w:val="left" w:leader="none"/>
                <w:tab w:pos="2362" w:val="left" w:leader="none"/>
              </w:tabs>
              <w:spacing w:line="184" w:lineRule="exact"/>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5"/>
                <w:sz w:val="16"/>
              </w:rPr>
              <w:t>de</w:t>
            </w:r>
          </w:p>
        </w:tc>
        <w:tc>
          <w:tcPr>
            <w:tcW w:w="4254" w:type="dxa"/>
            <w:tcBorders>
              <w:bottom w:val="nil"/>
            </w:tcBorders>
          </w:tcPr>
          <w:p>
            <w:pPr>
              <w:pStyle w:val="TableParagraph"/>
              <w:spacing w:line="184" w:lineRule="exact"/>
              <w:rPr>
                <w:sz w:val="16"/>
              </w:rPr>
            </w:pPr>
            <w:r>
              <w:rPr>
                <w:color w:val="0B0B0B"/>
                <w:sz w:val="16"/>
              </w:rPr>
              <w:t>Publicada</w:t>
            </w:r>
            <w:r>
              <w:rPr>
                <w:color w:val="0B0B0B"/>
                <w:spacing w:val="36"/>
                <w:sz w:val="16"/>
              </w:rPr>
              <w:t> </w:t>
            </w:r>
            <w:r>
              <w:rPr>
                <w:color w:val="0B0B0B"/>
                <w:sz w:val="16"/>
              </w:rPr>
              <w:t>en</w:t>
            </w:r>
            <w:r>
              <w:rPr>
                <w:color w:val="0B0B0B"/>
                <w:spacing w:val="36"/>
                <w:sz w:val="16"/>
              </w:rPr>
              <w:t> </w:t>
            </w:r>
            <w:r>
              <w:rPr>
                <w:color w:val="0B0B0B"/>
                <w:sz w:val="16"/>
              </w:rPr>
              <w:t>el</w:t>
            </w:r>
            <w:r>
              <w:rPr>
                <w:color w:val="0B0B0B"/>
                <w:spacing w:val="36"/>
                <w:sz w:val="16"/>
              </w:rPr>
              <w:t> </w:t>
            </w:r>
            <w:r>
              <w:rPr>
                <w:color w:val="0B0B0B"/>
                <w:sz w:val="16"/>
              </w:rPr>
              <w:t>DOF</w:t>
            </w:r>
            <w:r>
              <w:rPr>
                <w:color w:val="0B0B0B"/>
                <w:spacing w:val="37"/>
                <w:sz w:val="16"/>
              </w:rPr>
              <w:t> </w:t>
            </w:r>
            <w:r>
              <w:rPr>
                <w:color w:val="0B0B0B"/>
                <w:sz w:val="16"/>
              </w:rPr>
              <w:t>el</w:t>
            </w:r>
            <w:r>
              <w:rPr>
                <w:color w:val="0B0B0B"/>
                <w:spacing w:val="36"/>
                <w:sz w:val="16"/>
              </w:rPr>
              <w:t> </w:t>
            </w:r>
            <w:r>
              <w:rPr>
                <w:color w:val="0B0B0B"/>
                <w:sz w:val="16"/>
              </w:rPr>
              <w:t>4</w:t>
            </w:r>
            <w:r>
              <w:rPr>
                <w:color w:val="0B0B0B"/>
                <w:spacing w:val="36"/>
                <w:sz w:val="16"/>
              </w:rPr>
              <w:t> </w:t>
            </w:r>
            <w:r>
              <w:rPr>
                <w:color w:val="0B0B0B"/>
                <w:sz w:val="16"/>
              </w:rPr>
              <w:t>de</w:t>
            </w:r>
            <w:r>
              <w:rPr>
                <w:color w:val="0B0B0B"/>
                <w:spacing w:val="37"/>
                <w:sz w:val="16"/>
              </w:rPr>
              <w:t> </w:t>
            </w:r>
            <w:r>
              <w:rPr>
                <w:color w:val="0B0B0B"/>
                <w:sz w:val="16"/>
              </w:rPr>
              <w:t>julio</w:t>
            </w:r>
            <w:r>
              <w:rPr>
                <w:color w:val="0B0B0B"/>
                <w:spacing w:val="36"/>
                <w:sz w:val="16"/>
              </w:rPr>
              <w:t> </w:t>
            </w:r>
            <w:r>
              <w:rPr>
                <w:color w:val="0B0B0B"/>
                <w:sz w:val="16"/>
              </w:rPr>
              <w:t>de</w:t>
            </w:r>
            <w:r>
              <w:rPr>
                <w:color w:val="0B0B0B"/>
                <w:spacing w:val="36"/>
                <w:sz w:val="16"/>
              </w:rPr>
              <w:t> </w:t>
            </w:r>
            <w:r>
              <w:rPr>
                <w:color w:val="0B0B0B"/>
                <w:sz w:val="16"/>
              </w:rPr>
              <w:t>2014,</w:t>
            </w:r>
            <w:r>
              <w:rPr>
                <w:color w:val="0B0B0B"/>
                <w:spacing w:val="37"/>
                <w:sz w:val="16"/>
              </w:rPr>
              <w:t> </w:t>
            </w:r>
            <w:r>
              <w:rPr>
                <w:color w:val="0B0B0B"/>
                <w:sz w:val="16"/>
              </w:rPr>
              <w:t>Anexo</w:t>
            </w:r>
            <w:r>
              <w:rPr>
                <w:color w:val="0B0B0B"/>
                <w:spacing w:val="36"/>
                <w:sz w:val="16"/>
              </w:rPr>
              <w:t> </w:t>
            </w:r>
            <w:r>
              <w:rPr>
                <w:color w:val="0B0B0B"/>
                <w:spacing w:val="-5"/>
                <w:sz w:val="16"/>
              </w:rPr>
              <w:t>3,</w:t>
            </w:r>
          </w:p>
        </w:tc>
      </w:tr>
      <w:tr>
        <w:trPr>
          <w:trHeight w:val="216" w:hRule="atLeast"/>
        </w:trPr>
        <w:tc>
          <w:tcPr>
            <w:tcW w:w="2614" w:type="dxa"/>
            <w:tcBorders>
              <w:top w:val="nil"/>
              <w:bottom w:val="nil"/>
            </w:tcBorders>
          </w:tcPr>
          <w:p>
            <w:pPr>
              <w:pStyle w:val="TableParagraph"/>
              <w:spacing w:line="184" w:lineRule="exact" w:before="12"/>
              <w:rPr>
                <w:sz w:val="16"/>
              </w:rPr>
            </w:pPr>
            <w:r>
              <w:rPr>
                <w:color w:val="0B0B0B"/>
                <w:sz w:val="16"/>
              </w:rPr>
              <w:t>Modificaciones</w:t>
            </w:r>
            <w:r>
              <w:rPr>
                <w:color w:val="0B0B0B"/>
                <w:spacing w:val="59"/>
                <w:w w:val="150"/>
                <w:sz w:val="16"/>
              </w:rPr>
              <w:t> </w:t>
            </w:r>
            <w:r>
              <w:rPr>
                <w:color w:val="0B0B0B"/>
                <w:sz w:val="16"/>
              </w:rPr>
              <w:t>a</w:t>
            </w:r>
            <w:r>
              <w:rPr>
                <w:color w:val="0B0B0B"/>
                <w:spacing w:val="63"/>
                <w:w w:val="150"/>
                <w:sz w:val="16"/>
              </w:rPr>
              <w:t> </w:t>
            </w:r>
            <w:r>
              <w:rPr>
                <w:color w:val="0B0B0B"/>
                <w:sz w:val="16"/>
              </w:rPr>
              <w:t>la</w:t>
            </w:r>
            <w:r>
              <w:rPr>
                <w:color w:val="0B0B0B"/>
                <w:spacing w:val="63"/>
                <w:w w:val="150"/>
                <w:sz w:val="16"/>
              </w:rPr>
              <w:t> </w:t>
            </w:r>
            <w:r>
              <w:rPr>
                <w:color w:val="0B0B0B"/>
                <w:sz w:val="16"/>
              </w:rPr>
              <w:t>RMF</w:t>
            </w:r>
            <w:r>
              <w:rPr>
                <w:color w:val="0B0B0B"/>
                <w:spacing w:val="62"/>
                <w:w w:val="150"/>
                <w:sz w:val="16"/>
              </w:rPr>
              <w:t> </w:t>
            </w:r>
            <w:r>
              <w:rPr>
                <w:color w:val="0B0B0B"/>
                <w:spacing w:val="-4"/>
                <w:sz w:val="16"/>
              </w:rPr>
              <w:t>para</w:t>
            </w:r>
          </w:p>
        </w:tc>
        <w:tc>
          <w:tcPr>
            <w:tcW w:w="4254" w:type="dxa"/>
            <w:tcBorders>
              <w:top w:val="nil"/>
              <w:bottom w:val="nil"/>
            </w:tcBorders>
          </w:tcPr>
          <w:p>
            <w:pPr>
              <w:pStyle w:val="TableParagraph"/>
              <w:spacing w:line="184" w:lineRule="exact" w:before="12"/>
              <w:rPr>
                <w:sz w:val="16"/>
              </w:rPr>
            </w:pPr>
            <w:r>
              <w:rPr>
                <w:color w:val="0B0B0B"/>
                <w:sz w:val="16"/>
              </w:rPr>
              <w:t>publicado</w:t>
            </w:r>
            <w:r>
              <w:rPr>
                <w:color w:val="0B0B0B"/>
                <w:spacing w:val="19"/>
                <w:sz w:val="16"/>
              </w:rPr>
              <w:t> </w:t>
            </w:r>
            <w:r>
              <w:rPr>
                <w:color w:val="0B0B0B"/>
                <w:sz w:val="16"/>
              </w:rPr>
              <w:t>en</w:t>
            </w:r>
            <w:r>
              <w:rPr>
                <w:color w:val="0B0B0B"/>
                <w:spacing w:val="19"/>
                <w:sz w:val="16"/>
              </w:rPr>
              <w:t> </w:t>
            </w:r>
            <w:r>
              <w:rPr>
                <w:color w:val="0B0B0B"/>
                <w:sz w:val="16"/>
              </w:rPr>
              <w:t>el</w:t>
            </w:r>
            <w:r>
              <w:rPr>
                <w:color w:val="0B0B0B"/>
                <w:spacing w:val="20"/>
                <w:sz w:val="16"/>
              </w:rPr>
              <w:t> </w:t>
            </w:r>
            <w:r>
              <w:rPr>
                <w:color w:val="0B0B0B"/>
                <w:sz w:val="16"/>
              </w:rPr>
              <w:t>DOF</w:t>
            </w:r>
            <w:r>
              <w:rPr>
                <w:color w:val="0B0B0B"/>
                <w:spacing w:val="19"/>
                <w:sz w:val="16"/>
              </w:rPr>
              <w:t> </w:t>
            </w:r>
            <w:r>
              <w:rPr>
                <w:color w:val="0B0B0B"/>
                <w:sz w:val="16"/>
              </w:rPr>
              <w:t>el</w:t>
            </w:r>
            <w:r>
              <w:rPr>
                <w:color w:val="0B0B0B"/>
                <w:spacing w:val="19"/>
                <w:sz w:val="16"/>
              </w:rPr>
              <w:t> </w:t>
            </w:r>
            <w:r>
              <w:rPr>
                <w:color w:val="0B0B0B"/>
                <w:sz w:val="16"/>
              </w:rPr>
              <w:t>17</w:t>
            </w:r>
            <w:r>
              <w:rPr>
                <w:color w:val="0B0B0B"/>
                <w:spacing w:val="20"/>
                <w:sz w:val="16"/>
              </w:rPr>
              <w:t> </w:t>
            </w:r>
            <w:r>
              <w:rPr>
                <w:color w:val="0B0B0B"/>
                <w:sz w:val="16"/>
              </w:rPr>
              <w:t>de</w:t>
            </w:r>
            <w:r>
              <w:rPr>
                <w:color w:val="0B0B0B"/>
                <w:spacing w:val="19"/>
                <w:sz w:val="16"/>
              </w:rPr>
              <w:t> </w:t>
            </w:r>
            <w:r>
              <w:rPr>
                <w:color w:val="0B0B0B"/>
                <w:sz w:val="16"/>
              </w:rPr>
              <w:t>julio</w:t>
            </w:r>
            <w:r>
              <w:rPr>
                <w:color w:val="0B0B0B"/>
                <w:spacing w:val="19"/>
                <w:sz w:val="16"/>
              </w:rPr>
              <w:t> </w:t>
            </w:r>
            <w:r>
              <w:rPr>
                <w:color w:val="0B0B0B"/>
                <w:sz w:val="16"/>
              </w:rPr>
              <w:t>de</w:t>
            </w:r>
            <w:r>
              <w:rPr>
                <w:color w:val="0B0B0B"/>
                <w:spacing w:val="20"/>
                <w:sz w:val="16"/>
              </w:rPr>
              <w:t> </w:t>
            </w:r>
            <w:r>
              <w:rPr>
                <w:color w:val="0B0B0B"/>
                <w:sz w:val="16"/>
              </w:rPr>
              <w:t>2014;</w:t>
            </w:r>
            <w:r>
              <w:rPr>
                <w:color w:val="0B0B0B"/>
                <w:spacing w:val="19"/>
                <w:sz w:val="16"/>
              </w:rPr>
              <w:t> </w:t>
            </w:r>
            <w:r>
              <w:rPr>
                <w:color w:val="0B0B0B"/>
                <w:sz w:val="16"/>
              </w:rPr>
              <w:t>RMF</w:t>
            </w:r>
            <w:r>
              <w:rPr>
                <w:color w:val="0B0B0B"/>
                <w:spacing w:val="19"/>
                <w:sz w:val="16"/>
              </w:rPr>
              <w:t> </w:t>
            </w:r>
            <w:r>
              <w:rPr>
                <w:color w:val="0B0B0B"/>
                <w:spacing w:val="-4"/>
                <w:sz w:val="16"/>
              </w:rPr>
              <w:t>2016</w:t>
            </w:r>
          </w:p>
        </w:tc>
      </w:tr>
      <w:tr>
        <w:trPr>
          <w:trHeight w:val="216" w:hRule="atLeast"/>
        </w:trPr>
        <w:tc>
          <w:tcPr>
            <w:tcW w:w="2614" w:type="dxa"/>
            <w:tcBorders>
              <w:top w:val="nil"/>
              <w:bottom w:val="nil"/>
            </w:tcBorders>
          </w:tcPr>
          <w:p>
            <w:pPr>
              <w:pStyle w:val="TableParagraph"/>
              <w:spacing w:line="184" w:lineRule="exact" w:before="12"/>
              <w:rPr>
                <w:sz w:val="16"/>
              </w:rPr>
            </w:pPr>
            <w:r>
              <w:rPr>
                <w:color w:val="0B0B0B"/>
                <w:spacing w:val="-4"/>
                <w:sz w:val="16"/>
              </w:rPr>
              <w:t>2014</w:t>
            </w:r>
          </w:p>
        </w:tc>
        <w:tc>
          <w:tcPr>
            <w:tcW w:w="4254" w:type="dxa"/>
            <w:tcBorders>
              <w:top w:val="nil"/>
              <w:bottom w:val="nil"/>
            </w:tcBorders>
          </w:tcPr>
          <w:p>
            <w:pPr>
              <w:pStyle w:val="TableParagraph"/>
              <w:spacing w:line="184" w:lineRule="exact" w:before="12"/>
              <w:rPr>
                <w:sz w:val="16"/>
              </w:rPr>
            </w:pPr>
            <w:r>
              <w:rPr>
                <w:color w:val="0B0B0B"/>
                <w:sz w:val="16"/>
              </w:rPr>
              <w:t>publicada</w:t>
            </w:r>
            <w:r>
              <w:rPr>
                <w:color w:val="0B0B0B"/>
                <w:spacing w:val="64"/>
                <w:w w:val="150"/>
                <w:sz w:val="16"/>
              </w:rPr>
              <w:t> </w:t>
            </w:r>
            <w:r>
              <w:rPr>
                <w:color w:val="0B0B0B"/>
                <w:sz w:val="16"/>
              </w:rPr>
              <w:t>el</w:t>
            </w:r>
            <w:r>
              <w:rPr>
                <w:color w:val="0B0B0B"/>
                <w:spacing w:val="64"/>
                <w:w w:val="150"/>
                <w:sz w:val="16"/>
              </w:rPr>
              <w:t> </w:t>
            </w:r>
            <w:r>
              <w:rPr>
                <w:color w:val="0B0B0B"/>
                <w:sz w:val="16"/>
              </w:rPr>
              <w:t>23</w:t>
            </w:r>
            <w:r>
              <w:rPr>
                <w:color w:val="0B0B0B"/>
                <w:spacing w:val="64"/>
                <w:w w:val="150"/>
                <w:sz w:val="16"/>
              </w:rPr>
              <w:t> </w:t>
            </w:r>
            <w:r>
              <w:rPr>
                <w:color w:val="0B0B0B"/>
                <w:sz w:val="16"/>
              </w:rPr>
              <w:t>de</w:t>
            </w:r>
            <w:r>
              <w:rPr>
                <w:color w:val="0B0B0B"/>
                <w:spacing w:val="65"/>
                <w:w w:val="150"/>
                <w:sz w:val="16"/>
              </w:rPr>
              <w:t> </w:t>
            </w:r>
            <w:r>
              <w:rPr>
                <w:color w:val="0B0B0B"/>
                <w:sz w:val="16"/>
              </w:rPr>
              <w:t>diciembre</w:t>
            </w:r>
            <w:r>
              <w:rPr>
                <w:color w:val="0B0B0B"/>
                <w:spacing w:val="64"/>
                <w:w w:val="150"/>
                <w:sz w:val="16"/>
              </w:rPr>
              <w:t> </w:t>
            </w:r>
            <w:r>
              <w:rPr>
                <w:color w:val="0B0B0B"/>
                <w:sz w:val="16"/>
              </w:rPr>
              <w:t>de</w:t>
            </w:r>
            <w:r>
              <w:rPr>
                <w:color w:val="0B0B0B"/>
                <w:spacing w:val="64"/>
                <w:w w:val="150"/>
                <w:sz w:val="16"/>
              </w:rPr>
              <w:t> </w:t>
            </w:r>
            <w:r>
              <w:rPr>
                <w:color w:val="0B0B0B"/>
                <w:sz w:val="16"/>
              </w:rPr>
              <w:t>2015,</w:t>
            </w:r>
            <w:r>
              <w:rPr>
                <w:color w:val="0B0B0B"/>
                <w:spacing w:val="65"/>
                <w:w w:val="150"/>
                <w:sz w:val="16"/>
              </w:rPr>
              <w:t> </w:t>
            </w:r>
            <w:r>
              <w:rPr>
                <w:color w:val="0B0B0B"/>
                <w:sz w:val="16"/>
              </w:rPr>
              <w:t>Anexo</w:t>
            </w:r>
            <w:r>
              <w:rPr>
                <w:color w:val="0B0B0B"/>
                <w:spacing w:val="64"/>
                <w:w w:val="150"/>
                <w:sz w:val="16"/>
              </w:rPr>
              <w:t> </w:t>
            </w:r>
            <w:r>
              <w:rPr>
                <w:color w:val="0B0B0B"/>
                <w:spacing w:val="-5"/>
                <w:sz w:val="16"/>
              </w:rPr>
              <w:t>3,</w:t>
            </w:r>
          </w:p>
        </w:tc>
      </w:tr>
      <w:tr>
        <w:trPr>
          <w:trHeight w:val="276" w:hRule="atLeast"/>
        </w:trPr>
        <w:tc>
          <w:tcPr>
            <w:tcW w:w="2614" w:type="dxa"/>
            <w:tcBorders>
              <w:top w:val="nil"/>
            </w:tcBorders>
          </w:tcPr>
          <w:p>
            <w:pPr>
              <w:pStyle w:val="TableParagraph"/>
              <w:spacing w:before="0"/>
              <w:ind w:left="0"/>
              <w:rPr>
                <w:rFonts w:ascii="Times New Roman"/>
                <w:sz w:val="16"/>
              </w:rPr>
            </w:pPr>
          </w:p>
        </w:tc>
        <w:tc>
          <w:tcPr>
            <w:tcW w:w="4254" w:type="dxa"/>
            <w:tcBorders>
              <w:top w:val="nil"/>
            </w:tcBorders>
          </w:tcPr>
          <w:p>
            <w:pPr>
              <w:pStyle w:val="TableParagraph"/>
              <w:spacing w:before="12"/>
              <w:rPr>
                <w:sz w:val="16"/>
              </w:rPr>
            </w:pPr>
            <w:r>
              <w:rPr>
                <w:color w:val="0B0B0B"/>
                <w:sz w:val="16"/>
              </w:rPr>
              <w:t>publicado</w:t>
            </w:r>
            <w:r>
              <w:rPr>
                <w:color w:val="0B0B0B"/>
                <w:spacing w:val="-3"/>
                <w:sz w:val="16"/>
              </w:rPr>
              <w:t> </w:t>
            </w:r>
            <w:r>
              <w:rPr>
                <w:color w:val="0B0B0B"/>
                <w:sz w:val="16"/>
              </w:rPr>
              <w:t>el</w:t>
            </w:r>
            <w:r>
              <w:rPr>
                <w:color w:val="0B0B0B"/>
                <w:spacing w:val="-3"/>
                <w:sz w:val="16"/>
              </w:rPr>
              <w:t> </w:t>
            </w:r>
            <w:r>
              <w:rPr>
                <w:color w:val="0B0B0B"/>
                <w:sz w:val="16"/>
              </w:rPr>
              <w:t>12</w:t>
            </w:r>
            <w:r>
              <w:rPr>
                <w:color w:val="0B0B0B"/>
                <w:spacing w:val="-3"/>
                <w:sz w:val="16"/>
              </w:rPr>
              <w:t> </w:t>
            </w:r>
            <w:r>
              <w:rPr>
                <w:color w:val="0B0B0B"/>
                <w:sz w:val="16"/>
              </w:rPr>
              <w:t>de</w:t>
            </w:r>
            <w:r>
              <w:rPr>
                <w:color w:val="0B0B0B"/>
                <w:spacing w:val="-3"/>
                <w:sz w:val="16"/>
              </w:rPr>
              <w:t> </w:t>
            </w:r>
            <w:r>
              <w:rPr>
                <w:color w:val="0B0B0B"/>
                <w:sz w:val="16"/>
              </w:rPr>
              <w:t>enero</w:t>
            </w:r>
            <w:r>
              <w:rPr>
                <w:color w:val="0B0B0B"/>
                <w:spacing w:val="-2"/>
                <w:sz w:val="16"/>
              </w:rPr>
              <w:t> </w:t>
            </w:r>
            <w:r>
              <w:rPr>
                <w:color w:val="0B0B0B"/>
                <w:sz w:val="16"/>
              </w:rPr>
              <w:t>de</w:t>
            </w:r>
            <w:r>
              <w:rPr>
                <w:color w:val="0B0B0B"/>
                <w:spacing w:val="-3"/>
                <w:sz w:val="16"/>
              </w:rPr>
              <w:t> </w:t>
            </w:r>
            <w:r>
              <w:rPr>
                <w:color w:val="0B0B0B"/>
                <w:spacing w:val="-2"/>
                <w:sz w:val="16"/>
              </w:rPr>
              <w:t>2016.</w:t>
            </w:r>
          </w:p>
        </w:tc>
      </w:tr>
    </w:tbl>
    <w:p>
      <w:pPr>
        <w:pStyle w:val="TableParagraph"/>
        <w:spacing w:after="0"/>
        <w:rPr>
          <w:sz w:val="16"/>
        </w:rPr>
        <w:sectPr>
          <w:headerReference w:type="default" r:id="rId25"/>
          <w:pgSz w:w="12240" w:h="15840"/>
          <w:pgMar w:header="690" w:footer="0" w:top="1040" w:bottom="280" w:left="1440" w:right="1440"/>
        </w:sectPr>
      </w:pPr>
    </w:p>
    <w:p>
      <w:pPr>
        <w:pStyle w:val="Heading1"/>
        <w:spacing w:line="249" w:lineRule="auto" w:before="112"/>
        <w:ind w:right="255"/>
        <w:jc w:val="both"/>
      </w:pPr>
      <w:r>
        <w:rPr>
          <w:color w:val="0B0B0B"/>
        </w:rPr>
        <w:t>20/ISR/PI</w:t>
      </w:r>
      <w:r>
        <w:rPr>
          <w:color w:val="0B0B0B"/>
          <w:spacing w:val="40"/>
        </w:rPr>
        <w:t> </w:t>
      </w:r>
      <w:r>
        <w:rPr>
          <w:color w:val="0B0B0B"/>
        </w:rPr>
        <w:t>Pérdidas por enajenación de acciones. Obligación de las sociedades</w:t>
      </w:r>
      <w:r>
        <w:rPr>
          <w:color w:val="0B0B0B"/>
          <w:spacing w:val="40"/>
        </w:rPr>
        <w:t> </w:t>
      </w:r>
      <w:r>
        <w:rPr>
          <w:color w:val="0B0B0B"/>
        </w:rPr>
        <w:t>controladoras de pagar el ISR que se hubiere diferido con motivo de </w:t>
      </w:r>
      <w:r>
        <w:rPr>
          <w:color w:val="0B0B0B"/>
        </w:rPr>
        <w:t>su disminución en la determinación del resultado fiscal consolidado.</w:t>
      </w:r>
    </w:p>
    <w:p>
      <w:pPr>
        <w:pStyle w:val="BodyText"/>
        <w:spacing w:before="82"/>
      </w:pPr>
      <w:r>
        <w:rPr>
          <w:color w:val="0B0B0B"/>
        </w:rPr>
        <w:t>El</w:t>
      </w:r>
      <w:r>
        <w:rPr>
          <w:color w:val="0B0B0B"/>
          <w:spacing w:val="3"/>
        </w:rPr>
        <w:t> </w:t>
      </w:r>
      <w:r>
        <w:rPr>
          <w:color w:val="0B0B0B"/>
        </w:rPr>
        <w:t>artículo</w:t>
      </w:r>
      <w:r>
        <w:rPr>
          <w:color w:val="0B0B0B"/>
          <w:spacing w:val="4"/>
        </w:rPr>
        <w:t> </w:t>
      </w:r>
      <w:r>
        <w:rPr>
          <w:color w:val="0B0B0B"/>
        </w:rPr>
        <w:t>68,</w:t>
      </w:r>
      <w:r>
        <w:rPr>
          <w:color w:val="0B0B0B"/>
          <w:spacing w:val="3"/>
        </w:rPr>
        <w:t> </w:t>
      </w:r>
      <w:r>
        <w:rPr>
          <w:color w:val="0B0B0B"/>
        </w:rPr>
        <w:t>fracción</w:t>
      </w:r>
      <w:r>
        <w:rPr>
          <w:color w:val="0B0B0B"/>
          <w:spacing w:val="4"/>
        </w:rPr>
        <w:t> </w:t>
      </w:r>
      <w:r>
        <w:rPr>
          <w:color w:val="0B0B0B"/>
        </w:rPr>
        <w:t>I,</w:t>
      </w:r>
      <w:r>
        <w:rPr>
          <w:color w:val="0B0B0B"/>
          <w:spacing w:val="4"/>
        </w:rPr>
        <w:t> </w:t>
      </w:r>
      <w:r>
        <w:rPr>
          <w:color w:val="0B0B0B"/>
        </w:rPr>
        <w:t>inciso</w:t>
      </w:r>
      <w:r>
        <w:rPr>
          <w:color w:val="0B0B0B"/>
          <w:spacing w:val="3"/>
        </w:rPr>
        <w:t> </w:t>
      </w:r>
      <w:r>
        <w:rPr>
          <w:color w:val="0B0B0B"/>
        </w:rPr>
        <w:t>e)</w:t>
      </w:r>
      <w:r>
        <w:rPr>
          <w:color w:val="0B0B0B"/>
          <w:spacing w:val="4"/>
        </w:rPr>
        <w:t> </w:t>
      </w:r>
      <w:r>
        <w:rPr>
          <w:color w:val="0B0B0B"/>
        </w:rPr>
        <w:t>de</w:t>
      </w:r>
      <w:r>
        <w:rPr>
          <w:color w:val="0B0B0B"/>
          <w:spacing w:val="3"/>
        </w:rPr>
        <w:t> </w:t>
      </w:r>
      <w:r>
        <w:rPr>
          <w:color w:val="0B0B0B"/>
        </w:rPr>
        <w:t>la</w:t>
      </w:r>
      <w:r>
        <w:rPr>
          <w:color w:val="0B0B0B"/>
          <w:spacing w:val="4"/>
        </w:rPr>
        <w:t> </w:t>
      </w:r>
      <w:r>
        <w:rPr>
          <w:color w:val="0B0B0B"/>
        </w:rPr>
        <w:t>Ley</w:t>
      </w:r>
      <w:r>
        <w:rPr>
          <w:color w:val="0B0B0B"/>
          <w:spacing w:val="4"/>
        </w:rPr>
        <w:t> </w:t>
      </w:r>
      <w:r>
        <w:rPr>
          <w:color w:val="0B0B0B"/>
        </w:rPr>
        <w:t>del</w:t>
      </w:r>
      <w:r>
        <w:rPr>
          <w:color w:val="0B0B0B"/>
          <w:spacing w:val="4"/>
        </w:rPr>
        <w:t> </w:t>
      </w:r>
      <w:r>
        <w:rPr>
          <w:color w:val="0B0B0B"/>
        </w:rPr>
        <w:t>ISR</w:t>
      </w:r>
      <w:r>
        <w:rPr>
          <w:color w:val="0B0B0B"/>
          <w:spacing w:val="4"/>
        </w:rPr>
        <w:t> </w:t>
      </w:r>
      <w:r>
        <w:rPr>
          <w:color w:val="0B0B0B"/>
        </w:rPr>
        <w:t>vigente</w:t>
      </w:r>
      <w:r>
        <w:rPr>
          <w:color w:val="0B0B0B"/>
          <w:spacing w:val="3"/>
        </w:rPr>
        <w:t> </w:t>
      </w:r>
      <w:r>
        <w:rPr>
          <w:color w:val="0B0B0B"/>
        </w:rPr>
        <w:t>del</w:t>
      </w:r>
      <w:r>
        <w:rPr>
          <w:color w:val="0B0B0B"/>
          <w:spacing w:val="5"/>
        </w:rPr>
        <w:t> </w:t>
      </w:r>
      <w:r>
        <w:rPr>
          <w:color w:val="0B0B0B"/>
        </w:rPr>
        <w:t>1</w:t>
      </w:r>
      <w:r>
        <w:rPr>
          <w:color w:val="0B0B0B"/>
          <w:spacing w:val="3"/>
        </w:rPr>
        <w:t> </w:t>
      </w:r>
      <w:r>
        <w:rPr>
          <w:color w:val="0B0B0B"/>
        </w:rPr>
        <w:t>de</w:t>
      </w:r>
      <w:r>
        <w:rPr>
          <w:color w:val="0B0B0B"/>
          <w:spacing w:val="4"/>
        </w:rPr>
        <w:t> </w:t>
      </w:r>
      <w:r>
        <w:rPr>
          <w:color w:val="0B0B0B"/>
        </w:rPr>
        <w:t>enero</w:t>
      </w:r>
      <w:r>
        <w:rPr>
          <w:color w:val="0B0B0B"/>
          <w:spacing w:val="4"/>
        </w:rPr>
        <w:t> </w:t>
      </w:r>
      <w:r>
        <w:rPr>
          <w:color w:val="0B0B0B"/>
        </w:rPr>
        <w:t>de</w:t>
      </w:r>
      <w:r>
        <w:rPr>
          <w:color w:val="0B0B0B"/>
          <w:spacing w:val="3"/>
        </w:rPr>
        <w:t> </w:t>
      </w:r>
      <w:r>
        <w:rPr>
          <w:color w:val="0B0B0B"/>
        </w:rPr>
        <w:t>2008</w:t>
      </w:r>
      <w:r>
        <w:rPr>
          <w:color w:val="0B0B0B"/>
          <w:spacing w:val="5"/>
        </w:rPr>
        <w:t> </w:t>
      </w:r>
      <w:r>
        <w:rPr>
          <w:color w:val="0B0B0B"/>
          <w:spacing w:val="-5"/>
        </w:rPr>
        <w:t>al</w:t>
      </w:r>
    </w:p>
    <w:p>
      <w:pPr>
        <w:pStyle w:val="BodyText"/>
        <w:spacing w:line="249" w:lineRule="auto" w:before="9"/>
        <w:ind w:right="257"/>
      </w:pPr>
      <w:r>
        <w:rPr>
          <w:color w:val="0B0B0B"/>
        </w:rPr>
        <w:t>31 de diciembre de 2013, permitió a las sociedades controladoras disminuir las pérdidas por enajenación de acciones emitidas por</w:t>
      </w:r>
      <w:r>
        <w:rPr>
          <w:color w:val="0B0B0B"/>
        </w:rPr>
        <w:t> sus</w:t>
      </w:r>
      <w:r>
        <w:rPr>
          <w:color w:val="0B0B0B"/>
        </w:rPr>
        <w:t> controladas en la</w:t>
      </w:r>
      <w:r>
        <w:rPr>
          <w:color w:val="0B0B0B"/>
          <w:spacing w:val="40"/>
        </w:rPr>
        <w:t> </w:t>
      </w:r>
      <w:r>
        <w:rPr>
          <w:color w:val="0B0B0B"/>
        </w:rPr>
        <w:t>determinación del resultado o la pérdida fiscal consolidados.</w:t>
      </w:r>
    </w:p>
    <w:p>
      <w:pPr>
        <w:pStyle w:val="BodyText"/>
        <w:spacing w:line="249" w:lineRule="auto" w:before="82"/>
        <w:ind w:right="257"/>
      </w:pPr>
      <w:r>
        <w:rPr>
          <w:color w:val="0B0B0B"/>
        </w:rPr>
        <w:t>Para</w:t>
      </w:r>
      <w:r>
        <w:rPr>
          <w:color w:val="0B0B0B"/>
          <w:spacing w:val="-1"/>
        </w:rPr>
        <w:t> </w:t>
      </w:r>
      <w:r>
        <w:rPr>
          <w:color w:val="0B0B0B"/>
        </w:rPr>
        <w:t>tales efectos,</w:t>
      </w:r>
      <w:r>
        <w:rPr>
          <w:color w:val="0B0B0B"/>
          <w:spacing w:val="-1"/>
        </w:rPr>
        <w:t> </w:t>
      </w:r>
      <w:r>
        <w:rPr>
          <w:color w:val="0B0B0B"/>
        </w:rPr>
        <w:t>se</w:t>
      </w:r>
      <w:r>
        <w:rPr>
          <w:color w:val="0B0B0B"/>
          <w:spacing w:val="-1"/>
        </w:rPr>
        <w:t> </w:t>
      </w:r>
      <w:r>
        <w:rPr>
          <w:color w:val="0B0B0B"/>
        </w:rPr>
        <w:t>consideró</w:t>
      </w:r>
      <w:r>
        <w:rPr>
          <w:color w:val="0B0B0B"/>
          <w:spacing w:val="-1"/>
        </w:rPr>
        <w:t> </w:t>
      </w:r>
      <w:r>
        <w:rPr>
          <w:color w:val="0B0B0B"/>
        </w:rPr>
        <w:t>el monto</w:t>
      </w:r>
      <w:r>
        <w:rPr>
          <w:color w:val="0B0B0B"/>
          <w:spacing w:val="-1"/>
        </w:rPr>
        <w:t> </w:t>
      </w:r>
      <w:r>
        <w:rPr>
          <w:color w:val="0B0B0B"/>
        </w:rPr>
        <w:t>de las pérdidas por</w:t>
      </w:r>
      <w:r>
        <w:rPr>
          <w:color w:val="0B0B0B"/>
          <w:spacing w:val="-1"/>
        </w:rPr>
        <w:t> </w:t>
      </w:r>
      <w:r>
        <w:rPr>
          <w:color w:val="0B0B0B"/>
        </w:rPr>
        <w:t>enajenación de acciones emitidas por las sociedades controladas, que no hubieren sido de las consideradas como colocadas entre el gran público inversionista,</w:t>
      </w:r>
      <w:r>
        <w:rPr>
          <w:color w:val="0B0B0B"/>
        </w:rPr>
        <w:t> obtenidas por la sociedad controladora, siempre que se hubieren cumplido los requisitos señalados en el artículo 32, fracción XVII, incisos a), b), c) y d) de dicha Ley.</w:t>
      </w:r>
    </w:p>
    <w:p>
      <w:pPr>
        <w:pStyle w:val="BodyText"/>
        <w:spacing w:line="249" w:lineRule="auto" w:before="84"/>
        <w:ind w:right="253"/>
      </w:pPr>
      <w:r>
        <w:rPr>
          <w:color w:val="0B0B0B"/>
        </w:rPr>
        <w:t>Tanto en la Exposición de Motivos de la Iniciativa del Decreto por el que se Reforman, Adicionan y Derogan Diversas Disposiciones de la Ley del Impuesto sobre la Renta, del</w:t>
      </w:r>
      <w:r>
        <w:rPr>
          <w:color w:val="0B0B0B"/>
          <w:spacing w:val="-3"/>
        </w:rPr>
        <w:t> </w:t>
      </w:r>
      <w:r>
        <w:rPr>
          <w:color w:val="0B0B0B"/>
        </w:rPr>
        <w:t>Código</w:t>
      </w:r>
      <w:r>
        <w:rPr>
          <w:color w:val="0B0B0B"/>
          <w:spacing w:val="-3"/>
        </w:rPr>
        <w:t> </w:t>
      </w:r>
      <w:r>
        <w:rPr>
          <w:color w:val="0B0B0B"/>
        </w:rPr>
        <w:t>Fiscal</w:t>
      </w:r>
      <w:r>
        <w:rPr>
          <w:color w:val="0B0B0B"/>
          <w:spacing w:val="-3"/>
        </w:rPr>
        <w:t> </w:t>
      </w:r>
      <w:r>
        <w:rPr>
          <w:color w:val="0B0B0B"/>
        </w:rPr>
        <w:t>de</w:t>
      </w:r>
      <w:r>
        <w:rPr>
          <w:color w:val="0B0B0B"/>
          <w:spacing w:val="-2"/>
        </w:rPr>
        <w:t> </w:t>
      </w:r>
      <w:r>
        <w:rPr>
          <w:color w:val="0B0B0B"/>
        </w:rPr>
        <w:t>la</w:t>
      </w:r>
      <w:r>
        <w:rPr>
          <w:color w:val="0B0B0B"/>
          <w:spacing w:val="-3"/>
        </w:rPr>
        <w:t> </w:t>
      </w:r>
      <w:r>
        <w:rPr>
          <w:color w:val="0B0B0B"/>
        </w:rPr>
        <w:t>Federación</w:t>
      </w:r>
      <w:r>
        <w:rPr>
          <w:color w:val="0B0B0B"/>
          <w:spacing w:val="-2"/>
        </w:rPr>
        <w:t> </w:t>
      </w:r>
      <w:r>
        <w:rPr>
          <w:color w:val="0B0B0B"/>
        </w:rPr>
        <w:t>y</w:t>
      </w:r>
      <w:r>
        <w:rPr>
          <w:color w:val="0B0B0B"/>
          <w:spacing w:val="-4"/>
        </w:rPr>
        <w:t> </w:t>
      </w:r>
      <w:r>
        <w:rPr>
          <w:color w:val="0B0B0B"/>
        </w:rPr>
        <w:t>de</w:t>
      </w:r>
      <w:r>
        <w:rPr>
          <w:color w:val="0B0B0B"/>
          <w:spacing w:val="-3"/>
        </w:rPr>
        <w:t> </w:t>
      </w:r>
      <w:r>
        <w:rPr>
          <w:color w:val="0B0B0B"/>
        </w:rPr>
        <w:t>la</w:t>
      </w:r>
      <w:r>
        <w:rPr>
          <w:color w:val="0B0B0B"/>
          <w:spacing w:val="-4"/>
        </w:rPr>
        <w:t> </w:t>
      </w:r>
      <w:r>
        <w:rPr>
          <w:color w:val="0B0B0B"/>
        </w:rPr>
        <w:t>Ley</w:t>
      </w:r>
      <w:r>
        <w:rPr>
          <w:color w:val="0B0B0B"/>
          <w:spacing w:val="-4"/>
        </w:rPr>
        <w:t> </w:t>
      </w:r>
      <w:r>
        <w:rPr>
          <w:color w:val="0B0B0B"/>
        </w:rPr>
        <w:t>del</w:t>
      </w:r>
      <w:r>
        <w:rPr>
          <w:color w:val="0B0B0B"/>
          <w:spacing w:val="-3"/>
        </w:rPr>
        <w:t> </w:t>
      </w:r>
      <w:r>
        <w:rPr>
          <w:color w:val="0B0B0B"/>
        </w:rPr>
        <w:t>Impuesto</w:t>
      </w:r>
      <w:r>
        <w:rPr>
          <w:color w:val="0B0B0B"/>
          <w:spacing w:val="-3"/>
        </w:rPr>
        <w:t> </w:t>
      </w:r>
      <w:r>
        <w:rPr>
          <w:color w:val="0B0B0B"/>
        </w:rPr>
        <w:t>Especial</w:t>
      </w:r>
      <w:r>
        <w:rPr>
          <w:color w:val="0B0B0B"/>
          <w:spacing w:val="-3"/>
        </w:rPr>
        <w:t> </w:t>
      </w:r>
      <w:r>
        <w:rPr>
          <w:color w:val="0B0B0B"/>
        </w:rPr>
        <w:t>sobre</w:t>
      </w:r>
      <w:r>
        <w:rPr>
          <w:color w:val="0B0B0B"/>
          <w:spacing w:val="-3"/>
        </w:rPr>
        <w:t> </w:t>
      </w:r>
      <w:r>
        <w:rPr>
          <w:color w:val="0B0B0B"/>
        </w:rPr>
        <w:t>Producción y Servicios y se establece el Subsidio para el Empleo en vigor a partir del 1 de enero del 2008, como en los dictámenes correspondientes, se estableció un tratamiento específico para las sociedades controladoras dentro del régimen de consolidación fiscal, para disminuir únicamente en forma consolidada las pérdidas por enajenación</w:t>
      </w:r>
      <w:r>
        <w:rPr>
          <w:color w:val="0B0B0B"/>
          <w:spacing w:val="40"/>
        </w:rPr>
        <w:t> </w:t>
      </w:r>
      <w:r>
        <w:rPr>
          <w:color w:val="0B0B0B"/>
        </w:rPr>
        <w:t>de acciones.</w:t>
      </w:r>
    </w:p>
    <w:p>
      <w:pPr>
        <w:pStyle w:val="BodyText"/>
        <w:spacing w:line="249" w:lineRule="auto" w:before="86"/>
        <w:ind w:right="258"/>
      </w:pPr>
      <w:r>
        <w:rPr>
          <w:color w:val="0B0B0B"/>
        </w:rPr>
        <w:t>Toda vez que el tratamiento que se señala da pauta a un diferimiento del ISR causado a nivel individual respecto del impuesto pagado en la consolidación fiscal; cuando tenga lugar la desincorporación o desconsolidación de sociedades,</w:t>
      </w:r>
      <w:r>
        <w:rPr>
          <w:color w:val="0B0B0B"/>
        </w:rPr>
        <w:t> el efecto de diferimiento debe revertirse.</w:t>
      </w:r>
    </w:p>
    <w:p>
      <w:pPr>
        <w:pStyle w:val="BodyText"/>
        <w:spacing w:line="249" w:lineRule="auto" w:before="82"/>
        <w:ind w:right="258"/>
      </w:pPr>
      <w:r>
        <w:rPr>
          <w:color w:val="0B0B0B"/>
        </w:rPr>
        <w:t>Al respecto, tanto el artículo 71 de la Ley del ISR vigente hasta el 31 de diciembre de 2013 como el Artículo Noveno de las Disposiciones Transitorias de la Ley del ISR vigente a partir del 1 de enero de 2014, fracciones XV y XVIII, este último en relación con el artículo 71-A de la Ley del ISR vigente al 31 de diciembre de 2013, establecen</w:t>
      </w:r>
      <w:r>
        <w:rPr>
          <w:color w:val="0B0B0B"/>
          <w:spacing w:val="40"/>
        </w:rPr>
        <w:t> </w:t>
      </w:r>
      <w:r>
        <w:rPr>
          <w:color w:val="0B0B0B"/>
        </w:rPr>
        <w:t>la obligación que tienen las sociedades controladoras de determinar y enterar</w:t>
      </w:r>
      <w:r>
        <w:rPr>
          <w:color w:val="0B0B0B"/>
        </w:rPr>
        <w:t> el impuesto respecto de las pérdidas que provengan de la enajenación de acciones de que se trata, cuando:</w:t>
      </w:r>
    </w:p>
    <w:p>
      <w:pPr>
        <w:pStyle w:val="ListParagraph"/>
        <w:numPr>
          <w:ilvl w:val="0"/>
          <w:numId w:val="23"/>
        </w:numPr>
        <w:tabs>
          <w:tab w:pos="2663" w:val="left" w:leader="none"/>
        </w:tabs>
        <w:spacing w:line="249" w:lineRule="auto" w:before="86" w:after="0"/>
        <w:ind w:left="2663" w:right="259" w:hanging="504"/>
        <w:jc w:val="both"/>
        <w:rPr>
          <w:sz w:val="18"/>
        </w:rPr>
      </w:pPr>
      <w:r>
        <w:rPr>
          <w:color w:val="0B0B0B"/>
          <w:sz w:val="18"/>
        </w:rPr>
        <w:t>Las mismas se hubieran restado para la determinación del resultado fiscal consolidado o pérdida fiscal consolidada del ejercicio en que se obtuvieron, y</w:t>
      </w:r>
    </w:p>
    <w:p>
      <w:pPr>
        <w:pStyle w:val="ListParagraph"/>
        <w:numPr>
          <w:ilvl w:val="0"/>
          <w:numId w:val="23"/>
        </w:numPr>
        <w:tabs>
          <w:tab w:pos="2663" w:val="left" w:leader="none"/>
        </w:tabs>
        <w:spacing w:line="249" w:lineRule="auto" w:before="81" w:after="0"/>
        <w:ind w:left="2663" w:right="257" w:hanging="504"/>
        <w:jc w:val="both"/>
        <w:rPr>
          <w:sz w:val="18"/>
        </w:rPr>
      </w:pPr>
      <w:r>
        <w:rPr>
          <w:color w:val="0B0B0B"/>
          <w:sz w:val="18"/>
        </w:rPr>
        <w:t>Estas no hubieran podido deducirse por</w:t>
      </w:r>
      <w:r>
        <w:rPr>
          <w:color w:val="0B0B0B"/>
          <w:sz w:val="18"/>
        </w:rPr>
        <w:t> la sociedad que las generó en los términos del artículo 32, fracción XVII de la Ley del ISR.</w:t>
      </w:r>
    </w:p>
    <w:p>
      <w:pPr>
        <w:pStyle w:val="BodyText"/>
        <w:spacing w:line="249" w:lineRule="auto" w:before="81"/>
        <w:ind w:right="258"/>
      </w:pPr>
      <w:r>
        <w:rPr>
          <w:color w:val="0B0B0B"/>
        </w:rPr>
        <w:t>Precisamente</w:t>
      </w:r>
      <w:r>
        <w:rPr>
          <w:color w:val="0B0B0B"/>
          <w:spacing w:val="-2"/>
        </w:rPr>
        <w:t> </w:t>
      </w:r>
      <w:r>
        <w:rPr>
          <w:color w:val="0B0B0B"/>
        </w:rPr>
        <w:t>para</w:t>
      </w:r>
      <w:r>
        <w:rPr>
          <w:color w:val="0B0B0B"/>
          <w:spacing w:val="-3"/>
        </w:rPr>
        <w:t> </w:t>
      </w:r>
      <w:r>
        <w:rPr>
          <w:color w:val="0B0B0B"/>
        </w:rPr>
        <w:t>lo</w:t>
      </w:r>
      <w:r>
        <w:rPr>
          <w:color w:val="0B0B0B"/>
          <w:spacing w:val="-3"/>
        </w:rPr>
        <w:t> </w:t>
      </w:r>
      <w:r>
        <w:rPr>
          <w:color w:val="0B0B0B"/>
        </w:rPr>
        <w:t>anterior</w:t>
      </w:r>
      <w:r>
        <w:rPr>
          <w:color w:val="0B0B0B"/>
          <w:spacing w:val="-2"/>
        </w:rPr>
        <w:t> </w:t>
      </w:r>
      <w:r>
        <w:rPr>
          <w:color w:val="0B0B0B"/>
        </w:rPr>
        <w:t>las</w:t>
      </w:r>
      <w:r>
        <w:rPr>
          <w:color w:val="0B0B0B"/>
          <w:spacing w:val="-3"/>
        </w:rPr>
        <w:t> </w:t>
      </w:r>
      <w:r>
        <w:rPr>
          <w:color w:val="0B0B0B"/>
        </w:rPr>
        <w:t>sociedades</w:t>
      </w:r>
      <w:r>
        <w:rPr>
          <w:color w:val="0B0B0B"/>
          <w:spacing w:val="-2"/>
        </w:rPr>
        <w:t> </w:t>
      </w:r>
      <w:r>
        <w:rPr>
          <w:color w:val="0B0B0B"/>
        </w:rPr>
        <w:t>controladoras</w:t>
      </w:r>
      <w:r>
        <w:rPr>
          <w:color w:val="0B0B0B"/>
          <w:spacing w:val="-3"/>
        </w:rPr>
        <w:t> </w:t>
      </w:r>
      <w:r>
        <w:rPr>
          <w:color w:val="0B0B0B"/>
        </w:rPr>
        <w:t>en</w:t>
      </w:r>
      <w:r>
        <w:rPr>
          <w:color w:val="0B0B0B"/>
          <w:spacing w:val="-3"/>
        </w:rPr>
        <w:t> </w:t>
      </w:r>
      <w:r>
        <w:rPr>
          <w:color w:val="0B0B0B"/>
        </w:rPr>
        <w:t>los</w:t>
      </w:r>
      <w:r>
        <w:rPr>
          <w:color w:val="0B0B0B"/>
          <w:spacing w:val="-3"/>
        </w:rPr>
        <w:t> </w:t>
      </w:r>
      <w:r>
        <w:rPr>
          <w:color w:val="0B0B0B"/>
        </w:rPr>
        <w:t>términos</w:t>
      </w:r>
      <w:r>
        <w:rPr>
          <w:color w:val="0B0B0B"/>
          <w:spacing w:val="-3"/>
        </w:rPr>
        <w:t> </w:t>
      </w:r>
      <w:r>
        <w:rPr>
          <w:color w:val="0B0B0B"/>
        </w:rPr>
        <w:t>del</w:t>
      </w:r>
      <w:r>
        <w:rPr>
          <w:color w:val="0B0B0B"/>
          <w:spacing w:val="-3"/>
        </w:rPr>
        <w:t> </w:t>
      </w:r>
      <w:r>
        <w:rPr>
          <w:color w:val="0B0B0B"/>
        </w:rPr>
        <w:t>artículo 72, fracción I, inciso c) de la Ley del ISR vigente hasta 2013, tienen la obligación de llevar el registro de sus pérdidas y ganancias por enajenación de acciones y la disminución de las primeras contra las ganancias por el mismo concepto.</w:t>
      </w:r>
    </w:p>
    <w:p>
      <w:pPr>
        <w:pStyle w:val="BodyText"/>
        <w:spacing w:line="249" w:lineRule="auto" w:before="83"/>
        <w:ind w:right="257"/>
      </w:pPr>
      <w:r>
        <w:rPr>
          <w:color w:val="0B0B0B"/>
        </w:rPr>
        <w:t>Ahora bien, con el objeto de no duplicar el efecto fiscal de dichas pérdidas, el artículo 68 de la citada Ley, en su tercer párrafo dispuso que las sociedades controladoras no podían integrar</w:t>
      </w:r>
      <w:r>
        <w:rPr>
          <w:color w:val="0B0B0B"/>
        </w:rPr>
        <w:t> dentro de su utilidad o pérdida fiscal individual las multicitadas pérdidas. Por lo que, en el registro a que se refiere el artículo 72, fracción I, inciso c)</w:t>
      </w:r>
      <w:r>
        <w:rPr>
          <w:color w:val="0B0B0B"/>
          <w:spacing w:val="40"/>
        </w:rPr>
        <w:t> </w:t>
      </w:r>
      <w:r>
        <w:rPr>
          <w:color w:val="0B0B0B"/>
        </w:rPr>
        <w:t>de la Ley del ISR, se llevará el control de la deducción que correspondería</w:t>
      </w:r>
      <w:r>
        <w:rPr>
          <w:color w:val="0B0B0B"/>
        </w:rPr>
        <w:t> a la sociedad controladora de no haber consolidado fiscalmente.</w:t>
      </w:r>
    </w:p>
    <w:p>
      <w:pPr>
        <w:pStyle w:val="BodyText"/>
        <w:spacing w:before="84"/>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4"/>
        </w:numPr>
        <w:tabs>
          <w:tab w:pos="2663" w:val="left" w:leader="none"/>
        </w:tabs>
        <w:spacing w:line="249" w:lineRule="auto" w:before="90" w:after="0"/>
        <w:ind w:left="2663" w:right="259" w:hanging="504"/>
        <w:jc w:val="both"/>
        <w:rPr>
          <w:sz w:val="18"/>
        </w:rPr>
      </w:pPr>
      <w:r>
        <w:rPr>
          <w:color w:val="0B0B0B"/>
          <w:sz w:val="18"/>
        </w:rPr>
        <w:t>Cuando al darse alguno de los supuestos de entero del ISR diferido, las sociedades</w:t>
      </w:r>
      <w:r>
        <w:rPr>
          <w:color w:val="0B0B0B"/>
          <w:spacing w:val="-2"/>
          <w:sz w:val="18"/>
        </w:rPr>
        <w:t> </w:t>
      </w:r>
      <w:r>
        <w:rPr>
          <w:color w:val="0B0B0B"/>
          <w:sz w:val="18"/>
        </w:rPr>
        <w:t>controladoras</w:t>
      </w:r>
      <w:r>
        <w:rPr>
          <w:color w:val="0B0B0B"/>
          <w:spacing w:val="-2"/>
          <w:sz w:val="18"/>
        </w:rPr>
        <w:t> </w:t>
      </w:r>
      <w:r>
        <w:rPr>
          <w:color w:val="0B0B0B"/>
          <w:sz w:val="18"/>
        </w:rPr>
        <w:t>no</w:t>
      </w:r>
      <w:r>
        <w:rPr>
          <w:color w:val="0B0B0B"/>
          <w:spacing w:val="-2"/>
          <w:sz w:val="18"/>
        </w:rPr>
        <w:t> </w:t>
      </w:r>
      <w:r>
        <w:rPr>
          <w:color w:val="0B0B0B"/>
          <w:sz w:val="18"/>
        </w:rPr>
        <w:t>reviertan</w:t>
      </w:r>
      <w:r>
        <w:rPr>
          <w:color w:val="0B0B0B"/>
          <w:spacing w:val="-2"/>
          <w:sz w:val="18"/>
        </w:rPr>
        <w:t> </w:t>
      </w:r>
      <w:r>
        <w:rPr>
          <w:color w:val="0B0B0B"/>
          <w:sz w:val="18"/>
        </w:rPr>
        <w:t>las</w:t>
      </w:r>
      <w:r>
        <w:rPr>
          <w:color w:val="0B0B0B"/>
          <w:spacing w:val="-2"/>
          <w:sz w:val="18"/>
        </w:rPr>
        <w:t> </w:t>
      </w:r>
      <w:r>
        <w:rPr>
          <w:color w:val="0B0B0B"/>
          <w:sz w:val="18"/>
        </w:rPr>
        <w:t>pérdidas</w:t>
      </w:r>
      <w:r>
        <w:rPr>
          <w:color w:val="0B0B0B"/>
          <w:spacing w:val="-2"/>
          <w:sz w:val="18"/>
        </w:rPr>
        <w:t> </w:t>
      </w:r>
      <w:r>
        <w:rPr>
          <w:color w:val="0B0B0B"/>
          <w:sz w:val="18"/>
        </w:rPr>
        <w:t>por</w:t>
      </w:r>
      <w:r>
        <w:rPr>
          <w:color w:val="0B0B0B"/>
          <w:spacing w:val="-3"/>
          <w:sz w:val="18"/>
        </w:rPr>
        <w:t> </w:t>
      </w:r>
      <w:r>
        <w:rPr>
          <w:color w:val="0B0B0B"/>
          <w:sz w:val="18"/>
        </w:rPr>
        <w:t>enajenación</w:t>
      </w:r>
      <w:r>
        <w:rPr>
          <w:color w:val="0B0B0B"/>
          <w:spacing w:val="-2"/>
          <w:sz w:val="18"/>
        </w:rPr>
        <w:t> </w:t>
      </w:r>
      <w:r>
        <w:rPr>
          <w:color w:val="0B0B0B"/>
          <w:sz w:val="18"/>
        </w:rPr>
        <w:t>de</w:t>
      </w:r>
      <w:r>
        <w:rPr>
          <w:color w:val="0B0B0B"/>
          <w:spacing w:val="-2"/>
          <w:sz w:val="18"/>
        </w:rPr>
        <w:t> </w:t>
      </w:r>
      <w:r>
        <w:rPr>
          <w:color w:val="0B0B0B"/>
          <w:sz w:val="18"/>
        </w:rPr>
        <w:t>acciones disminuidas en la determinación del resultado o pérdida fiscal consolidada de algún ejercicio anterior.</w:t>
      </w:r>
    </w:p>
    <w:p>
      <w:pPr>
        <w:pStyle w:val="ListParagraph"/>
        <w:numPr>
          <w:ilvl w:val="0"/>
          <w:numId w:val="24"/>
        </w:numPr>
        <w:tabs>
          <w:tab w:pos="2663" w:val="left" w:leader="none"/>
        </w:tabs>
        <w:spacing w:line="249" w:lineRule="auto" w:before="83" w:after="0"/>
        <w:ind w:left="2663" w:right="259" w:hanging="504"/>
        <w:jc w:val="both"/>
        <w:rPr>
          <w:sz w:val="18"/>
        </w:rPr>
      </w:pPr>
      <w:r>
        <w:rPr>
          <w:color w:val="0B0B0B"/>
          <w:sz w:val="18"/>
        </w:rPr>
        <w:t>Asesorar, aconsejar, prestar servicios o participar en la realización o la implementación de la práctica anterior.</w:t>
      </w:r>
    </w:p>
    <w:p>
      <w:pPr>
        <w:pStyle w:val="BodyText"/>
        <w:spacing w:before="9"/>
        <w:ind w:left="0"/>
        <w:jc w:val="left"/>
        <w:rPr>
          <w:sz w:val="6"/>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295" w:hRule="atLeast"/>
        </w:trPr>
        <w:tc>
          <w:tcPr>
            <w:tcW w:w="2760" w:type="dxa"/>
            <w:shd w:val="clear" w:color="auto" w:fill="BDBDBD"/>
          </w:tcPr>
          <w:p>
            <w:pPr>
              <w:pStyle w:val="TableParagraph"/>
              <w:spacing w:before="21"/>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21"/>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27" w:hRule="atLeast"/>
        </w:trPr>
        <w:tc>
          <w:tcPr>
            <w:tcW w:w="2760" w:type="dxa"/>
          </w:tcPr>
          <w:p>
            <w:pPr>
              <w:pStyle w:val="TableParagraph"/>
              <w:tabs>
                <w:tab w:pos="1188" w:val="left" w:leader="none"/>
                <w:tab w:pos="2509" w:val="left" w:leader="none"/>
              </w:tabs>
              <w:spacing w:line="280" w:lineRule="auto" w:before="22"/>
              <w:ind w:right="56"/>
              <w:rPr>
                <w:sz w:val="16"/>
              </w:rPr>
            </w:pPr>
            <w:r>
              <w:rPr>
                <w:color w:val="0B0B0B"/>
                <w:spacing w:val="-2"/>
                <w:sz w:val="16"/>
              </w:rPr>
              <w:t>Séptima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2014</w:t>
            </w:r>
          </w:p>
        </w:tc>
        <w:tc>
          <w:tcPr>
            <w:tcW w:w="4108" w:type="dxa"/>
          </w:tcPr>
          <w:p>
            <w:pPr>
              <w:pStyle w:val="TableParagraph"/>
              <w:spacing w:line="280" w:lineRule="auto" w:before="22"/>
              <w:ind w:right="59"/>
              <w:jc w:val="both"/>
              <w:rPr>
                <w:sz w:val="16"/>
              </w:rPr>
            </w:pPr>
            <w:r>
              <w:rPr>
                <w:color w:val="0B0B0B"/>
                <w:sz w:val="16"/>
              </w:rPr>
              <w:t>Publicada en el DOF el 18 de diciembre de </w:t>
            </w:r>
            <w:r>
              <w:rPr>
                <w:color w:val="0B0B0B"/>
                <w:sz w:val="16"/>
              </w:rPr>
              <w:t>2014,</w:t>
            </w:r>
            <w:r>
              <w:rPr>
                <w:color w:val="0B0B0B"/>
                <w:spacing w:val="40"/>
                <w:sz w:val="16"/>
              </w:rPr>
              <w:t> </w:t>
            </w:r>
            <w:r>
              <w:rPr>
                <w:color w:val="0B0B0B"/>
                <w:sz w:val="16"/>
              </w:rPr>
              <w:t>Anexo 3, publicado en el DOF del 22 de diciembre de </w:t>
            </w:r>
            <w:r>
              <w:rPr>
                <w:color w:val="0B0B0B"/>
                <w:spacing w:val="-2"/>
                <w:sz w:val="16"/>
              </w:rPr>
              <w:t>2014.</w:t>
            </w:r>
          </w:p>
        </w:tc>
      </w:tr>
    </w:tbl>
    <w:p>
      <w:pPr>
        <w:pStyle w:val="TableParagraph"/>
        <w:spacing w:after="0" w:line="280" w:lineRule="auto"/>
        <w:jc w:val="both"/>
        <w:rPr>
          <w:sz w:val="16"/>
        </w:rPr>
        <w:sectPr>
          <w:headerReference w:type="default" r:id="rId26"/>
          <w:pgSz w:w="12240" w:h="15840"/>
          <w:pgMar w:header="690" w:footer="0" w:top="1040" w:bottom="280" w:left="1440" w:right="1440"/>
        </w:sectPr>
      </w:pPr>
    </w:p>
    <w:p>
      <w:pPr>
        <w:pStyle w:val="Heading1"/>
        <w:tabs>
          <w:tab w:pos="2144" w:val="left" w:leader="none"/>
        </w:tabs>
        <w:spacing w:line="288" w:lineRule="auto" w:before="136"/>
        <w:ind w:right="257"/>
      </w:pPr>
      <w:r>
        <w:rPr>
          <w:color w:val="0B0B0B"/>
          <w:spacing w:val="-2"/>
        </w:rPr>
        <w:t>21/ISR/PI</w:t>
      </w:r>
      <w:r>
        <w:rPr>
          <w:color w:val="0B0B0B"/>
        </w:rPr>
        <w:tab/>
        <w:t>Previsión</w:t>
      </w:r>
      <w:r>
        <w:rPr>
          <w:color w:val="0B0B0B"/>
          <w:spacing w:val="-2"/>
        </w:rPr>
        <w:t> </w:t>
      </w:r>
      <w:r>
        <w:rPr>
          <w:color w:val="0B0B0B"/>
        </w:rPr>
        <w:t>social</w:t>
      </w:r>
      <w:r>
        <w:rPr>
          <w:color w:val="0B0B0B"/>
          <w:spacing w:val="-2"/>
        </w:rPr>
        <w:t> </w:t>
      </w:r>
      <w:r>
        <w:rPr>
          <w:color w:val="0B0B0B"/>
        </w:rPr>
        <w:t>para</w:t>
      </w:r>
      <w:r>
        <w:rPr>
          <w:color w:val="0B0B0B"/>
          <w:spacing w:val="-2"/>
        </w:rPr>
        <w:t> </w:t>
      </w:r>
      <w:r>
        <w:rPr>
          <w:color w:val="0B0B0B"/>
        </w:rPr>
        <w:t>efectos</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determinación</w:t>
      </w:r>
      <w:r>
        <w:rPr>
          <w:color w:val="0B0B0B"/>
          <w:spacing w:val="-3"/>
        </w:rPr>
        <w:t> </w:t>
      </w:r>
      <w:r>
        <w:rPr>
          <w:color w:val="0B0B0B"/>
        </w:rPr>
        <w:t>del</w:t>
      </w:r>
      <w:r>
        <w:rPr>
          <w:color w:val="0B0B0B"/>
          <w:spacing w:val="-2"/>
        </w:rPr>
        <w:t> </w:t>
      </w:r>
      <w:r>
        <w:rPr>
          <w:color w:val="0B0B0B"/>
        </w:rPr>
        <w:t>ISR.</w:t>
      </w:r>
      <w:r>
        <w:rPr>
          <w:color w:val="0B0B0B"/>
          <w:spacing w:val="-2"/>
        </w:rPr>
        <w:t> </w:t>
      </w:r>
      <w:r>
        <w:rPr>
          <w:color w:val="0B0B0B"/>
        </w:rPr>
        <w:t>No</w:t>
      </w:r>
      <w:r>
        <w:rPr>
          <w:color w:val="0B0B0B"/>
          <w:spacing w:val="-2"/>
        </w:rPr>
        <w:t> </w:t>
      </w:r>
      <w:r>
        <w:rPr>
          <w:color w:val="0B0B0B"/>
        </w:rPr>
        <w:t>puede</w:t>
      </w:r>
      <w:r>
        <w:rPr>
          <w:color w:val="0B0B0B"/>
          <w:spacing w:val="-3"/>
        </w:rPr>
        <w:t> </w:t>
      </w:r>
      <w:r>
        <w:rPr>
          <w:color w:val="0B0B0B"/>
        </w:rPr>
        <w:t>otorgarse</w:t>
      </w:r>
      <w:r>
        <w:rPr>
          <w:color w:val="0B0B0B"/>
          <w:spacing w:val="-3"/>
        </w:rPr>
        <w:t> </w:t>
      </w:r>
      <w:r>
        <w:rPr>
          <w:color w:val="0B0B0B"/>
        </w:rPr>
        <w:t>en efectivo o en otros medios equivalentes.</w:t>
      </w:r>
    </w:p>
    <w:p>
      <w:pPr>
        <w:pStyle w:val="BodyText"/>
        <w:spacing w:line="285" w:lineRule="auto" w:before="98"/>
        <w:ind w:right="258"/>
      </w:pPr>
      <w:r>
        <w:rPr>
          <w:color w:val="0B0B0B"/>
        </w:rPr>
        <w:t>El artículo 7, quinto párrafo</w:t>
      </w:r>
      <w:r>
        <w:rPr>
          <w:color w:val="0B0B0B"/>
        </w:rPr>
        <w:t> de la Ley del ISR considera como previsión social las erogaciones efectuadas que tengan por objeto satisfacer contingencias o necesidades presentes o futuras, así como otorgar beneficios a favor de los trabajadores,</w:t>
      </w:r>
      <w:r>
        <w:rPr>
          <w:color w:val="0B0B0B"/>
          <w:spacing w:val="40"/>
        </w:rPr>
        <w:t> </w:t>
      </w:r>
      <w:r>
        <w:rPr>
          <w:color w:val="0B0B0B"/>
        </w:rPr>
        <w:t>tendientes a su superación física, social, económica o cultural, que les permitan el mejoramiento en su calidad de vida y en la de su familia.</w:t>
      </w:r>
    </w:p>
    <w:p>
      <w:pPr>
        <w:pStyle w:val="BodyText"/>
        <w:spacing w:line="285" w:lineRule="auto" w:before="104"/>
        <w:ind w:right="257" w:hanging="1"/>
      </w:pPr>
      <w:r>
        <w:rPr>
          <w:color w:val="0B0B0B"/>
        </w:rPr>
        <w:t>El artículo 93, fracciones VIII y IX de la Ley del ISR, señala que no se pagará dicho impuesto</w:t>
      </w:r>
      <w:r>
        <w:rPr>
          <w:color w:val="0B0B0B"/>
        </w:rPr>
        <w:t> por</w:t>
      </w:r>
      <w:r>
        <w:rPr>
          <w:color w:val="0B0B0B"/>
        </w:rPr>
        <w:t> la obtención de ingresos por concepto de subsidios por incapacidad, becas educacionales para los trabajadores o sus hijos, guarderías</w:t>
      </w:r>
      <w:r>
        <w:rPr>
          <w:color w:val="0B0B0B"/>
        </w:rPr>
        <w:t> infantiles, actividades culturales y deportivas, y otras prestaciones de previsión social, de naturaleza análoga, que se concedan de manera general, de acuerdo con las leyes o por contratos de trabajo, así como por erogaciones que realice el patrón por concepto de previsión social establecida en el artículo 7, quinto párrafo de la Ley de referencia.</w:t>
      </w:r>
    </w:p>
    <w:p>
      <w:pPr>
        <w:pStyle w:val="BodyText"/>
        <w:spacing w:line="285" w:lineRule="auto" w:before="106"/>
        <w:ind w:right="257"/>
      </w:pPr>
      <w:r>
        <w:rPr>
          <w:color w:val="0B0B0B"/>
        </w:rPr>
        <w:t>En la tesis de jurisprudencia 2a./J.39/97, la Segunda Sala de la Suprema Corte de Justicia de la Nación resolvió que los vales de despensa deben considerarse como gastos de previsión social, para efectos de su deducción en el ISR. Ahora bien el artículo</w:t>
      </w:r>
      <w:r>
        <w:rPr>
          <w:color w:val="0B0B0B"/>
        </w:rPr>
        <w:t> 27,</w:t>
      </w:r>
      <w:r>
        <w:rPr>
          <w:color w:val="0B0B0B"/>
        </w:rPr>
        <w:t> fracción XI de la Ley del ISR establece que, tratándose de vales de despensa otorgados a los trabajadores, serán deducibles siempre que su entrega se realice a través de los monederos electrónicos de vales de despensa que al efecto autorice el SAT.</w:t>
      </w:r>
    </w:p>
    <w:p>
      <w:pPr>
        <w:pStyle w:val="BodyText"/>
        <w:spacing w:line="285" w:lineRule="auto" w:before="106"/>
        <w:ind w:right="257"/>
      </w:pPr>
      <w:r>
        <w:rPr>
          <w:color w:val="0B0B0B"/>
        </w:rPr>
        <w:t>Por su parte, la tesis de jurisprudencia por contradicción 2a./J.58/2007, emitida por la Segunda Sala de la Suprema Corte de Justicia de la Nación confirmó el criterio en el sentido de que las despensas otorgadas a los trabajadores en efectivo no tienen la naturaleza de previsión social, pues su destino es indefinido, ya que no necesariamente se emplearán en la adquisición de los alimentos</w:t>
      </w:r>
      <w:r>
        <w:rPr>
          <w:color w:val="0B0B0B"/>
        </w:rPr>
        <w:t> y</w:t>
      </w:r>
      <w:r>
        <w:rPr>
          <w:color w:val="0B0B0B"/>
        </w:rPr>
        <w:t> otros</w:t>
      </w:r>
      <w:r>
        <w:rPr>
          <w:color w:val="0B0B0B"/>
        </w:rPr>
        <w:t> bienes necesarios que aseguren una vida decorosa para el trabajador y su familia.</w:t>
      </w:r>
    </w:p>
    <w:p>
      <w:pPr>
        <w:pStyle w:val="BodyText"/>
        <w:spacing w:line="285" w:lineRule="auto" w:before="105"/>
        <w:ind w:right="257"/>
      </w:pPr>
      <w:r>
        <w:rPr>
          <w:color w:val="0B0B0B"/>
        </w:rPr>
        <w:t>Por ello, de una interpretación armónica de las disposiciones que regulan la previsión social y de los criterios emitidos por la Suprema Corte de Justicia de la Nación, es dable concluir que la previsión social que otorguen los patrones a sus trabajadores de conformidad con lo establecido en el artículo 7, quinto párrafo, en relación con el artículo 93, fracciones VIII y IX, así como el artículo 27, fracción XI de la Ley del ISR, no puede entregarse en efectivo o en otros medios que sean equivalentes al efectivo,</w:t>
      </w:r>
      <w:r>
        <w:rPr>
          <w:color w:val="0B0B0B"/>
          <w:spacing w:val="40"/>
        </w:rPr>
        <w:t> </w:t>
      </w:r>
      <w:r>
        <w:rPr>
          <w:color w:val="0B0B0B"/>
        </w:rPr>
        <w:t>y</w:t>
      </w:r>
      <w:r>
        <w:rPr>
          <w:color w:val="0B0B0B"/>
          <w:spacing w:val="-2"/>
        </w:rPr>
        <w:t> </w:t>
      </w:r>
      <w:r>
        <w:rPr>
          <w:color w:val="0B0B0B"/>
        </w:rPr>
        <w:t>por</w:t>
      </w:r>
      <w:r>
        <w:rPr>
          <w:color w:val="0B0B0B"/>
          <w:spacing w:val="-2"/>
        </w:rPr>
        <w:t> </w:t>
      </w:r>
      <w:r>
        <w:rPr>
          <w:color w:val="0B0B0B"/>
        </w:rPr>
        <w:t>ende,</w:t>
      </w:r>
      <w:r>
        <w:rPr>
          <w:color w:val="0B0B0B"/>
          <w:spacing w:val="-2"/>
        </w:rPr>
        <w:t> </w:t>
      </w:r>
      <w:r>
        <w:rPr>
          <w:color w:val="0B0B0B"/>
        </w:rPr>
        <w:t>no</w:t>
      </w:r>
      <w:r>
        <w:rPr>
          <w:color w:val="0B0B0B"/>
          <w:spacing w:val="-2"/>
        </w:rPr>
        <w:t> </w:t>
      </w:r>
      <w:r>
        <w:rPr>
          <w:color w:val="0B0B0B"/>
        </w:rPr>
        <w:t>podrá</w:t>
      </w:r>
      <w:r>
        <w:rPr>
          <w:color w:val="0B0B0B"/>
          <w:spacing w:val="-2"/>
        </w:rPr>
        <w:t> </w:t>
      </w:r>
      <w:r>
        <w:rPr>
          <w:color w:val="0B0B0B"/>
        </w:rPr>
        <w:t>ser</w:t>
      </w:r>
      <w:r>
        <w:rPr>
          <w:color w:val="0B0B0B"/>
          <w:spacing w:val="-2"/>
        </w:rPr>
        <w:t> </w:t>
      </w:r>
      <w:r>
        <w:rPr>
          <w:color w:val="0B0B0B"/>
        </w:rPr>
        <w:t>considerado</w:t>
      </w:r>
      <w:r>
        <w:rPr>
          <w:color w:val="0B0B0B"/>
          <w:spacing w:val="-2"/>
        </w:rPr>
        <w:t> </w:t>
      </w:r>
      <w:r>
        <w:rPr>
          <w:color w:val="0B0B0B"/>
        </w:rPr>
        <w:t>como</w:t>
      </w:r>
      <w:r>
        <w:rPr>
          <w:color w:val="0B0B0B"/>
          <w:spacing w:val="-1"/>
        </w:rPr>
        <w:t> </w:t>
      </w:r>
      <w:r>
        <w:rPr>
          <w:color w:val="0B0B0B"/>
        </w:rPr>
        <w:t>un</w:t>
      </w:r>
      <w:r>
        <w:rPr>
          <w:color w:val="0B0B0B"/>
          <w:spacing w:val="-2"/>
        </w:rPr>
        <w:t> </w:t>
      </w:r>
      <w:r>
        <w:rPr>
          <w:color w:val="0B0B0B"/>
        </w:rPr>
        <w:t>gasto</w:t>
      </w:r>
      <w:r>
        <w:rPr>
          <w:color w:val="0B0B0B"/>
          <w:spacing w:val="-2"/>
        </w:rPr>
        <w:t> </w:t>
      </w:r>
      <w:r>
        <w:rPr>
          <w:color w:val="0B0B0B"/>
        </w:rPr>
        <w:t>deducible</w:t>
      </w:r>
      <w:r>
        <w:rPr>
          <w:color w:val="0B0B0B"/>
          <w:spacing w:val="-1"/>
        </w:rPr>
        <w:t> </w:t>
      </w:r>
      <w:r>
        <w:rPr>
          <w:color w:val="0B0B0B"/>
        </w:rPr>
        <w:t>para</w:t>
      </w:r>
      <w:r>
        <w:rPr>
          <w:color w:val="0B0B0B"/>
          <w:spacing w:val="-2"/>
        </w:rPr>
        <w:t> </w:t>
      </w:r>
      <w:r>
        <w:rPr>
          <w:color w:val="0B0B0B"/>
        </w:rPr>
        <w:t>el</w:t>
      </w:r>
      <w:r>
        <w:rPr>
          <w:color w:val="0B0B0B"/>
          <w:spacing w:val="-2"/>
        </w:rPr>
        <w:t> </w:t>
      </w:r>
      <w:r>
        <w:rPr>
          <w:color w:val="0B0B0B"/>
        </w:rPr>
        <w:t>empleador</w:t>
      </w:r>
      <w:r>
        <w:rPr>
          <w:color w:val="0B0B0B"/>
          <w:spacing w:val="-1"/>
        </w:rPr>
        <w:t> </w:t>
      </w:r>
      <w:r>
        <w:rPr>
          <w:color w:val="0B0B0B"/>
        </w:rPr>
        <w:t>y</w:t>
      </w:r>
      <w:r>
        <w:rPr>
          <w:color w:val="0B0B0B"/>
          <w:spacing w:val="-2"/>
        </w:rPr>
        <w:t> </w:t>
      </w:r>
      <w:r>
        <w:rPr>
          <w:color w:val="0B0B0B"/>
        </w:rPr>
        <w:t>un ingreso exento del trabajador, pues su destino no está plenamente identificado.</w:t>
      </w:r>
    </w:p>
    <w:p>
      <w:pPr>
        <w:pStyle w:val="BodyText"/>
        <w:spacing w:before="107"/>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5"/>
        </w:numPr>
        <w:tabs>
          <w:tab w:pos="2664" w:val="left" w:leader="none"/>
        </w:tabs>
        <w:spacing w:line="288" w:lineRule="auto" w:before="140" w:after="0"/>
        <w:ind w:left="2664" w:right="257" w:hanging="504"/>
        <w:jc w:val="both"/>
        <w:rPr>
          <w:sz w:val="18"/>
        </w:rPr>
      </w:pPr>
      <w:r>
        <w:rPr>
          <w:color w:val="0B0B0B"/>
          <w:sz w:val="18"/>
        </w:rPr>
        <w:t>Los contribuyentes que para los efectos del ISR consideren como gastos de previsión social deducibles o ingresos exentos bajo el concepto de previsión social, las prestaciones entregadas a sus trabajadores en efectivo o en otros medios que permitan a dichos trabajadores adquirir bienes, tales como, los comercialmente denominados vales de previsión social o servicios.</w:t>
      </w:r>
    </w:p>
    <w:p>
      <w:pPr>
        <w:pStyle w:val="ListParagraph"/>
        <w:numPr>
          <w:ilvl w:val="0"/>
          <w:numId w:val="25"/>
        </w:numPr>
        <w:tabs>
          <w:tab w:pos="2664" w:val="left" w:leader="none"/>
        </w:tabs>
        <w:spacing w:line="285" w:lineRule="auto" w:before="95" w:after="0"/>
        <w:ind w:left="2664" w:right="259" w:hanging="504"/>
        <w:jc w:val="both"/>
        <w:rPr>
          <w:sz w:val="18"/>
        </w:rPr>
      </w:pPr>
      <w:r>
        <w:rPr>
          <w:color w:val="0B0B0B"/>
          <w:sz w:val="18"/>
        </w:rPr>
        <w:t>Quienes realicen los pagos en términos de la fracción anterior y no efectúen la retención y el entero del ISR correspondiente por los pagos realizados.</w:t>
      </w:r>
    </w:p>
    <w:p>
      <w:pPr>
        <w:pStyle w:val="ListParagraph"/>
        <w:numPr>
          <w:ilvl w:val="0"/>
          <w:numId w:val="25"/>
        </w:numPr>
        <w:tabs>
          <w:tab w:pos="2662" w:val="left" w:leader="none"/>
          <w:tab w:pos="2664" w:val="left" w:leader="none"/>
        </w:tabs>
        <w:spacing w:line="288" w:lineRule="auto" w:before="102"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1"/>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08"/>
      </w:tblGrid>
      <w:tr>
        <w:trPr>
          <w:trHeight w:val="348" w:hRule="atLeast"/>
        </w:trPr>
        <w:tc>
          <w:tcPr>
            <w:tcW w:w="2778" w:type="dxa"/>
            <w:shd w:val="clear" w:color="auto" w:fill="BDBDBD"/>
          </w:tcPr>
          <w:p>
            <w:pPr>
              <w:pStyle w:val="TableParagraph"/>
              <w:spacing w:before="49"/>
              <w:ind w:left="12"/>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49"/>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40" w:hRule="atLeast"/>
        </w:trPr>
        <w:tc>
          <w:tcPr>
            <w:tcW w:w="2778" w:type="dxa"/>
          </w:tcPr>
          <w:p>
            <w:pPr>
              <w:pStyle w:val="TableParagraph"/>
              <w:tabs>
                <w:tab w:pos="1197" w:val="left" w:leader="none"/>
                <w:tab w:pos="2527" w:val="left" w:leader="none"/>
              </w:tabs>
              <w:spacing w:line="324" w:lineRule="auto" w:before="46"/>
              <w:ind w:right="56"/>
              <w:rPr>
                <w:sz w:val="16"/>
              </w:rPr>
            </w:pPr>
            <w:r>
              <w:rPr>
                <w:color w:val="0B0B0B"/>
                <w:spacing w:val="-2"/>
                <w:sz w:val="16"/>
              </w:rPr>
              <w:t>Séptima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2014</w:t>
            </w:r>
          </w:p>
        </w:tc>
        <w:tc>
          <w:tcPr>
            <w:tcW w:w="4108" w:type="dxa"/>
          </w:tcPr>
          <w:p>
            <w:pPr>
              <w:pStyle w:val="TableParagraph"/>
              <w:spacing w:line="324" w:lineRule="auto" w:before="46"/>
              <w:ind w:right="59"/>
              <w:jc w:val="both"/>
              <w:rPr>
                <w:sz w:val="16"/>
              </w:rPr>
            </w:pPr>
            <w:r>
              <w:rPr>
                <w:color w:val="0B0B0B"/>
                <w:sz w:val="16"/>
              </w:rPr>
              <w:t>Publicada en el DOF el 18 de diciembre de </w:t>
            </w:r>
            <w:r>
              <w:rPr>
                <w:color w:val="0B0B0B"/>
                <w:sz w:val="16"/>
              </w:rPr>
              <w:t>2014,</w:t>
            </w:r>
            <w:r>
              <w:rPr>
                <w:color w:val="0B0B0B"/>
                <w:spacing w:val="40"/>
                <w:sz w:val="16"/>
              </w:rPr>
              <w:t> </w:t>
            </w:r>
            <w:r>
              <w:rPr>
                <w:color w:val="0B0B0B"/>
                <w:sz w:val="16"/>
              </w:rPr>
              <w:t>Anexo 3, publicado en el DOF el 22 de diciembre de </w:t>
            </w:r>
            <w:r>
              <w:rPr>
                <w:color w:val="0B0B0B"/>
                <w:spacing w:val="-2"/>
                <w:sz w:val="16"/>
              </w:rPr>
              <w:t>2014.</w:t>
            </w:r>
          </w:p>
        </w:tc>
      </w:tr>
    </w:tbl>
    <w:p>
      <w:pPr>
        <w:pStyle w:val="TableParagraph"/>
        <w:spacing w:after="0" w:line="324" w:lineRule="auto"/>
        <w:jc w:val="both"/>
        <w:rPr>
          <w:sz w:val="16"/>
        </w:rPr>
        <w:sectPr>
          <w:headerReference w:type="default" r:id="rId27"/>
          <w:pgSz w:w="12240" w:h="15840"/>
          <w:pgMar w:header="690" w:footer="0" w:top="1040" w:bottom="280" w:left="1440" w:right="1440"/>
        </w:sectPr>
      </w:pPr>
    </w:p>
    <w:p>
      <w:pPr>
        <w:pStyle w:val="Heading1"/>
        <w:spacing w:line="249" w:lineRule="auto" w:before="112"/>
        <w:ind w:right="253"/>
        <w:jc w:val="both"/>
        <w:rPr>
          <w:rFonts w:ascii="Arial MT" w:hAnsi="Arial MT"/>
          <w:b w:val="0"/>
        </w:rPr>
      </w:pPr>
      <w:r>
        <w:rPr>
          <w:color w:val="0B0B0B"/>
        </w:rPr>
        <w:t>22/ISR/PI</w:t>
      </w:r>
      <w:r>
        <w:rPr>
          <w:color w:val="0B0B0B"/>
          <w:spacing w:val="40"/>
        </w:rPr>
        <w:t> </w:t>
      </w:r>
      <w:r>
        <w:rPr>
          <w:color w:val="0B0B0B"/>
        </w:rPr>
        <w:t>Inversiones</w:t>
      </w:r>
      <w:r>
        <w:rPr>
          <w:color w:val="0B0B0B"/>
        </w:rPr>
        <w:t> en automóviles. No son deducibles cuando correspondan a automóviles otorgados en comodato y que no son utilizados para la realización de las actividades propias del contribuyente</w:t>
      </w:r>
      <w:r>
        <w:rPr>
          <w:rFonts w:ascii="Arial MT" w:hAnsi="Arial MT"/>
          <w:b w:val="0"/>
          <w:color w:val="0B0B0B"/>
        </w:rPr>
        <w:t>.</w:t>
      </w:r>
    </w:p>
    <w:p>
      <w:pPr>
        <w:pStyle w:val="BodyText"/>
        <w:spacing w:line="249" w:lineRule="auto" w:before="74"/>
        <w:ind w:right="257"/>
      </w:pPr>
      <w:r>
        <w:rPr>
          <w:color w:val="0B0B0B"/>
        </w:rPr>
        <w:t>El artículo 25, fracción IV de la Ley del ISR prevé como deducción autorizada las inversiones las cuales para ser deducibles deberán de cumplir con diversos requisitos, entre</w:t>
      </w:r>
      <w:r>
        <w:rPr>
          <w:color w:val="0B0B0B"/>
        </w:rPr>
        <w:t> ellos, ser estrictamente indispensables para los fines de la actividad del contribuyente conforme al artículo 27, fracción I de la misma Ley.</w:t>
      </w:r>
    </w:p>
    <w:p>
      <w:pPr>
        <w:pStyle w:val="BodyText"/>
        <w:spacing w:line="249" w:lineRule="auto" w:before="75"/>
        <w:ind w:right="259"/>
      </w:pPr>
      <w:r>
        <w:rPr>
          <w:color w:val="0B0B0B"/>
        </w:rPr>
        <w:t>El artículo 3 del Reglamento de la Ley del ISR, define al automóvil como aquel</w:t>
      </w:r>
      <w:r>
        <w:rPr>
          <w:color w:val="0B0B0B"/>
          <w:spacing w:val="40"/>
        </w:rPr>
        <w:t> </w:t>
      </w:r>
      <w:r>
        <w:rPr>
          <w:color w:val="0B0B0B"/>
        </w:rPr>
        <w:t>vehículo terrestre para el transporte de hasta diez pasajeros,</w:t>
      </w:r>
      <w:r>
        <w:rPr>
          <w:color w:val="0B0B0B"/>
        </w:rPr>
        <w:t> incluido el conductor, precisando</w:t>
      </w:r>
      <w:r>
        <w:rPr>
          <w:color w:val="0B0B0B"/>
          <w:spacing w:val="-2"/>
        </w:rPr>
        <w:t> </w:t>
      </w:r>
      <w:r>
        <w:rPr>
          <w:color w:val="0B0B0B"/>
        </w:rPr>
        <w:t>en</w:t>
      </w:r>
      <w:r>
        <w:rPr>
          <w:color w:val="0B0B0B"/>
          <w:spacing w:val="-1"/>
        </w:rPr>
        <w:t> </w:t>
      </w:r>
      <w:r>
        <w:rPr>
          <w:color w:val="0B0B0B"/>
        </w:rPr>
        <w:t>su</w:t>
      </w:r>
      <w:r>
        <w:rPr>
          <w:color w:val="0B0B0B"/>
          <w:spacing w:val="-2"/>
        </w:rPr>
        <w:t> </w:t>
      </w:r>
      <w:r>
        <w:rPr>
          <w:color w:val="0B0B0B"/>
        </w:rPr>
        <w:t>segundo</w:t>
      </w:r>
      <w:r>
        <w:rPr>
          <w:color w:val="0B0B0B"/>
          <w:spacing w:val="-1"/>
        </w:rPr>
        <w:t> </w:t>
      </w:r>
      <w:r>
        <w:rPr>
          <w:color w:val="0B0B0B"/>
        </w:rPr>
        <w:t>párrafo</w:t>
      </w:r>
      <w:r>
        <w:rPr>
          <w:color w:val="0B0B0B"/>
          <w:spacing w:val="-3"/>
        </w:rPr>
        <w:t> </w:t>
      </w:r>
      <w:r>
        <w:rPr>
          <w:color w:val="0B0B0B"/>
        </w:rPr>
        <w:t>que</w:t>
      </w:r>
      <w:r>
        <w:rPr>
          <w:color w:val="0B0B0B"/>
          <w:spacing w:val="-2"/>
        </w:rPr>
        <w:t> </w:t>
      </w:r>
      <w:r>
        <w:rPr>
          <w:color w:val="0B0B0B"/>
        </w:rPr>
        <w:t>no</w:t>
      </w:r>
      <w:r>
        <w:rPr>
          <w:color w:val="0B0B0B"/>
          <w:spacing w:val="-2"/>
        </w:rPr>
        <w:t> </w:t>
      </w:r>
      <w:r>
        <w:rPr>
          <w:color w:val="0B0B0B"/>
        </w:rPr>
        <w:t>se</w:t>
      </w:r>
      <w:r>
        <w:rPr>
          <w:color w:val="0B0B0B"/>
          <w:spacing w:val="-1"/>
        </w:rPr>
        <w:t> </w:t>
      </w:r>
      <w:r>
        <w:rPr>
          <w:color w:val="0B0B0B"/>
        </w:rPr>
        <w:t>consideran</w:t>
      </w:r>
      <w:r>
        <w:rPr>
          <w:color w:val="0B0B0B"/>
          <w:spacing w:val="-2"/>
        </w:rPr>
        <w:t> </w:t>
      </w:r>
      <w:r>
        <w:rPr>
          <w:color w:val="0B0B0B"/>
        </w:rPr>
        <w:t>comprendidas</w:t>
      </w:r>
      <w:r>
        <w:rPr>
          <w:color w:val="0B0B0B"/>
          <w:spacing w:val="-2"/>
        </w:rPr>
        <w:t> </w:t>
      </w:r>
      <w:r>
        <w:rPr>
          <w:color w:val="0B0B0B"/>
        </w:rPr>
        <w:t>en</w:t>
      </w:r>
      <w:r>
        <w:rPr>
          <w:color w:val="0B0B0B"/>
          <w:spacing w:val="-1"/>
        </w:rPr>
        <w:t> </w:t>
      </w:r>
      <w:r>
        <w:rPr>
          <w:color w:val="0B0B0B"/>
        </w:rPr>
        <w:t>la</w:t>
      </w:r>
      <w:r>
        <w:rPr>
          <w:color w:val="0B0B0B"/>
          <w:spacing w:val="-2"/>
        </w:rPr>
        <w:t> </w:t>
      </w:r>
      <w:r>
        <w:rPr>
          <w:color w:val="0B0B0B"/>
        </w:rPr>
        <w:t>definición anterior las motocicletas, ya sea de dos a cuatro ruedas.</w:t>
      </w:r>
    </w:p>
    <w:p>
      <w:pPr>
        <w:pStyle w:val="BodyText"/>
        <w:spacing w:line="249" w:lineRule="auto" w:before="75"/>
        <w:ind w:right="258"/>
      </w:pPr>
      <w:r>
        <w:rPr>
          <w:color w:val="0B0B0B"/>
        </w:rPr>
        <w:t>Por su parte, el artículo 5o., fracción I de la Ley del IVA establece que para que sea acreditable el IVA deberá reunir el requisito de que este corresponda a bienes estrictamente</w:t>
      </w:r>
      <w:r>
        <w:rPr>
          <w:color w:val="0B0B0B"/>
        </w:rPr>
        <w:t> indispensables para la realización de actividades distintas</w:t>
      </w:r>
      <w:r>
        <w:rPr>
          <w:color w:val="0B0B0B"/>
        </w:rPr>
        <w:t> de la importación, por las que se deba pagar el IVA o se les aplique la tasa del 0%.</w:t>
      </w:r>
    </w:p>
    <w:p>
      <w:pPr>
        <w:pStyle w:val="BodyText"/>
        <w:spacing w:line="249" w:lineRule="auto" w:before="75"/>
        <w:ind w:right="258"/>
      </w:pPr>
      <w:r>
        <w:rPr>
          <w:color w:val="0B0B0B"/>
        </w:rPr>
        <w:t>En ese sentido, y atendiendo a los elementos considerados por</w:t>
      </w:r>
      <w:r>
        <w:rPr>
          <w:color w:val="0B0B0B"/>
        </w:rPr>
        <w:t> la doctrina, debe entenderse como estrictamente indispensable, las inversiones que estén destinadas o relacionadas directamente con la actividad del contribuyente, es decir, que sean necesarias para alcanzar los fines de la actividad del mismo, sin las cuales el objeto</w:t>
      </w:r>
      <w:r>
        <w:rPr>
          <w:color w:val="0B0B0B"/>
          <w:spacing w:val="40"/>
        </w:rPr>
        <w:t> </w:t>
      </w:r>
      <w:r>
        <w:rPr>
          <w:color w:val="0B0B0B"/>
        </w:rPr>
        <w:t>del</w:t>
      </w:r>
      <w:r>
        <w:rPr>
          <w:color w:val="0B0B0B"/>
          <w:spacing w:val="-2"/>
        </w:rPr>
        <w:t> </w:t>
      </w:r>
      <w:r>
        <w:rPr>
          <w:color w:val="0B0B0B"/>
        </w:rPr>
        <w:t>contribuyente</w:t>
      </w:r>
      <w:r>
        <w:rPr>
          <w:color w:val="0B0B0B"/>
          <w:spacing w:val="-2"/>
        </w:rPr>
        <w:t> </w:t>
      </w:r>
      <w:r>
        <w:rPr>
          <w:color w:val="0B0B0B"/>
        </w:rPr>
        <w:t>se</w:t>
      </w:r>
      <w:r>
        <w:rPr>
          <w:color w:val="0B0B0B"/>
          <w:spacing w:val="-2"/>
        </w:rPr>
        <w:t> </w:t>
      </w:r>
      <w:r>
        <w:rPr>
          <w:color w:val="0B0B0B"/>
        </w:rPr>
        <w:t>vería</w:t>
      </w:r>
      <w:r>
        <w:rPr>
          <w:color w:val="0B0B0B"/>
          <w:spacing w:val="-1"/>
        </w:rPr>
        <w:t> </w:t>
      </w:r>
      <w:r>
        <w:rPr>
          <w:color w:val="0B0B0B"/>
        </w:rPr>
        <w:t>obstaculizado,</w:t>
      </w:r>
      <w:r>
        <w:rPr>
          <w:color w:val="0B0B0B"/>
          <w:spacing w:val="-1"/>
        </w:rPr>
        <w:t> </w:t>
      </w:r>
      <w:r>
        <w:rPr>
          <w:color w:val="0B0B0B"/>
        </w:rPr>
        <w:t>al</w:t>
      </w:r>
      <w:r>
        <w:rPr>
          <w:color w:val="0B0B0B"/>
          <w:spacing w:val="-2"/>
        </w:rPr>
        <w:t> </w:t>
      </w:r>
      <w:r>
        <w:rPr>
          <w:color w:val="0B0B0B"/>
        </w:rPr>
        <w:t>grado</w:t>
      </w:r>
      <w:r>
        <w:rPr>
          <w:color w:val="0B0B0B"/>
          <w:spacing w:val="-2"/>
        </w:rPr>
        <w:t> </w:t>
      </w:r>
      <w:r>
        <w:rPr>
          <w:color w:val="0B0B0B"/>
        </w:rPr>
        <w:t>tal</w:t>
      </w:r>
      <w:r>
        <w:rPr>
          <w:color w:val="0B0B0B"/>
          <w:spacing w:val="-2"/>
        </w:rPr>
        <w:t> </w:t>
      </w:r>
      <w:r>
        <w:rPr>
          <w:color w:val="0B0B0B"/>
        </w:rPr>
        <w:t>que</w:t>
      </w:r>
      <w:r>
        <w:rPr>
          <w:color w:val="0B0B0B"/>
          <w:spacing w:val="-2"/>
        </w:rPr>
        <w:t> </w:t>
      </w:r>
      <w:r>
        <w:rPr>
          <w:color w:val="0B0B0B"/>
        </w:rPr>
        <w:t>se</w:t>
      </w:r>
      <w:r>
        <w:rPr>
          <w:color w:val="0B0B0B"/>
          <w:spacing w:val="-1"/>
        </w:rPr>
        <w:t> </w:t>
      </w:r>
      <w:r>
        <w:rPr>
          <w:color w:val="0B0B0B"/>
        </w:rPr>
        <w:t>impediría</w:t>
      </w:r>
      <w:r>
        <w:rPr>
          <w:color w:val="0B0B0B"/>
          <w:spacing w:val="-2"/>
        </w:rPr>
        <w:t> </w:t>
      </w:r>
      <w:r>
        <w:rPr>
          <w:color w:val="0B0B0B"/>
        </w:rPr>
        <w:t>la</w:t>
      </w:r>
      <w:r>
        <w:rPr>
          <w:color w:val="0B0B0B"/>
          <w:spacing w:val="-2"/>
        </w:rPr>
        <w:t> </w:t>
      </w:r>
      <w:r>
        <w:rPr>
          <w:color w:val="0B0B0B"/>
        </w:rPr>
        <w:t>realización</w:t>
      </w:r>
      <w:r>
        <w:rPr>
          <w:color w:val="0B0B0B"/>
          <w:spacing w:val="-2"/>
        </w:rPr>
        <w:t> </w:t>
      </w:r>
      <w:r>
        <w:rPr>
          <w:color w:val="0B0B0B"/>
        </w:rPr>
        <w:t>de su objeto social.</w:t>
      </w:r>
    </w:p>
    <w:p>
      <w:pPr>
        <w:pStyle w:val="BodyText"/>
        <w:spacing w:line="249" w:lineRule="auto" w:before="76"/>
        <w:ind w:right="256"/>
      </w:pPr>
      <w:r>
        <w:rPr>
          <w:color w:val="0B0B0B"/>
        </w:rPr>
        <w:t>Ahora</w:t>
      </w:r>
      <w:r>
        <w:rPr>
          <w:color w:val="0B0B0B"/>
          <w:spacing w:val="-3"/>
        </w:rPr>
        <w:t> </w:t>
      </w:r>
      <w:r>
        <w:rPr>
          <w:color w:val="0B0B0B"/>
        </w:rPr>
        <w:t>bien,</w:t>
      </w:r>
      <w:r>
        <w:rPr>
          <w:color w:val="0B0B0B"/>
          <w:spacing w:val="-3"/>
        </w:rPr>
        <w:t> </w:t>
      </w:r>
      <w:r>
        <w:rPr>
          <w:color w:val="0B0B0B"/>
        </w:rPr>
        <w:t>se</w:t>
      </w:r>
      <w:r>
        <w:rPr>
          <w:color w:val="0B0B0B"/>
          <w:spacing w:val="-3"/>
        </w:rPr>
        <w:t> </w:t>
      </w:r>
      <w:r>
        <w:rPr>
          <w:color w:val="0B0B0B"/>
        </w:rPr>
        <w:t>tiene</w:t>
      </w:r>
      <w:r>
        <w:rPr>
          <w:color w:val="0B0B0B"/>
          <w:spacing w:val="-3"/>
        </w:rPr>
        <w:t> </w:t>
      </w:r>
      <w:r>
        <w:rPr>
          <w:color w:val="0B0B0B"/>
        </w:rPr>
        <w:t>conocimiento</w:t>
      </w:r>
      <w:r>
        <w:rPr>
          <w:color w:val="0B0B0B"/>
          <w:spacing w:val="-3"/>
        </w:rPr>
        <w:t> </w:t>
      </w:r>
      <w:r>
        <w:rPr>
          <w:color w:val="0B0B0B"/>
        </w:rPr>
        <w:t>de</w:t>
      </w:r>
      <w:r>
        <w:rPr>
          <w:color w:val="0B0B0B"/>
          <w:spacing w:val="-3"/>
        </w:rPr>
        <w:t> </w:t>
      </w:r>
      <w:r>
        <w:rPr>
          <w:color w:val="0B0B0B"/>
        </w:rPr>
        <w:t>que</w:t>
      </w:r>
      <w:r>
        <w:rPr>
          <w:color w:val="0B0B0B"/>
          <w:spacing w:val="-3"/>
        </w:rPr>
        <w:t> </w:t>
      </w:r>
      <w:r>
        <w:rPr>
          <w:color w:val="0B0B0B"/>
        </w:rPr>
        <w:t>a</w:t>
      </w:r>
      <w:r>
        <w:rPr>
          <w:color w:val="0B0B0B"/>
          <w:spacing w:val="-3"/>
        </w:rPr>
        <w:t> </w:t>
      </w:r>
      <w:r>
        <w:rPr>
          <w:color w:val="0B0B0B"/>
        </w:rPr>
        <w:t>través</w:t>
      </w:r>
      <w:r>
        <w:rPr>
          <w:color w:val="0B0B0B"/>
          <w:spacing w:val="-3"/>
        </w:rPr>
        <w:t> </w:t>
      </w:r>
      <w:r>
        <w:rPr>
          <w:color w:val="0B0B0B"/>
        </w:rPr>
        <w:t>de</w:t>
      </w:r>
      <w:r>
        <w:rPr>
          <w:color w:val="0B0B0B"/>
          <w:spacing w:val="-3"/>
        </w:rPr>
        <w:t> </w:t>
      </w:r>
      <w:r>
        <w:rPr>
          <w:color w:val="0B0B0B"/>
        </w:rPr>
        <w:t>la</w:t>
      </w:r>
      <w:r>
        <w:rPr>
          <w:color w:val="0B0B0B"/>
          <w:spacing w:val="-4"/>
        </w:rPr>
        <w:t> </w:t>
      </w:r>
      <w:r>
        <w:rPr>
          <w:color w:val="0B0B0B"/>
        </w:rPr>
        <w:t>figura</w:t>
      </w:r>
      <w:r>
        <w:rPr>
          <w:color w:val="0B0B0B"/>
          <w:spacing w:val="-3"/>
        </w:rPr>
        <w:t> </w:t>
      </w:r>
      <w:r>
        <w:rPr>
          <w:color w:val="0B0B0B"/>
        </w:rPr>
        <w:t>del</w:t>
      </w:r>
      <w:r>
        <w:rPr>
          <w:color w:val="0B0B0B"/>
          <w:spacing w:val="-3"/>
        </w:rPr>
        <w:t> </w:t>
      </w:r>
      <w:r>
        <w:rPr>
          <w:color w:val="0B0B0B"/>
        </w:rPr>
        <w:t>comodato</w:t>
      </w:r>
      <w:r>
        <w:rPr>
          <w:color w:val="0B0B0B"/>
          <w:spacing w:val="-3"/>
        </w:rPr>
        <w:t> </w:t>
      </w:r>
      <w:r>
        <w:rPr>
          <w:color w:val="0B0B0B"/>
        </w:rPr>
        <w:t>—contrato por virtud del cual uno de los contratantes se obliga a conceder gratuitamente el uso</w:t>
      </w:r>
      <w:r>
        <w:rPr>
          <w:color w:val="0B0B0B"/>
          <w:spacing w:val="40"/>
        </w:rPr>
        <w:t> </w:t>
      </w:r>
      <w:r>
        <w:rPr>
          <w:color w:val="0B0B0B"/>
        </w:rPr>
        <w:t>de una cosa no fungible, como lo puede ser</w:t>
      </w:r>
      <w:r>
        <w:rPr>
          <w:color w:val="0B0B0B"/>
        </w:rPr>
        <w:t> un automóvil, y el otro contratante se obliga a restituirla— los contribuyentes efectúan erogaciones que pretenden deducir por</w:t>
      </w:r>
      <w:r>
        <w:rPr>
          <w:color w:val="0B0B0B"/>
          <w:spacing w:val="-3"/>
        </w:rPr>
        <w:t> </w:t>
      </w:r>
      <w:r>
        <w:rPr>
          <w:color w:val="0B0B0B"/>
        </w:rPr>
        <w:t>concepto</w:t>
      </w:r>
      <w:r>
        <w:rPr>
          <w:color w:val="0B0B0B"/>
          <w:spacing w:val="-2"/>
        </w:rPr>
        <w:t> </w:t>
      </w:r>
      <w:r>
        <w:rPr>
          <w:color w:val="0B0B0B"/>
        </w:rPr>
        <w:t>de</w:t>
      </w:r>
      <w:r>
        <w:rPr>
          <w:color w:val="0B0B0B"/>
          <w:spacing w:val="-4"/>
        </w:rPr>
        <w:t> </w:t>
      </w:r>
      <w:r>
        <w:rPr>
          <w:color w:val="0B0B0B"/>
        </w:rPr>
        <w:t>inversión</w:t>
      </w:r>
      <w:r>
        <w:rPr>
          <w:color w:val="0B0B0B"/>
          <w:spacing w:val="-2"/>
        </w:rPr>
        <w:t> </w:t>
      </w:r>
      <w:r>
        <w:rPr>
          <w:color w:val="0B0B0B"/>
        </w:rPr>
        <w:t>por</w:t>
      </w:r>
      <w:r>
        <w:rPr>
          <w:color w:val="0B0B0B"/>
          <w:spacing w:val="-4"/>
        </w:rPr>
        <w:t> </w:t>
      </w:r>
      <w:r>
        <w:rPr>
          <w:color w:val="0B0B0B"/>
        </w:rPr>
        <w:t>la</w:t>
      </w:r>
      <w:r>
        <w:rPr>
          <w:color w:val="0B0B0B"/>
          <w:spacing w:val="-2"/>
        </w:rPr>
        <w:t> </w:t>
      </w:r>
      <w:r>
        <w:rPr>
          <w:color w:val="0B0B0B"/>
        </w:rPr>
        <w:t>adquisición</w:t>
      </w:r>
      <w:r>
        <w:rPr>
          <w:color w:val="0B0B0B"/>
          <w:spacing w:val="-1"/>
        </w:rPr>
        <w:t> </w:t>
      </w:r>
      <w:r>
        <w:rPr>
          <w:color w:val="0B0B0B"/>
        </w:rPr>
        <w:t>de</w:t>
      </w:r>
      <w:r>
        <w:rPr>
          <w:color w:val="0B0B0B"/>
          <w:spacing w:val="-2"/>
        </w:rPr>
        <w:t> </w:t>
      </w:r>
      <w:r>
        <w:rPr>
          <w:color w:val="0B0B0B"/>
        </w:rPr>
        <w:t>un</w:t>
      </w:r>
      <w:r>
        <w:rPr>
          <w:color w:val="0B0B0B"/>
          <w:spacing w:val="-2"/>
        </w:rPr>
        <w:t> </w:t>
      </w:r>
      <w:r>
        <w:rPr>
          <w:color w:val="0B0B0B"/>
        </w:rPr>
        <w:t>automóvil,</w:t>
      </w:r>
      <w:r>
        <w:rPr>
          <w:color w:val="0B0B0B"/>
          <w:spacing w:val="-3"/>
        </w:rPr>
        <w:t> </w:t>
      </w:r>
      <w:r>
        <w:rPr>
          <w:color w:val="0B0B0B"/>
        </w:rPr>
        <w:t>gastos</w:t>
      </w:r>
      <w:r>
        <w:rPr>
          <w:color w:val="0B0B0B"/>
          <w:spacing w:val="-2"/>
        </w:rPr>
        <w:t> </w:t>
      </w:r>
      <w:r>
        <w:rPr>
          <w:color w:val="0B0B0B"/>
        </w:rPr>
        <w:t>de</w:t>
      </w:r>
      <w:r>
        <w:rPr>
          <w:color w:val="0B0B0B"/>
          <w:spacing w:val="-2"/>
        </w:rPr>
        <w:t> </w:t>
      </w:r>
      <w:r>
        <w:rPr>
          <w:color w:val="0B0B0B"/>
        </w:rPr>
        <w:t>mantenimiento y pagos por</w:t>
      </w:r>
      <w:r>
        <w:rPr>
          <w:color w:val="0B0B0B"/>
        </w:rPr>
        <w:t> el seguro correspondiente, no obstante que es evidente, que en este supuesto el bien obtenido no es destinado a la actividad del adquirente; no se utiliza para alcanzar los fines de su actividad y esta no se ve obstaculizada sin su</w:t>
      </w:r>
      <w:r>
        <w:rPr>
          <w:color w:val="0B0B0B"/>
          <w:spacing w:val="40"/>
        </w:rPr>
        <w:t> </w:t>
      </w:r>
      <w:r>
        <w:rPr>
          <w:color w:val="0B0B0B"/>
        </w:rPr>
        <w:t>adquisición, ya que se transfiere su uso a un tercero.</w:t>
      </w:r>
    </w:p>
    <w:p>
      <w:pPr>
        <w:pStyle w:val="BodyText"/>
        <w:spacing w:before="79"/>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6"/>
        </w:numPr>
        <w:tabs>
          <w:tab w:pos="2664" w:val="left" w:leader="none"/>
        </w:tabs>
        <w:spacing w:line="249" w:lineRule="auto" w:before="81" w:after="0"/>
        <w:ind w:left="2664" w:right="257" w:hanging="504"/>
        <w:jc w:val="both"/>
        <w:rPr>
          <w:sz w:val="18"/>
        </w:rPr>
      </w:pPr>
      <w:r>
        <w:rPr>
          <w:color w:val="0B0B0B"/>
          <w:sz w:val="18"/>
        </w:rPr>
        <w:t>Deducir la inversión por la adquisición de un automóvil, los gastos de mantenimiento o los pagos por seguro correspondientes al mismo, cuando </w:t>
      </w:r>
      <w:r>
        <w:rPr>
          <w:color w:val="0B0B0B"/>
          <w:sz w:val="18"/>
        </w:rPr>
        <w:t>haya sido otorgado en comodato a otra persona y no se utilice para la realización de las</w:t>
      </w:r>
      <w:r>
        <w:rPr>
          <w:color w:val="0B0B0B"/>
          <w:spacing w:val="-1"/>
          <w:sz w:val="18"/>
        </w:rPr>
        <w:t> </w:t>
      </w:r>
      <w:r>
        <w:rPr>
          <w:color w:val="0B0B0B"/>
          <w:sz w:val="18"/>
        </w:rPr>
        <w:t>actividades propias</w:t>
      </w:r>
      <w:r>
        <w:rPr>
          <w:color w:val="0B0B0B"/>
          <w:spacing w:val="-1"/>
          <w:sz w:val="18"/>
        </w:rPr>
        <w:t> </w:t>
      </w:r>
      <w:r>
        <w:rPr>
          <w:color w:val="0B0B0B"/>
          <w:sz w:val="18"/>
        </w:rPr>
        <w:t>del</w:t>
      </w:r>
      <w:r>
        <w:rPr>
          <w:color w:val="0B0B0B"/>
          <w:spacing w:val="-1"/>
          <w:sz w:val="18"/>
        </w:rPr>
        <w:t> </w:t>
      </w:r>
      <w:r>
        <w:rPr>
          <w:color w:val="0B0B0B"/>
          <w:sz w:val="18"/>
        </w:rPr>
        <w:t>contribuyente por las</w:t>
      </w:r>
      <w:r>
        <w:rPr>
          <w:color w:val="0B0B0B"/>
          <w:spacing w:val="-1"/>
          <w:sz w:val="18"/>
        </w:rPr>
        <w:t> </w:t>
      </w:r>
      <w:r>
        <w:rPr>
          <w:color w:val="0B0B0B"/>
          <w:sz w:val="18"/>
        </w:rPr>
        <w:t>que</w:t>
      </w:r>
      <w:r>
        <w:rPr>
          <w:color w:val="0B0B0B"/>
          <w:spacing w:val="-1"/>
          <w:sz w:val="18"/>
        </w:rPr>
        <w:t> </w:t>
      </w:r>
      <w:r>
        <w:rPr>
          <w:color w:val="0B0B0B"/>
          <w:sz w:val="18"/>
        </w:rPr>
        <w:t>deba pagar</w:t>
      </w:r>
      <w:r>
        <w:rPr>
          <w:color w:val="0B0B0B"/>
          <w:spacing w:val="-1"/>
          <w:sz w:val="18"/>
        </w:rPr>
        <w:t> </w:t>
      </w:r>
      <w:r>
        <w:rPr>
          <w:color w:val="0B0B0B"/>
          <w:sz w:val="18"/>
        </w:rPr>
        <w:t>impuestos;</w:t>
      </w:r>
      <w:r>
        <w:rPr>
          <w:color w:val="0B0B0B"/>
          <w:spacing w:val="-1"/>
          <w:sz w:val="18"/>
        </w:rPr>
        <w:t> </w:t>
      </w:r>
      <w:r>
        <w:rPr>
          <w:color w:val="0B0B0B"/>
          <w:sz w:val="18"/>
        </w:rPr>
        <w:t>ello en virtud de que, dichas erogaciones no son deducibles por no cumplir con el requisito de ser estrictamente indispensables.</w:t>
      </w:r>
    </w:p>
    <w:p>
      <w:pPr>
        <w:pStyle w:val="ListParagraph"/>
        <w:numPr>
          <w:ilvl w:val="0"/>
          <w:numId w:val="26"/>
        </w:numPr>
        <w:tabs>
          <w:tab w:pos="2664" w:val="left" w:leader="none"/>
        </w:tabs>
        <w:spacing w:line="249" w:lineRule="auto" w:before="76" w:after="0"/>
        <w:ind w:left="2664" w:right="257" w:hanging="504"/>
        <w:jc w:val="both"/>
        <w:rPr>
          <w:sz w:val="18"/>
        </w:rPr>
      </w:pPr>
      <w:r>
        <w:rPr>
          <w:color w:val="0B0B0B"/>
          <w:sz w:val="18"/>
        </w:rPr>
        <w:t>Acreditar</w:t>
      </w:r>
      <w:r>
        <w:rPr>
          <w:color w:val="0B0B0B"/>
          <w:spacing w:val="-3"/>
          <w:sz w:val="18"/>
        </w:rPr>
        <w:t> </w:t>
      </w:r>
      <w:r>
        <w:rPr>
          <w:color w:val="0B0B0B"/>
          <w:sz w:val="18"/>
        </w:rPr>
        <w:t>el</w:t>
      </w:r>
      <w:r>
        <w:rPr>
          <w:color w:val="0B0B0B"/>
          <w:spacing w:val="-3"/>
          <w:sz w:val="18"/>
        </w:rPr>
        <w:t> </w:t>
      </w:r>
      <w:r>
        <w:rPr>
          <w:color w:val="0B0B0B"/>
          <w:sz w:val="18"/>
        </w:rPr>
        <w:t>IVA</w:t>
      </w:r>
      <w:r>
        <w:rPr>
          <w:color w:val="0B0B0B"/>
          <w:spacing w:val="-3"/>
          <w:sz w:val="18"/>
        </w:rPr>
        <w:t> </w:t>
      </w:r>
      <w:r>
        <w:rPr>
          <w:color w:val="0B0B0B"/>
          <w:sz w:val="18"/>
        </w:rPr>
        <w:t>pagado</w:t>
      </w:r>
      <w:r>
        <w:rPr>
          <w:color w:val="0B0B0B"/>
          <w:spacing w:val="-2"/>
          <w:sz w:val="18"/>
        </w:rPr>
        <w:t> </w:t>
      </w:r>
      <w:r>
        <w:rPr>
          <w:color w:val="0B0B0B"/>
          <w:sz w:val="18"/>
        </w:rPr>
        <w:t>por</w:t>
      </w:r>
      <w:r>
        <w:rPr>
          <w:color w:val="0B0B0B"/>
          <w:spacing w:val="-3"/>
          <w:sz w:val="18"/>
        </w:rPr>
        <w:t> </w:t>
      </w:r>
      <w:r>
        <w:rPr>
          <w:color w:val="0B0B0B"/>
          <w:sz w:val="18"/>
        </w:rPr>
        <w:t>los</w:t>
      </w:r>
      <w:r>
        <w:rPr>
          <w:color w:val="0B0B0B"/>
          <w:spacing w:val="-3"/>
          <w:sz w:val="18"/>
        </w:rPr>
        <w:t> </w:t>
      </w:r>
      <w:r>
        <w:rPr>
          <w:color w:val="0B0B0B"/>
          <w:sz w:val="18"/>
        </w:rPr>
        <w:t>conceptos</w:t>
      </w:r>
      <w:r>
        <w:rPr>
          <w:color w:val="0B0B0B"/>
          <w:spacing w:val="-3"/>
          <w:sz w:val="18"/>
        </w:rPr>
        <w:t> </w:t>
      </w:r>
      <w:r>
        <w:rPr>
          <w:color w:val="0B0B0B"/>
          <w:sz w:val="18"/>
        </w:rPr>
        <w:t>adquisición,</w:t>
      </w:r>
      <w:r>
        <w:rPr>
          <w:color w:val="0B0B0B"/>
          <w:spacing w:val="-3"/>
          <w:sz w:val="18"/>
        </w:rPr>
        <w:t> </w:t>
      </w:r>
      <w:r>
        <w:rPr>
          <w:color w:val="0B0B0B"/>
          <w:sz w:val="18"/>
        </w:rPr>
        <w:t>gastos</w:t>
      </w:r>
      <w:r>
        <w:rPr>
          <w:color w:val="0B0B0B"/>
          <w:spacing w:val="-3"/>
          <w:sz w:val="18"/>
        </w:rPr>
        <w:t> </w:t>
      </w:r>
      <w:r>
        <w:rPr>
          <w:color w:val="0B0B0B"/>
          <w:sz w:val="18"/>
        </w:rPr>
        <w:t>de</w:t>
      </w:r>
      <w:r>
        <w:rPr>
          <w:color w:val="0B0B0B"/>
          <w:spacing w:val="-3"/>
          <w:sz w:val="18"/>
        </w:rPr>
        <w:t> </w:t>
      </w:r>
      <w:r>
        <w:rPr>
          <w:color w:val="0B0B0B"/>
          <w:sz w:val="18"/>
        </w:rPr>
        <w:t>mantenimiento o los pagos por seguro de un automóvil, cuando el mismo haya sido otorgado</w:t>
      </w:r>
      <w:r>
        <w:rPr>
          <w:color w:val="0B0B0B"/>
          <w:spacing w:val="40"/>
          <w:sz w:val="18"/>
        </w:rPr>
        <w:t> </w:t>
      </w:r>
      <w:r>
        <w:rPr>
          <w:color w:val="0B0B0B"/>
          <w:sz w:val="18"/>
        </w:rPr>
        <w:t>en comodato a otra persona y no lo utilice para la realización de las actividades propias del contribuyente por las que deba pagar impuestos; ello en virtud de que el IVA no corresponde a bienes o servicios estrictamente indispensables.</w:t>
      </w:r>
    </w:p>
    <w:p>
      <w:pPr>
        <w:pStyle w:val="ListParagraph"/>
        <w:numPr>
          <w:ilvl w:val="0"/>
          <w:numId w:val="26"/>
        </w:numPr>
        <w:tabs>
          <w:tab w:pos="2662" w:val="left" w:leader="none"/>
          <w:tab w:pos="2664" w:val="left" w:leader="none"/>
        </w:tabs>
        <w:spacing w:line="249" w:lineRule="auto" w:before="76" w:after="0"/>
        <w:ind w:left="2664" w:right="259" w:hanging="504"/>
        <w:jc w:val="both"/>
        <w:rPr>
          <w:sz w:val="18"/>
        </w:rPr>
      </w:pPr>
      <w:r>
        <w:rPr>
          <w:color w:val="0B0B0B"/>
          <w:sz w:val="18"/>
        </w:rPr>
        <w:t>Asesorar, aconsejar, prestar servicios o participar en la realización o la implementación de cualquiera de las prácticas anteriores.</w:t>
      </w:r>
    </w:p>
    <w:p>
      <w:pPr>
        <w:pStyle w:val="BodyText"/>
        <w:spacing w:before="0"/>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08"/>
      </w:tblGrid>
      <w:tr>
        <w:trPr>
          <w:trHeight w:val="288" w:hRule="atLeast"/>
        </w:trPr>
        <w:tc>
          <w:tcPr>
            <w:tcW w:w="2778" w:type="dxa"/>
            <w:shd w:val="clear" w:color="auto" w:fill="BDBDBD"/>
          </w:tcPr>
          <w:p>
            <w:pPr>
              <w:pStyle w:val="TableParagraph"/>
              <w:ind w:left="12"/>
              <w:jc w:val="center"/>
              <w:rPr>
                <w:rFonts w:ascii="Arial"/>
                <w:b/>
                <w:sz w:val="16"/>
              </w:rPr>
            </w:pPr>
            <w:r>
              <w:rPr>
                <w:rFonts w:ascii="Arial"/>
                <w:b/>
                <w:color w:val="0B0B0B"/>
                <w:spacing w:val="-2"/>
                <w:sz w:val="16"/>
              </w:rPr>
              <w:t>Origen</w:t>
            </w:r>
          </w:p>
        </w:tc>
        <w:tc>
          <w:tcPr>
            <w:tcW w:w="4108" w:type="dxa"/>
            <w:shd w:val="clear" w:color="auto" w:fill="BDBDBD"/>
          </w:tcPr>
          <w:p>
            <w:pPr>
              <w:pStyle w:val="TableParagraph"/>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03" w:hRule="atLeast"/>
        </w:trPr>
        <w:tc>
          <w:tcPr>
            <w:tcW w:w="2778" w:type="dxa"/>
          </w:tcPr>
          <w:p>
            <w:pPr>
              <w:pStyle w:val="TableParagraph"/>
              <w:tabs>
                <w:tab w:pos="1183" w:val="left" w:leader="none"/>
                <w:tab w:pos="2526" w:val="left" w:leader="none"/>
              </w:tabs>
              <w:spacing w:line="280" w:lineRule="auto" w:before="22"/>
              <w:ind w:right="57"/>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2015</w:t>
            </w:r>
          </w:p>
        </w:tc>
        <w:tc>
          <w:tcPr>
            <w:tcW w:w="4108" w:type="dxa"/>
          </w:tcPr>
          <w:p>
            <w:pPr>
              <w:pStyle w:val="TableParagraph"/>
              <w:spacing w:line="280" w:lineRule="auto" w:before="22"/>
              <w:rPr>
                <w:sz w:val="16"/>
              </w:rPr>
            </w:pPr>
            <w:r>
              <w:rPr>
                <w:color w:val="0B0B0B"/>
                <w:sz w:val="16"/>
              </w:rPr>
              <w:t>Publicada en el DOF el 3 de marzo de 2015, Anexo </w:t>
            </w:r>
            <w:r>
              <w:rPr>
                <w:color w:val="0B0B0B"/>
                <w:sz w:val="16"/>
              </w:rPr>
              <w:t>3, publicado en el DOF el 6 de marzo de 2015.</w:t>
            </w:r>
          </w:p>
        </w:tc>
      </w:tr>
    </w:tbl>
    <w:p>
      <w:pPr>
        <w:pStyle w:val="BodyText"/>
        <w:spacing w:before="87"/>
        <w:ind w:left="0"/>
        <w:jc w:val="left"/>
      </w:pPr>
    </w:p>
    <w:p>
      <w:pPr>
        <w:pStyle w:val="Heading1"/>
        <w:spacing w:line="249" w:lineRule="auto"/>
        <w:ind w:right="259"/>
        <w:jc w:val="both"/>
      </w:pPr>
      <w:r>
        <w:rPr>
          <w:color w:val="0B0B0B"/>
        </w:rPr>
        <w:t>23/ISR/PI</w:t>
      </w:r>
      <w:r>
        <w:rPr>
          <w:color w:val="0B0B0B"/>
          <w:spacing w:val="40"/>
        </w:rPr>
        <w:t> </w:t>
      </w:r>
      <w:r>
        <w:rPr>
          <w:color w:val="0B0B0B"/>
        </w:rPr>
        <w:t>Medios de pago en gastos médicos, dentales, por servicios en materia de psicología, nutrición u hospitalarios.</w:t>
      </w:r>
    </w:p>
    <w:p>
      <w:pPr>
        <w:pStyle w:val="BodyText"/>
        <w:spacing w:line="249" w:lineRule="auto" w:before="73"/>
        <w:ind w:right="256"/>
      </w:pPr>
      <w:r>
        <w:rPr>
          <w:color w:val="0B0B0B"/>
        </w:rPr>
        <w:t>El artículo 151, fracción I de la Ley del ISR, establece que las personas físicas residentes en el país que obtengan ingresos de los señalados en el Título</w:t>
      </w:r>
      <w:r>
        <w:rPr>
          <w:color w:val="0B0B0B"/>
        </w:rPr>
        <w:t> IV de la respectiva Ley, podrán calcular el impuesto anual realizando además de las deducciones</w:t>
      </w:r>
      <w:r>
        <w:rPr>
          <w:color w:val="0B0B0B"/>
          <w:spacing w:val="80"/>
        </w:rPr>
        <w:t> </w:t>
      </w:r>
      <w:r>
        <w:rPr>
          <w:color w:val="0B0B0B"/>
        </w:rPr>
        <w:t>autorizadas</w:t>
      </w:r>
      <w:r>
        <w:rPr>
          <w:color w:val="0B0B0B"/>
          <w:spacing w:val="80"/>
        </w:rPr>
        <w:t> </w:t>
      </w:r>
      <w:r>
        <w:rPr>
          <w:color w:val="0B0B0B"/>
        </w:rPr>
        <w:t>en</w:t>
      </w:r>
      <w:r>
        <w:rPr>
          <w:color w:val="0B0B0B"/>
          <w:spacing w:val="80"/>
        </w:rPr>
        <w:t> </w:t>
      </w:r>
      <w:r>
        <w:rPr>
          <w:color w:val="0B0B0B"/>
        </w:rPr>
        <w:t>cada</w:t>
      </w:r>
      <w:r>
        <w:rPr>
          <w:color w:val="0B0B0B"/>
          <w:spacing w:val="80"/>
        </w:rPr>
        <w:t> </w:t>
      </w:r>
      <w:r>
        <w:rPr>
          <w:color w:val="0B0B0B"/>
        </w:rPr>
        <w:t>Capítulo</w:t>
      </w:r>
      <w:r>
        <w:rPr>
          <w:color w:val="0B0B0B"/>
          <w:spacing w:val="80"/>
        </w:rPr>
        <w:t> </w:t>
      </w:r>
      <w:r>
        <w:rPr>
          <w:color w:val="0B0B0B"/>
        </w:rPr>
        <w:t>de</w:t>
      </w:r>
      <w:r>
        <w:rPr>
          <w:color w:val="0B0B0B"/>
          <w:spacing w:val="80"/>
        </w:rPr>
        <w:t> </w:t>
      </w:r>
      <w:r>
        <w:rPr>
          <w:color w:val="0B0B0B"/>
        </w:rPr>
        <w:t>la</w:t>
      </w:r>
      <w:r>
        <w:rPr>
          <w:color w:val="0B0B0B"/>
          <w:spacing w:val="80"/>
        </w:rPr>
        <w:t> </w:t>
      </w:r>
      <w:r>
        <w:rPr>
          <w:color w:val="0B0B0B"/>
        </w:rPr>
        <w:t>Ley</w:t>
      </w:r>
      <w:r>
        <w:rPr>
          <w:color w:val="0B0B0B"/>
          <w:spacing w:val="80"/>
        </w:rPr>
        <w:t> </w:t>
      </w:r>
      <w:r>
        <w:rPr>
          <w:color w:val="0B0B0B"/>
        </w:rPr>
        <w:t>que</w:t>
      </w:r>
      <w:r>
        <w:rPr>
          <w:color w:val="0B0B0B"/>
          <w:spacing w:val="80"/>
        </w:rPr>
        <w:t> </w:t>
      </w:r>
      <w:r>
        <w:rPr>
          <w:color w:val="0B0B0B"/>
        </w:rPr>
        <w:t>les</w:t>
      </w:r>
      <w:r>
        <w:rPr>
          <w:color w:val="0B0B0B"/>
          <w:spacing w:val="80"/>
        </w:rPr>
        <w:t> </w:t>
      </w:r>
      <w:r>
        <w:rPr>
          <w:color w:val="0B0B0B"/>
        </w:rPr>
        <w:t>correspondan, las deducciones personales por el pago de gastos por los pagos de honorarios médicos, dentales, servicios profesionales en materia de psicología y nutrición prestados por personas con título profesional legalmente</w:t>
      </w:r>
      <w:r>
        <w:rPr>
          <w:color w:val="0B0B0B"/>
          <w:spacing w:val="1"/>
        </w:rPr>
        <w:t> </w:t>
      </w:r>
      <w:r>
        <w:rPr>
          <w:color w:val="0B0B0B"/>
        </w:rPr>
        <w:t>expedido</w:t>
      </w:r>
      <w:r>
        <w:rPr>
          <w:color w:val="0B0B0B"/>
          <w:spacing w:val="1"/>
        </w:rPr>
        <w:t> </w:t>
      </w:r>
      <w:r>
        <w:rPr>
          <w:color w:val="0B0B0B"/>
        </w:rPr>
        <w:t>y registrado por </w:t>
      </w:r>
      <w:r>
        <w:rPr>
          <w:color w:val="0B0B0B"/>
          <w:spacing w:val="-5"/>
        </w:rPr>
        <w:t>las</w:t>
      </w:r>
    </w:p>
    <w:p>
      <w:pPr>
        <w:pStyle w:val="BodyText"/>
        <w:spacing w:after="0" w:line="249" w:lineRule="auto"/>
        <w:sectPr>
          <w:headerReference w:type="default" r:id="rId28"/>
          <w:pgSz w:w="12240" w:h="15840"/>
          <w:pgMar w:header="690" w:footer="0" w:top="1040" w:bottom="280" w:left="1440" w:right="1440"/>
        </w:sectPr>
      </w:pPr>
    </w:p>
    <w:p>
      <w:pPr>
        <w:pStyle w:val="BodyText"/>
        <w:spacing w:line="249" w:lineRule="auto" w:before="112"/>
        <w:ind w:right="257"/>
      </w:pPr>
      <w:r>
        <w:rPr>
          <w:color w:val="0B0B0B"/>
        </w:rPr>
        <w:t>autoridades educativas competentes,</w:t>
      </w:r>
      <w:r>
        <w:rPr>
          <w:color w:val="0B0B0B"/>
        </w:rPr>
        <w:t> así</w:t>
      </w:r>
      <w:r>
        <w:rPr>
          <w:color w:val="0B0B0B"/>
        </w:rPr>
        <w:t> como los gastos hospitalarios, efectuados</w:t>
      </w:r>
      <w:r>
        <w:rPr>
          <w:color w:val="0B0B0B"/>
          <w:spacing w:val="40"/>
        </w:rPr>
        <w:t> </w:t>
      </w:r>
      <w:r>
        <w:rPr>
          <w:color w:val="0B0B0B"/>
        </w:rPr>
        <w:t>por el contribuyente, para sí, para su cónyuge o para la persona con quien viva en concubinato y para sus ascendientes o descendientes</w:t>
      </w:r>
      <w:r>
        <w:rPr>
          <w:color w:val="0B0B0B"/>
        </w:rPr>
        <w:t> en línea recta, siempre que dichas personas no perciban durante el año calendario ingresos en cantidad igual o superior a la que resulte de calcular el salario mínimo general del área geográfica del contribuyente elevado al año, y se efectúen mediante cheque nominativo del contribuyente,</w:t>
      </w:r>
      <w:r>
        <w:rPr>
          <w:color w:val="0B0B0B"/>
          <w:spacing w:val="-3"/>
        </w:rPr>
        <w:t> </w:t>
      </w:r>
      <w:r>
        <w:rPr>
          <w:color w:val="0B0B0B"/>
        </w:rPr>
        <w:t>transferencias</w:t>
      </w:r>
      <w:r>
        <w:rPr>
          <w:color w:val="0B0B0B"/>
          <w:spacing w:val="-2"/>
        </w:rPr>
        <w:t> </w:t>
      </w:r>
      <w:r>
        <w:rPr>
          <w:color w:val="0B0B0B"/>
        </w:rPr>
        <w:t>electrónicas</w:t>
      </w:r>
      <w:r>
        <w:rPr>
          <w:color w:val="0B0B0B"/>
          <w:spacing w:val="-2"/>
        </w:rPr>
        <w:t> </w:t>
      </w:r>
      <w:r>
        <w:rPr>
          <w:color w:val="0B0B0B"/>
        </w:rPr>
        <w:t>de</w:t>
      </w:r>
      <w:r>
        <w:rPr>
          <w:color w:val="0B0B0B"/>
          <w:spacing w:val="-2"/>
        </w:rPr>
        <w:t> </w:t>
      </w:r>
      <w:r>
        <w:rPr>
          <w:color w:val="0B0B0B"/>
        </w:rPr>
        <w:t>fondos,</w:t>
      </w:r>
      <w:r>
        <w:rPr>
          <w:color w:val="0B0B0B"/>
          <w:spacing w:val="-3"/>
        </w:rPr>
        <w:t> </w:t>
      </w:r>
      <w:r>
        <w:rPr>
          <w:color w:val="0B0B0B"/>
        </w:rPr>
        <w:t>desde</w:t>
      </w:r>
      <w:r>
        <w:rPr>
          <w:color w:val="0B0B0B"/>
          <w:spacing w:val="-2"/>
        </w:rPr>
        <w:t> </w:t>
      </w:r>
      <w:r>
        <w:rPr>
          <w:color w:val="0B0B0B"/>
        </w:rPr>
        <w:t>cuentas</w:t>
      </w:r>
      <w:r>
        <w:rPr>
          <w:color w:val="0B0B0B"/>
          <w:spacing w:val="-3"/>
        </w:rPr>
        <w:t> </w:t>
      </w:r>
      <w:r>
        <w:rPr>
          <w:color w:val="0B0B0B"/>
        </w:rPr>
        <w:t>abiertas</w:t>
      </w:r>
      <w:r>
        <w:rPr>
          <w:color w:val="0B0B0B"/>
          <w:spacing w:val="-3"/>
        </w:rPr>
        <w:t> </w:t>
      </w:r>
      <w:r>
        <w:rPr>
          <w:color w:val="0B0B0B"/>
        </w:rPr>
        <w:t>a</w:t>
      </w:r>
      <w:r>
        <w:rPr>
          <w:color w:val="0B0B0B"/>
          <w:spacing w:val="-3"/>
        </w:rPr>
        <w:t> </w:t>
      </w:r>
      <w:r>
        <w:rPr>
          <w:color w:val="0B0B0B"/>
        </w:rPr>
        <w:t>nombre del contribuyente en instituciones que componen el sistema financiero y las entidades que para tal efecto</w:t>
      </w:r>
      <w:r>
        <w:rPr>
          <w:color w:val="0B0B0B"/>
        </w:rPr>
        <w:t> autorice el Banco de México o mediante tarjeta de crédito, de débito, o de servicios.</w:t>
      </w:r>
    </w:p>
    <w:p>
      <w:pPr>
        <w:pStyle w:val="BodyText"/>
        <w:spacing w:line="256" w:lineRule="auto" w:before="84"/>
        <w:ind w:right="257"/>
      </w:pPr>
      <w:r>
        <w:rPr>
          <w:color w:val="0B0B0B"/>
        </w:rPr>
        <w:t>En</w:t>
      </w:r>
      <w:r>
        <w:rPr>
          <w:color w:val="0B0B0B"/>
          <w:spacing w:val="-4"/>
        </w:rPr>
        <w:t> </w:t>
      </w:r>
      <w:r>
        <w:rPr>
          <w:color w:val="0B0B0B"/>
        </w:rPr>
        <w:t>ese</w:t>
      </w:r>
      <w:r>
        <w:rPr>
          <w:color w:val="0B0B0B"/>
          <w:spacing w:val="-4"/>
        </w:rPr>
        <w:t> </w:t>
      </w:r>
      <w:r>
        <w:rPr>
          <w:color w:val="0B0B0B"/>
        </w:rPr>
        <w:t>entendido,</w:t>
      </w:r>
      <w:r>
        <w:rPr>
          <w:color w:val="0B0B0B"/>
          <w:spacing w:val="-4"/>
        </w:rPr>
        <w:t> </w:t>
      </w:r>
      <w:r>
        <w:rPr>
          <w:color w:val="0B0B0B"/>
        </w:rPr>
        <w:t>es</w:t>
      </w:r>
      <w:r>
        <w:rPr>
          <w:color w:val="0B0B0B"/>
          <w:spacing w:val="-4"/>
        </w:rPr>
        <w:t> </w:t>
      </w:r>
      <w:r>
        <w:rPr>
          <w:color w:val="0B0B0B"/>
        </w:rPr>
        <w:t>necesario</w:t>
      </w:r>
      <w:r>
        <w:rPr>
          <w:color w:val="0B0B0B"/>
          <w:spacing w:val="-4"/>
        </w:rPr>
        <w:t> </w:t>
      </w:r>
      <w:r>
        <w:rPr>
          <w:color w:val="0B0B0B"/>
        </w:rPr>
        <w:t>que</w:t>
      </w:r>
      <w:r>
        <w:rPr>
          <w:color w:val="0B0B0B"/>
          <w:spacing w:val="-3"/>
        </w:rPr>
        <w:t> </w:t>
      </w:r>
      <w:r>
        <w:rPr>
          <w:color w:val="0B0B0B"/>
        </w:rPr>
        <w:t>los</w:t>
      </w:r>
      <w:r>
        <w:rPr>
          <w:color w:val="0B0B0B"/>
          <w:spacing w:val="-4"/>
        </w:rPr>
        <w:t> </w:t>
      </w:r>
      <w:r>
        <w:rPr>
          <w:color w:val="0B0B0B"/>
        </w:rPr>
        <w:t>prestadores</w:t>
      </w:r>
      <w:r>
        <w:rPr>
          <w:color w:val="0B0B0B"/>
          <w:spacing w:val="-4"/>
        </w:rPr>
        <w:t> </w:t>
      </w:r>
      <w:r>
        <w:rPr>
          <w:color w:val="0B0B0B"/>
        </w:rPr>
        <w:t>de</w:t>
      </w:r>
      <w:r>
        <w:rPr>
          <w:color w:val="0B0B0B"/>
          <w:spacing w:val="-4"/>
        </w:rPr>
        <w:t> </w:t>
      </w:r>
      <w:r>
        <w:rPr>
          <w:color w:val="0B0B0B"/>
        </w:rPr>
        <w:t>servicios</w:t>
      </w:r>
      <w:r>
        <w:rPr>
          <w:color w:val="0B0B0B"/>
          <w:spacing w:val="-4"/>
        </w:rPr>
        <w:t> </w:t>
      </w:r>
      <w:r>
        <w:rPr>
          <w:color w:val="0B0B0B"/>
        </w:rPr>
        <w:t>médicos,</w:t>
      </w:r>
      <w:r>
        <w:rPr>
          <w:color w:val="0B0B0B"/>
          <w:spacing w:val="-3"/>
        </w:rPr>
        <w:t> </w:t>
      </w:r>
      <w:r>
        <w:rPr>
          <w:color w:val="0B0B0B"/>
        </w:rPr>
        <w:t>dentales,</w:t>
      </w:r>
      <w:r>
        <w:rPr>
          <w:color w:val="0B0B0B"/>
          <w:spacing w:val="-4"/>
        </w:rPr>
        <w:t> </w:t>
      </w:r>
      <w:r>
        <w:rPr>
          <w:color w:val="0B0B0B"/>
        </w:rPr>
        <w:t>en materia de psicología, nutrición y hospitalarios, cuenten con los medios tecnológicos necesarios que permitan a sus clientes</w:t>
      </w:r>
      <w:r>
        <w:rPr>
          <w:color w:val="0B0B0B"/>
        </w:rPr>
        <w:t> realizar el pago del servicio a través de transferencias electrónicas de fondos, desde cuentas abiertas</w:t>
      </w:r>
      <w:r>
        <w:rPr>
          <w:color w:val="0B0B0B"/>
        </w:rPr>
        <w:t> a nombre del contribuyente en instituciones que componen el sistema financiero y las entidades que para tal efecto autorice el Banco de México o mediante tarjeta de crédito, de débito, o de servicios.</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7"/>
        </w:numPr>
        <w:tabs>
          <w:tab w:pos="2664" w:val="left" w:leader="none"/>
        </w:tabs>
        <w:spacing w:line="256" w:lineRule="auto" w:before="116" w:after="0"/>
        <w:ind w:left="2664" w:right="258" w:hanging="504"/>
        <w:jc w:val="both"/>
        <w:rPr>
          <w:sz w:val="18"/>
        </w:rPr>
      </w:pPr>
      <w:r>
        <w:rPr>
          <w:color w:val="0B0B0B"/>
          <w:sz w:val="18"/>
        </w:rPr>
        <w:t>Los prestadores de servicios médicos, dentales, en materia de psicología, nutrición u hospitalarios que no acepten como medio de pago el cheque nominativo del contribuyente, transferencias electrónicas de fondos, desde cuentas abiertas a nombre del contribuyente en instituciones que componen el sistema</w:t>
      </w:r>
      <w:r>
        <w:rPr>
          <w:color w:val="0B0B0B"/>
          <w:sz w:val="18"/>
        </w:rPr>
        <w:t> financiero y las entidades que para tal efecto autorice el Banco de México o mediante tarjeta de crédito, de débito o de servicios.</w:t>
      </w:r>
    </w:p>
    <w:p>
      <w:pPr>
        <w:pStyle w:val="ListParagraph"/>
        <w:numPr>
          <w:ilvl w:val="0"/>
          <w:numId w:val="27"/>
        </w:numPr>
        <w:tabs>
          <w:tab w:pos="2664" w:val="left" w:leader="none"/>
        </w:tabs>
        <w:spacing w:line="256" w:lineRule="auto" w:before="105"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1"/>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322" w:hRule="atLeast"/>
        </w:trPr>
        <w:tc>
          <w:tcPr>
            <w:tcW w:w="2760" w:type="dxa"/>
            <w:shd w:val="clear" w:color="auto" w:fill="BDBDBD"/>
          </w:tcPr>
          <w:p>
            <w:pPr>
              <w:pStyle w:val="TableParagraph"/>
              <w:spacing w:before="27"/>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27"/>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5" w:hRule="atLeast"/>
        </w:trPr>
        <w:tc>
          <w:tcPr>
            <w:tcW w:w="2760" w:type="dxa"/>
          </w:tcPr>
          <w:p>
            <w:pPr>
              <w:pStyle w:val="TableParagraph"/>
              <w:tabs>
                <w:tab w:pos="1170" w:val="left" w:leader="none"/>
                <w:tab w:pos="2509" w:val="left" w:leader="none"/>
              </w:tabs>
              <w:spacing w:line="290" w:lineRule="auto" w:before="28"/>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2015</w:t>
            </w:r>
          </w:p>
        </w:tc>
        <w:tc>
          <w:tcPr>
            <w:tcW w:w="4108" w:type="dxa"/>
          </w:tcPr>
          <w:p>
            <w:pPr>
              <w:pStyle w:val="TableParagraph"/>
              <w:spacing w:line="290" w:lineRule="auto" w:before="28"/>
              <w:rPr>
                <w:sz w:val="16"/>
              </w:rPr>
            </w:pPr>
            <w:r>
              <w:rPr>
                <w:color w:val="0B0B0B"/>
                <w:sz w:val="16"/>
              </w:rPr>
              <w:t>Publicada</w:t>
            </w:r>
            <w:r>
              <w:rPr>
                <w:color w:val="0B0B0B"/>
                <w:spacing w:val="22"/>
                <w:sz w:val="16"/>
              </w:rPr>
              <w:t> </w:t>
            </w:r>
            <w:r>
              <w:rPr>
                <w:color w:val="0B0B0B"/>
                <w:sz w:val="16"/>
              </w:rPr>
              <w:t>en</w:t>
            </w:r>
            <w:r>
              <w:rPr>
                <w:color w:val="0B0B0B"/>
                <w:spacing w:val="22"/>
                <w:sz w:val="16"/>
              </w:rPr>
              <w:t> </w:t>
            </w:r>
            <w:r>
              <w:rPr>
                <w:color w:val="0B0B0B"/>
                <w:sz w:val="16"/>
              </w:rPr>
              <w:t>el</w:t>
            </w:r>
            <w:r>
              <w:rPr>
                <w:color w:val="0B0B0B"/>
                <w:spacing w:val="22"/>
                <w:sz w:val="16"/>
              </w:rPr>
              <w:t> </w:t>
            </w:r>
            <w:r>
              <w:rPr>
                <w:color w:val="0B0B0B"/>
                <w:sz w:val="16"/>
              </w:rPr>
              <w:t>DOF</w:t>
            </w:r>
            <w:r>
              <w:rPr>
                <w:color w:val="0B0B0B"/>
                <w:spacing w:val="23"/>
                <w:sz w:val="16"/>
              </w:rPr>
              <w:t> </w:t>
            </w:r>
            <w:r>
              <w:rPr>
                <w:color w:val="0B0B0B"/>
                <w:sz w:val="16"/>
              </w:rPr>
              <w:t>el</w:t>
            </w:r>
            <w:r>
              <w:rPr>
                <w:color w:val="0B0B0B"/>
                <w:spacing w:val="22"/>
                <w:sz w:val="16"/>
              </w:rPr>
              <w:t> </w:t>
            </w:r>
            <w:r>
              <w:rPr>
                <w:color w:val="0B0B0B"/>
                <w:sz w:val="16"/>
              </w:rPr>
              <w:t>2</w:t>
            </w:r>
            <w:r>
              <w:rPr>
                <w:color w:val="0B0B0B"/>
                <w:spacing w:val="22"/>
                <w:sz w:val="16"/>
              </w:rPr>
              <w:t> </w:t>
            </w:r>
            <w:r>
              <w:rPr>
                <w:color w:val="0B0B0B"/>
                <w:sz w:val="16"/>
              </w:rPr>
              <w:t>de</w:t>
            </w:r>
            <w:r>
              <w:rPr>
                <w:color w:val="0B0B0B"/>
                <w:spacing w:val="22"/>
                <w:sz w:val="16"/>
              </w:rPr>
              <w:t> </w:t>
            </w:r>
            <w:r>
              <w:rPr>
                <w:color w:val="0B0B0B"/>
                <w:sz w:val="16"/>
              </w:rPr>
              <w:t>julio</w:t>
            </w:r>
            <w:r>
              <w:rPr>
                <w:color w:val="0B0B0B"/>
                <w:spacing w:val="22"/>
                <w:sz w:val="16"/>
              </w:rPr>
              <w:t> </w:t>
            </w:r>
            <w:r>
              <w:rPr>
                <w:color w:val="0B0B0B"/>
                <w:sz w:val="16"/>
              </w:rPr>
              <w:t>de</w:t>
            </w:r>
            <w:r>
              <w:rPr>
                <w:color w:val="0B0B0B"/>
                <w:spacing w:val="22"/>
                <w:sz w:val="16"/>
              </w:rPr>
              <w:t> </w:t>
            </w:r>
            <w:r>
              <w:rPr>
                <w:color w:val="0B0B0B"/>
                <w:sz w:val="16"/>
              </w:rPr>
              <w:t>2015,</w:t>
            </w:r>
            <w:r>
              <w:rPr>
                <w:color w:val="0B0B0B"/>
                <w:spacing w:val="22"/>
                <w:sz w:val="16"/>
              </w:rPr>
              <w:t> </w:t>
            </w:r>
            <w:r>
              <w:rPr>
                <w:color w:val="0B0B0B"/>
                <w:sz w:val="16"/>
              </w:rPr>
              <w:t>Anexo</w:t>
            </w:r>
            <w:r>
              <w:rPr>
                <w:color w:val="0B0B0B"/>
                <w:spacing w:val="22"/>
                <w:sz w:val="16"/>
              </w:rPr>
              <w:t> </w:t>
            </w:r>
            <w:r>
              <w:rPr>
                <w:color w:val="0B0B0B"/>
                <w:sz w:val="16"/>
              </w:rPr>
              <w:t>3, publicado en el DOF el 10 de julio de 2015.</w:t>
            </w:r>
          </w:p>
        </w:tc>
      </w:tr>
    </w:tbl>
    <w:p>
      <w:pPr>
        <w:pStyle w:val="BodyText"/>
        <w:spacing w:before="125"/>
        <w:ind w:left="0"/>
        <w:jc w:val="left"/>
      </w:pPr>
    </w:p>
    <w:p>
      <w:pPr>
        <w:pStyle w:val="Heading1"/>
        <w:tabs>
          <w:tab w:pos="2146" w:val="left" w:leader="none"/>
        </w:tabs>
        <w:spacing w:line="256" w:lineRule="auto"/>
        <w:ind w:right="257"/>
      </w:pPr>
      <w:r>
        <w:rPr>
          <w:color w:val="0B0B0B"/>
          <w:spacing w:val="-2"/>
        </w:rPr>
        <w:t>24/ISR/PI</w:t>
      </w:r>
      <w:r>
        <w:rPr>
          <w:color w:val="0B0B0B"/>
        </w:rPr>
        <w:tab/>
        <w:t>Entrega de donativos a instituciones de enseñanza cuando no son onerosos, ni </w:t>
      </w:r>
      <w:r>
        <w:rPr>
          <w:color w:val="0B0B0B"/>
          <w:spacing w:val="-2"/>
        </w:rPr>
        <w:t>remunerativos.</w:t>
      </w:r>
    </w:p>
    <w:p>
      <w:pPr>
        <w:pStyle w:val="BodyText"/>
        <w:spacing w:line="256" w:lineRule="auto" w:before="102"/>
        <w:ind w:right="257"/>
      </w:pPr>
      <w:r>
        <w:rPr>
          <w:color w:val="0B0B0B"/>
        </w:rPr>
        <w:t>De conformidad con el artículo 151, primer párrafo, fracción III de la Ley del ISR, las personas físicas residentes en el país que obtengan ingresos de los señalados en el Título IV de la misma Ley, para calcular su impuesto</w:t>
      </w:r>
      <w:r>
        <w:rPr>
          <w:color w:val="0B0B0B"/>
        </w:rPr>
        <w:t> anual podrán deducir los donativos no onerosos ni remunerativos que satisfagan los requisitos previstos en la Ley del ISR y en las reglas de carácter general que para el efecto establezca el SAT y que se otorguen entre otros, a las personas morales que cumplan con los requisitos establecidos en el artículo 82 de la misma Ley.</w:t>
      </w:r>
    </w:p>
    <w:p>
      <w:pPr>
        <w:pStyle w:val="BodyText"/>
        <w:spacing w:line="264" w:lineRule="auto" w:before="108"/>
        <w:ind w:right="257"/>
      </w:pPr>
      <w:r>
        <w:rPr>
          <w:color w:val="0B0B0B"/>
        </w:rPr>
        <w:t>Asimismo, conforme al antepenúltimo párrafo de la fracción III del citado artículo 151, los donativos serán deducibles siempre que las instituciones de enseñanza sean establecimientos públicos o de propiedad de particulares que tengan autorización o reconocimiento de validez oficial de estudios en los términos de la Ley General de Educación, se destinen a la adquisición de bienes de inversión, a la investigación científica o desarrollo de tecnología, así como a gastos de administración hasta por el monto, en este último caso, que señale el Reglamento de la Ley del ISR; se trate de donaciones no onerosas ni remunerativas, conforme a las reglas generales que al efecto determine la Secretaría de Educación Pública, y dichas instituciones no hayan distribuido remanentes a sus socios o integrantes en los últimos cinco años.</w:t>
      </w:r>
    </w:p>
    <w:p>
      <w:pPr>
        <w:pStyle w:val="BodyText"/>
        <w:spacing w:line="256" w:lineRule="auto" w:before="101"/>
        <w:ind w:right="256"/>
      </w:pPr>
      <w:r>
        <w:rPr>
          <w:color w:val="0B0B0B"/>
        </w:rPr>
        <w:t>De igual forma, el Reglamento de la Ley del ISR en su artículo 130 establece que se consideran onerosos o remunerativos y, por ende no deducibles, los donativos otorgados a alguna organización civil o fideicomiso que sean considerados como donatarios autorizados, para tener acceso o participar en eventos de cualquier índole, así como los que den derecho a recibir algún bien, servicio o beneficio que estos presten u otorguen. Asimismo, no será deducible la donación de servicios.</w:t>
      </w:r>
    </w:p>
    <w:p>
      <w:pPr>
        <w:pStyle w:val="BodyText"/>
        <w:spacing w:after="0" w:line="256" w:lineRule="auto"/>
        <w:sectPr>
          <w:headerReference w:type="default" r:id="rId29"/>
          <w:pgSz w:w="12240" w:h="15840"/>
          <w:pgMar w:header="690" w:footer="0" w:top="1040" w:bottom="280" w:left="1440" w:right="1440"/>
        </w:sectPr>
      </w:pPr>
    </w:p>
    <w:p>
      <w:pPr>
        <w:pStyle w:val="BodyText"/>
        <w:spacing w:before="11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28"/>
        </w:numPr>
        <w:tabs>
          <w:tab w:pos="2664" w:val="left" w:leader="none"/>
        </w:tabs>
        <w:spacing w:line="254" w:lineRule="auto" w:before="115" w:after="0"/>
        <w:ind w:left="2664" w:right="258" w:hanging="504"/>
        <w:jc w:val="both"/>
        <w:rPr>
          <w:sz w:val="18"/>
        </w:rPr>
      </w:pPr>
      <w:r>
        <w:rPr>
          <w:color w:val="0B0B0B"/>
          <w:sz w:val="18"/>
        </w:rPr>
        <w:t>Las personas autorizadas para</w:t>
      </w:r>
      <w:r>
        <w:rPr>
          <w:color w:val="0B0B0B"/>
          <w:spacing w:val="-1"/>
          <w:sz w:val="18"/>
        </w:rPr>
        <w:t> </w:t>
      </w:r>
      <w:r>
        <w:rPr>
          <w:color w:val="0B0B0B"/>
          <w:sz w:val="18"/>
        </w:rPr>
        <w:t>recibir donativos</w:t>
      </w:r>
      <w:r>
        <w:rPr>
          <w:color w:val="0B0B0B"/>
          <w:spacing w:val="-1"/>
          <w:sz w:val="18"/>
        </w:rPr>
        <w:t> </w:t>
      </w:r>
      <w:r>
        <w:rPr>
          <w:color w:val="0B0B0B"/>
          <w:sz w:val="18"/>
        </w:rPr>
        <w:t>deducibles</w:t>
      </w:r>
      <w:r>
        <w:rPr>
          <w:color w:val="0B0B0B"/>
          <w:spacing w:val="-1"/>
          <w:sz w:val="18"/>
        </w:rPr>
        <w:t> </w:t>
      </w:r>
      <w:r>
        <w:rPr>
          <w:color w:val="0B0B0B"/>
          <w:sz w:val="18"/>
        </w:rPr>
        <w:t>del ISR,</w:t>
      </w:r>
      <w:r>
        <w:rPr>
          <w:color w:val="0B0B0B"/>
          <w:spacing w:val="-1"/>
          <w:sz w:val="18"/>
        </w:rPr>
        <w:t> </w:t>
      </w:r>
      <w:r>
        <w:rPr>
          <w:color w:val="0B0B0B"/>
          <w:sz w:val="18"/>
        </w:rPr>
        <w:t>que utilicen los CFDI de donativos deducibles para amparar el pago de los servicios de enseñanza que preste.</w:t>
      </w:r>
    </w:p>
    <w:p>
      <w:pPr>
        <w:pStyle w:val="ListParagraph"/>
        <w:numPr>
          <w:ilvl w:val="0"/>
          <w:numId w:val="28"/>
        </w:numPr>
        <w:tabs>
          <w:tab w:pos="2664" w:val="left" w:leader="none"/>
        </w:tabs>
        <w:spacing w:line="254" w:lineRule="auto" w:before="102" w:after="0"/>
        <w:ind w:left="2664" w:right="260" w:hanging="504"/>
        <w:jc w:val="both"/>
        <w:rPr>
          <w:sz w:val="18"/>
        </w:rPr>
      </w:pPr>
      <w:r>
        <w:rPr>
          <w:color w:val="0B0B0B"/>
          <w:sz w:val="18"/>
        </w:rPr>
        <w:t>Las personas físicas que deduzcan en su declaración anual del ISR, los donativos remunerativos que haya otorgado a personas autorizadas para recibir donativos deducibles del ISR.</w:t>
      </w:r>
    </w:p>
    <w:p>
      <w:pPr>
        <w:pStyle w:val="ListParagraph"/>
        <w:numPr>
          <w:ilvl w:val="0"/>
          <w:numId w:val="28"/>
        </w:numPr>
        <w:tabs>
          <w:tab w:pos="2662" w:val="left" w:leader="none"/>
          <w:tab w:pos="2664" w:val="left" w:leader="none"/>
        </w:tabs>
        <w:spacing w:line="254" w:lineRule="auto" w:before="103"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3"/>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21" w:hRule="atLeast"/>
        </w:trPr>
        <w:tc>
          <w:tcPr>
            <w:tcW w:w="2760" w:type="dxa"/>
            <w:shd w:val="clear" w:color="auto" w:fill="BDBDBD"/>
          </w:tcPr>
          <w:p>
            <w:pPr>
              <w:pStyle w:val="TableParagraph"/>
              <w:spacing w:before="26"/>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6"/>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0" w:hRule="atLeast"/>
        </w:trPr>
        <w:tc>
          <w:tcPr>
            <w:tcW w:w="2760" w:type="dxa"/>
          </w:tcPr>
          <w:p>
            <w:pPr>
              <w:pStyle w:val="TableParagraph"/>
              <w:tabs>
                <w:tab w:pos="1170" w:val="left" w:leader="none"/>
                <w:tab w:pos="2509" w:val="left" w:leader="none"/>
              </w:tabs>
              <w:spacing w:line="288" w:lineRule="auto" w:before="26"/>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2015</w:t>
            </w:r>
          </w:p>
        </w:tc>
        <w:tc>
          <w:tcPr>
            <w:tcW w:w="4126" w:type="dxa"/>
          </w:tcPr>
          <w:p>
            <w:pPr>
              <w:pStyle w:val="TableParagraph"/>
              <w:spacing w:line="288" w:lineRule="auto" w:before="26"/>
              <w:rPr>
                <w:sz w:val="16"/>
              </w:rPr>
            </w:pPr>
            <w:r>
              <w:rPr>
                <w:color w:val="0B0B0B"/>
                <w:sz w:val="16"/>
              </w:rPr>
              <w:t>Publicada</w:t>
            </w:r>
            <w:r>
              <w:rPr>
                <w:color w:val="0B0B0B"/>
                <w:spacing w:val="24"/>
                <w:sz w:val="16"/>
              </w:rPr>
              <w:t> </w:t>
            </w:r>
            <w:r>
              <w:rPr>
                <w:color w:val="0B0B0B"/>
                <w:sz w:val="16"/>
              </w:rPr>
              <w:t>en</w:t>
            </w:r>
            <w:r>
              <w:rPr>
                <w:color w:val="0B0B0B"/>
                <w:spacing w:val="24"/>
                <w:sz w:val="16"/>
              </w:rPr>
              <w:t> </w:t>
            </w:r>
            <w:r>
              <w:rPr>
                <w:color w:val="0B0B0B"/>
                <w:sz w:val="16"/>
              </w:rPr>
              <w:t>el</w:t>
            </w:r>
            <w:r>
              <w:rPr>
                <w:color w:val="0B0B0B"/>
                <w:spacing w:val="25"/>
                <w:sz w:val="16"/>
              </w:rPr>
              <w:t> </w:t>
            </w:r>
            <w:r>
              <w:rPr>
                <w:color w:val="0B0B0B"/>
                <w:sz w:val="16"/>
              </w:rPr>
              <w:t>DOF</w:t>
            </w:r>
            <w:r>
              <w:rPr>
                <w:color w:val="0B0B0B"/>
                <w:spacing w:val="24"/>
                <w:sz w:val="16"/>
              </w:rPr>
              <w:t> </w:t>
            </w:r>
            <w:r>
              <w:rPr>
                <w:color w:val="0B0B0B"/>
                <w:sz w:val="16"/>
              </w:rPr>
              <w:t>el</w:t>
            </w:r>
            <w:r>
              <w:rPr>
                <w:color w:val="0B0B0B"/>
                <w:spacing w:val="24"/>
                <w:sz w:val="16"/>
              </w:rPr>
              <w:t> </w:t>
            </w:r>
            <w:r>
              <w:rPr>
                <w:color w:val="0B0B0B"/>
                <w:sz w:val="16"/>
              </w:rPr>
              <w:t>2</w:t>
            </w:r>
            <w:r>
              <w:rPr>
                <w:color w:val="0B0B0B"/>
                <w:spacing w:val="25"/>
                <w:sz w:val="16"/>
              </w:rPr>
              <w:t> </w:t>
            </w:r>
            <w:r>
              <w:rPr>
                <w:color w:val="0B0B0B"/>
                <w:sz w:val="16"/>
              </w:rPr>
              <w:t>de</w:t>
            </w:r>
            <w:r>
              <w:rPr>
                <w:color w:val="0B0B0B"/>
                <w:spacing w:val="24"/>
                <w:sz w:val="16"/>
              </w:rPr>
              <w:t> </w:t>
            </w:r>
            <w:r>
              <w:rPr>
                <w:color w:val="0B0B0B"/>
                <w:sz w:val="16"/>
              </w:rPr>
              <w:t>julio</w:t>
            </w:r>
            <w:r>
              <w:rPr>
                <w:color w:val="0B0B0B"/>
                <w:spacing w:val="24"/>
                <w:sz w:val="16"/>
              </w:rPr>
              <w:t> </w:t>
            </w:r>
            <w:r>
              <w:rPr>
                <w:color w:val="0B0B0B"/>
                <w:sz w:val="16"/>
              </w:rPr>
              <w:t>de</w:t>
            </w:r>
            <w:r>
              <w:rPr>
                <w:color w:val="0B0B0B"/>
                <w:spacing w:val="24"/>
                <w:sz w:val="16"/>
              </w:rPr>
              <w:t> </w:t>
            </w:r>
            <w:r>
              <w:rPr>
                <w:color w:val="0B0B0B"/>
                <w:sz w:val="16"/>
              </w:rPr>
              <w:t>2015,</w:t>
            </w:r>
            <w:r>
              <w:rPr>
                <w:color w:val="0B0B0B"/>
                <w:spacing w:val="24"/>
                <w:sz w:val="16"/>
              </w:rPr>
              <w:t> </w:t>
            </w:r>
            <w:r>
              <w:rPr>
                <w:color w:val="0B0B0B"/>
                <w:sz w:val="16"/>
              </w:rPr>
              <w:t>Anexo</w:t>
            </w:r>
            <w:r>
              <w:rPr>
                <w:color w:val="0B0B0B"/>
                <w:spacing w:val="24"/>
                <w:sz w:val="16"/>
              </w:rPr>
              <w:t> </w:t>
            </w:r>
            <w:r>
              <w:rPr>
                <w:color w:val="0B0B0B"/>
                <w:sz w:val="16"/>
              </w:rPr>
              <w:t>3, publicado en el DOF el 10 de julio de 2015.</w:t>
            </w:r>
          </w:p>
        </w:tc>
      </w:tr>
    </w:tbl>
    <w:p>
      <w:pPr>
        <w:pStyle w:val="BodyText"/>
        <w:spacing w:before="122"/>
        <w:ind w:left="0"/>
        <w:jc w:val="left"/>
      </w:pPr>
    </w:p>
    <w:p>
      <w:pPr>
        <w:pStyle w:val="Heading1"/>
        <w:spacing w:line="254" w:lineRule="auto"/>
        <w:ind w:right="255"/>
        <w:jc w:val="both"/>
      </w:pPr>
      <w:r>
        <w:rPr>
          <w:color w:val="0B0B0B"/>
        </w:rPr>
        <w:t>25/ISR/PI</w:t>
      </w:r>
      <w:r>
        <w:rPr>
          <w:color w:val="0B0B0B"/>
          <w:spacing w:val="80"/>
        </w:rPr>
        <w:t> </w:t>
      </w:r>
      <w:r>
        <w:rPr>
          <w:color w:val="0B0B0B"/>
        </w:rPr>
        <w:t>Costo de lo vendido. Tratándose de servicios derivados de contratos</w:t>
      </w:r>
      <w:r>
        <w:rPr>
          <w:color w:val="0B0B0B"/>
        </w:rPr>
        <w:t> de</w:t>
      </w:r>
      <w:r>
        <w:rPr>
          <w:color w:val="0B0B0B"/>
        </w:rPr>
        <w:t> obra inmueble, no son deducibles los costos correspondientes a ingresos</w:t>
      </w:r>
      <w:r>
        <w:rPr>
          <w:color w:val="0B0B0B"/>
        </w:rPr>
        <w:t> no acumulados en el ejercicio.</w:t>
      </w:r>
    </w:p>
    <w:p>
      <w:pPr>
        <w:pStyle w:val="BodyText"/>
        <w:spacing w:line="254" w:lineRule="auto" w:before="102"/>
        <w:ind w:right="256"/>
      </w:pPr>
      <w:r>
        <w:rPr>
          <w:color w:val="0B0B0B"/>
        </w:rPr>
        <w:t>El artículo 19 de la Ley del ISR vigente hasta el 31 de diciembre de 2013, preveía un régimen específico de acumulación de ingresos, para aquellos prestadores de</w:t>
      </w:r>
      <w:r>
        <w:rPr>
          <w:color w:val="0B0B0B"/>
          <w:spacing w:val="40"/>
        </w:rPr>
        <w:t> </w:t>
      </w:r>
      <w:r>
        <w:rPr>
          <w:color w:val="0B0B0B"/>
        </w:rPr>
        <w:t>servicios derivados de</w:t>
      </w:r>
      <w:r>
        <w:rPr>
          <w:color w:val="0B0B0B"/>
          <w:spacing w:val="-1"/>
        </w:rPr>
        <w:t> </w:t>
      </w:r>
      <w:r>
        <w:rPr>
          <w:color w:val="0B0B0B"/>
        </w:rPr>
        <w:t>contratos</w:t>
      </w:r>
      <w:r>
        <w:rPr>
          <w:color w:val="0B0B0B"/>
          <w:spacing w:val="-2"/>
        </w:rPr>
        <w:t> </w:t>
      </w:r>
      <w:r>
        <w:rPr>
          <w:color w:val="0B0B0B"/>
        </w:rPr>
        <w:t>de</w:t>
      </w:r>
      <w:r>
        <w:rPr>
          <w:color w:val="0B0B0B"/>
          <w:spacing w:val="-1"/>
        </w:rPr>
        <w:t> </w:t>
      </w:r>
      <w:r>
        <w:rPr>
          <w:color w:val="0B0B0B"/>
        </w:rPr>
        <w:t>obra</w:t>
      </w:r>
      <w:r>
        <w:rPr>
          <w:color w:val="0B0B0B"/>
          <w:spacing w:val="-2"/>
        </w:rPr>
        <w:t> </w:t>
      </w:r>
      <w:r>
        <w:rPr>
          <w:color w:val="0B0B0B"/>
        </w:rPr>
        <w:t>inmueble,</w:t>
      </w:r>
      <w:r>
        <w:rPr>
          <w:color w:val="0B0B0B"/>
          <w:spacing w:val="-2"/>
        </w:rPr>
        <w:t> </w:t>
      </w:r>
      <w:r>
        <w:rPr>
          <w:color w:val="0B0B0B"/>
        </w:rPr>
        <w:t>indicándose</w:t>
      </w:r>
      <w:r>
        <w:rPr>
          <w:color w:val="0B0B0B"/>
          <w:spacing w:val="-2"/>
        </w:rPr>
        <w:t> </w:t>
      </w:r>
      <w:r>
        <w:rPr>
          <w:color w:val="0B0B0B"/>
        </w:rPr>
        <w:t>que</w:t>
      </w:r>
      <w:r>
        <w:rPr>
          <w:color w:val="0B0B0B"/>
          <w:spacing w:val="-1"/>
        </w:rPr>
        <w:t> </w:t>
      </w:r>
      <w:r>
        <w:rPr>
          <w:color w:val="0B0B0B"/>
        </w:rPr>
        <w:t>los contribuyentes que realicen esta actividad considerarán acumulables los ingresos provenientes</w:t>
      </w:r>
      <w:r>
        <w:rPr>
          <w:color w:val="0B0B0B"/>
        </w:rPr>
        <w:t> de dichos contratos, en la fecha en que las estimaciones por obra ejecutada sean autorizadas o aprobadas para que proceda su cobro, siempre y cuando el pago de dichas</w:t>
      </w:r>
      <w:r>
        <w:rPr>
          <w:color w:val="0B0B0B"/>
          <w:spacing w:val="-2"/>
        </w:rPr>
        <w:t> </w:t>
      </w:r>
      <w:r>
        <w:rPr>
          <w:color w:val="0B0B0B"/>
        </w:rPr>
        <w:t>estimaciones</w:t>
      </w:r>
      <w:r>
        <w:rPr>
          <w:color w:val="0B0B0B"/>
          <w:spacing w:val="-2"/>
        </w:rPr>
        <w:t> </w:t>
      </w:r>
      <w:r>
        <w:rPr>
          <w:color w:val="0B0B0B"/>
        </w:rPr>
        <w:t>tenga</w:t>
      </w:r>
      <w:r>
        <w:rPr>
          <w:color w:val="0B0B0B"/>
          <w:spacing w:val="-2"/>
        </w:rPr>
        <w:t> </w:t>
      </w:r>
      <w:r>
        <w:rPr>
          <w:color w:val="0B0B0B"/>
        </w:rPr>
        <w:t>lugar</w:t>
      </w:r>
      <w:r>
        <w:rPr>
          <w:color w:val="0B0B0B"/>
          <w:spacing w:val="-2"/>
        </w:rPr>
        <w:t> </w:t>
      </w:r>
      <w:r>
        <w:rPr>
          <w:color w:val="0B0B0B"/>
        </w:rPr>
        <w:t>dentro</w:t>
      </w:r>
      <w:r>
        <w:rPr>
          <w:color w:val="0B0B0B"/>
          <w:spacing w:val="-2"/>
        </w:rPr>
        <w:t> </w:t>
      </w:r>
      <w:r>
        <w:rPr>
          <w:color w:val="0B0B0B"/>
        </w:rPr>
        <w:t>de</w:t>
      </w:r>
      <w:r>
        <w:rPr>
          <w:color w:val="0B0B0B"/>
          <w:spacing w:val="-2"/>
        </w:rPr>
        <w:t> </w:t>
      </w:r>
      <w:r>
        <w:rPr>
          <w:color w:val="0B0B0B"/>
        </w:rPr>
        <w:t>los</w:t>
      </w:r>
      <w:r>
        <w:rPr>
          <w:color w:val="0B0B0B"/>
          <w:spacing w:val="-2"/>
        </w:rPr>
        <w:t> </w:t>
      </w:r>
      <w:r>
        <w:rPr>
          <w:color w:val="0B0B0B"/>
        </w:rPr>
        <w:t>tres</w:t>
      </w:r>
      <w:r>
        <w:rPr>
          <w:color w:val="0B0B0B"/>
          <w:spacing w:val="-2"/>
        </w:rPr>
        <w:t> </w:t>
      </w:r>
      <w:r>
        <w:rPr>
          <w:color w:val="0B0B0B"/>
        </w:rPr>
        <w:t>meses</w:t>
      </w:r>
      <w:r>
        <w:rPr>
          <w:color w:val="0B0B0B"/>
          <w:spacing w:val="-2"/>
        </w:rPr>
        <w:t> </w:t>
      </w:r>
      <w:r>
        <w:rPr>
          <w:color w:val="0B0B0B"/>
        </w:rPr>
        <w:t>siguientes</w:t>
      </w:r>
      <w:r>
        <w:rPr>
          <w:color w:val="0B0B0B"/>
          <w:spacing w:val="-1"/>
        </w:rPr>
        <w:t> </w:t>
      </w:r>
      <w:r>
        <w:rPr>
          <w:color w:val="0B0B0B"/>
        </w:rPr>
        <w:t>a</w:t>
      </w:r>
      <w:r>
        <w:rPr>
          <w:color w:val="0B0B0B"/>
          <w:spacing w:val="-2"/>
        </w:rPr>
        <w:t> </w:t>
      </w:r>
      <w:r>
        <w:rPr>
          <w:color w:val="0B0B0B"/>
        </w:rPr>
        <w:t>su</w:t>
      </w:r>
      <w:r>
        <w:rPr>
          <w:color w:val="0B0B0B"/>
          <w:spacing w:val="-1"/>
        </w:rPr>
        <w:t> </w:t>
      </w:r>
      <w:r>
        <w:rPr>
          <w:color w:val="0B0B0B"/>
        </w:rPr>
        <w:t>aprobación</w:t>
      </w:r>
      <w:r>
        <w:rPr>
          <w:color w:val="0B0B0B"/>
          <w:spacing w:val="-1"/>
        </w:rPr>
        <w:t> </w:t>
      </w:r>
      <w:r>
        <w:rPr>
          <w:color w:val="0B0B0B"/>
        </w:rPr>
        <w:t>o </w:t>
      </w:r>
      <w:r>
        <w:rPr>
          <w:color w:val="0B0B0B"/>
          <w:spacing w:val="-2"/>
        </w:rPr>
        <w:t>autorización.</w:t>
      </w:r>
    </w:p>
    <w:p>
      <w:pPr>
        <w:pStyle w:val="BodyText"/>
        <w:spacing w:line="254" w:lineRule="auto" w:before="107"/>
        <w:ind w:right="261"/>
      </w:pPr>
      <w:r>
        <w:rPr>
          <w:color w:val="0B0B0B"/>
        </w:rPr>
        <w:t>El artículo 29, fracción II de la Ley mencionada establece que los contribuyentes podrán deducir el costo de lo vendido.</w:t>
      </w:r>
    </w:p>
    <w:p>
      <w:pPr>
        <w:pStyle w:val="BodyText"/>
        <w:spacing w:line="254" w:lineRule="auto" w:before="102"/>
        <w:ind w:right="258"/>
      </w:pPr>
      <w:r>
        <w:rPr>
          <w:color w:val="0B0B0B"/>
        </w:rPr>
        <w:t>El artículo 45-A, primer párrafo del citado ordenamiento, refiere que en todo caso, el costo</w:t>
      </w:r>
      <w:r>
        <w:rPr>
          <w:color w:val="0B0B0B"/>
          <w:spacing w:val="-1"/>
        </w:rPr>
        <w:t> </w:t>
      </w:r>
      <w:r>
        <w:rPr>
          <w:color w:val="0B0B0B"/>
        </w:rPr>
        <w:t>se</w:t>
      </w:r>
      <w:r>
        <w:rPr>
          <w:color w:val="0B0B0B"/>
          <w:spacing w:val="-1"/>
        </w:rPr>
        <w:t> </w:t>
      </w:r>
      <w:r>
        <w:rPr>
          <w:color w:val="0B0B0B"/>
        </w:rPr>
        <w:t>deducirá en el ejercicio en el que se acumulen los ingresos que se deriven de la enajenación de los bienes de que se trate.</w:t>
      </w:r>
    </w:p>
    <w:p>
      <w:pPr>
        <w:pStyle w:val="BodyText"/>
        <w:spacing w:line="254" w:lineRule="auto" w:before="103"/>
        <w:ind w:right="257"/>
      </w:pPr>
      <w:r>
        <w:rPr>
          <w:color w:val="0B0B0B"/>
        </w:rPr>
        <w:t>El artículo 45-C de dicha Ley señala los conceptos que deberán considerar los contribuyentes que realizan actividades distintas a las comerciales para determinar el costo</w:t>
      </w:r>
      <w:r>
        <w:rPr>
          <w:color w:val="0B0B0B"/>
        </w:rPr>
        <w:t> de ventas, precisándose en el último párrafo, que se deberá excluir el costo correspondiente a la mercancía no enajenada en el ejercicio, así como el de la producción en proceso.</w:t>
      </w:r>
    </w:p>
    <w:p>
      <w:pPr>
        <w:pStyle w:val="BodyText"/>
        <w:spacing w:line="254" w:lineRule="auto" w:before="104"/>
        <w:ind w:right="258"/>
      </w:pPr>
      <w:r>
        <w:rPr>
          <w:color w:val="0B0B0B"/>
        </w:rPr>
        <w:t>Conforme a las disposiciones citadas se considera que los prestadores de servicios derivados de contratos de obra inmueble, que hayan acumulado sus ingresos</w:t>
      </w:r>
      <w:r>
        <w:rPr>
          <w:color w:val="0B0B0B"/>
          <w:spacing w:val="40"/>
        </w:rPr>
        <w:t> </w:t>
      </w:r>
      <w:r>
        <w:rPr>
          <w:color w:val="0B0B0B"/>
        </w:rPr>
        <w:t>conforme al artículo</w:t>
      </w:r>
      <w:r>
        <w:rPr>
          <w:color w:val="0B0B0B"/>
        </w:rPr>
        <w:t> 19 antes citado, pudieron deducir en el ejercicio únicamente el costo correspondiente a dichos ingresos acumulables.</w:t>
      </w:r>
    </w:p>
    <w:p>
      <w:pPr>
        <w:pStyle w:val="BodyText"/>
        <w:spacing w:line="254" w:lineRule="auto" w:before="103"/>
        <w:ind w:right="258"/>
      </w:pPr>
      <w:r>
        <w:rPr>
          <w:color w:val="0B0B0B"/>
        </w:rPr>
        <w:t>Este criterio es aplicable igualmente a las situaciones creadas al amparo de la Ley del ISR vigente, tomando en cuenta que el sentido de sus disposiciones es el mismo, tratándose de los contribuyentes que prestan servicios derivados de contratos de obra inmueble, de conformidad con lo dispuesto en sus artículos 17, 25, fracción II y 39.</w:t>
      </w:r>
    </w:p>
    <w:p>
      <w:pPr>
        <w:pStyle w:val="BodyText"/>
        <w:spacing w:before="104"/>
      </w:pPr>
      <w:r>
        <w:rPr>
          <w:color w:val="0B0B0B"/>
        </w:rPr>
        <w:t>Por</w:t>
      </w:r>
      <w:r>
        <w:rPr>
          <w:color w:val="0B0B0B"/>
          <w:spacing w:val="-7"/>
        </w:rPr>
        <w:t> </w:t>
      </w:r>
      <w:r>
        <w:rPr>
          <w:color w:val="0B0B0B"/>
        </w:rPr>
        <w:t>lo</w:t>
      </w:r>
      <w:r>
        <w:rPr>
          <w:color w:val="0B0B0B"/>
          <w:spacing w:val="-7"/>
        </w:rPr>
        <w:t> </w:t>
      </w:r>
      <w:r>
        <w:rPr>
          <w:color w:val="0B0B0B"/>
        </w:rPr>
        <w:t>anterior,</w:t>
      </w:r>
      <w:r>
        <w:rPr>
          <w:color w:val="0B0B0B"/>
          <w:spacing w:val="-5"/>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7"/>
        </w:rPr>
        <w:t> </w:t>
      </w:r>
      <w:r>
        <w:rPr>
          <w:color w:val="0B0B0B"/>
        </w:rPr>
        <w:t>es</w:t>
      </w:r>
      <w:r>
        <w:rPr>
          <w:color w:val="0B0B0B"/>
          <w:spacing w:val="-7"/>
        </w:rPr>
        <w:t> </w:t>
      </w:r>
      <w:r>
        <w:rPr>
          <w:color w:val="0B0B0B"/>
        </w:rPr>
        <w:t>una</w:t>
      </w:r>
      <w:r>
        <w:rPr>
          <w:color w:val="0B0B0B"/>
          <w:spacing w:val="-7"/>
        </w:rPr>
        <w:t> </w:t>
      </w:r>
      <w:r>
        <w:rPr>
          <w:color w:val="0B0B0B"/>
        </w:rPr>
        <w:t>práctica</w:t>
      </w:r>
      <w:r>
        <w:rPr>
          <w:color w:val="0B0B0B"/>
          <w:spacing w:val="-6"/>
        </w:rPr>
        <w:t> </w:t>
      </w:r>
      <w:r>
        <w:rPr>
          <w:color w:val="0B0B0B"/>
        </w:rPr>
        <w:t>fiscal</w:t>
      </w:r>
      <w:r>
        <w:rPr>
          <w:color w:val="0B0B0B"/>
          <w:spacing w:val="-7"/>
        </w:rPr>
        <w:t> </w:t>
      </w:r>
      <w:r>
        <w:rPr>
          <w:color w:val="0B0B0B"/>
          <w:spacing w:val="-2"/>
        </w:rPr>
        <w:t>indebida:</w:t>
      </w:r>
    </w:p>
    <w:p>
      <w:pPr>
        <w:pStyle w:val="ListParagraph"/>
        <w:numPr>
          <w:ilvl w:val="0"/>
          <w:numId w:val="29"/>
        </w:numPr>
        <w:tabs>
          <w:tab w:pos="2664" w:val="left" w:leader="none"/>
        </w:tabs>
        <w:spacing w:line="254" w:lineRule="auto" w:before="113" w:after="0"/>
        <w:ind w:left="2664" w:right="257" w:hanging="504"/>
        <w:jc w:val="both"/>
        <w:rPr>
          <w:sz w:val="18"/>
        </w:rPr>
      </w:pPr>
      <w:r>
        <w:rPr>
          <w:color w:val="0B0B0B"/>
          <w:sz w:val="18"/>
        </w:rPr>
        <w:t>Deducir</w:t>
      </w:r>
      <w:r>
        <w:rPr>
          <w:color w:val="0B0B0B"/>
          <w:spacing w:val="-2"/>
          <w:sz w:val="18"/>
        </w:rPr>
        <w:t> </w:t>
      </w:r>
      <w:r>
        <w:rPr>
          <w:color w:val="0B0B0B"/>
          <w:sz w:val="18"/>
        </w:rPr>
        <w:t>en</w:t>
      </w:r>
      <w:r>
        <w:rPr>
          <w:color w:val="0B0B0B"/>
          <w:spacing w:val="-2"/>
          <w:sz w:val="18"/>
        </w:rPr>
        <w:t> </w:t>
      </w:r>
      <w:r>
        <w:rPr>
          <w:color w:val="0B0B0B"/>
          <w:sz w:val="18"/>
        </w:rPr>
        <w:t>el</w:t>
      </w:r>
      <w:r>
        <w:rPr>
          <w:color w:val="0B0B0B"/>
          <w:spacing w:val="-1"/>
          <w:sz w:val="18"/>
        </w:rPr>
        <w:t> </w:t>
      </w:r>
      <w:r>
        <w:rPr>
          <w:color w:val="0B0B0B"/>
          <w:sz w:val="18"/>
        </w:rPr>
        <w:t>ejercicio</w:t>
      </w:r>
      <w:r>
        <w:rPr>
          <w:color w:val="0B0B0B"/>
          <w:spacing w:val="-2"/>
          <w:sz w:val="18"/>
        </w:rPr>
        <w:t> </w:t>
      </w:r>
      <w:r>
        <w:rPr>
          <w:color w:val="0B0B0B"/>
          <w:sz w:val="18"/>
        </w:rPr>
        <w:t>de</w:t>
      </w:r>
      <w:r>
        <w:rPr>
          <w:color w:val="0B0B0B"/>
          <w:spacing w:val="-2"/>
          <w:sz w:val="18"/>
        </w:rPr>
        <w:t> </w:t>
      </w:r>
      <w:r>
        <w:rPr>
          <w:color w:val="0B0B0B"/>
          <w:sz w:val="18"/>
        </w:rPr>
        <w:t>que</w:t>
      </w:r>
      <w:r>
        <w:rPr>
          <w:color w:val="0B0B0B"/>
          <w:spacing w:val="-1"/>
          <w:sz w:val="18"/>
        </w:rPr>
        <w:t> </w:t>
      </w:r>
      <w:r>
        <w:rPr>
          <w:color w:val="0B0B0B"/>
          <w:sz w:val="18"/>
        </w:rPr>
        <w:t>se</w:t>
      </w:r>
      <w:r>
        <w:rPr>
          <w:color w:val="0B0B0B"/>
          <w:spacing w:val="-2"/>
          <w:sz w:val="18"/>
        </w:rPr>
        <w:t> </w:t>
      </w:r>
      <w:r>
        <w:rPr>
          <w:color w:val="0B0B0B"/>
          <w:sz w:val="18"/>
        </w:rPr>
        <w:t>trate,</w:t>
      </w:r>
      <w:r>
        <w:rPr>
          <w:color w:val="0B0B0B"/>
          <w:spacing w:val="-2"/>
          <w:sz w:val="18"/>
        </w:rPr>
        <w:t> </w:t>
      </w:r>
      <w:r>
        <w:rPr>
          <w:color w:val="0B0B0B"/>
          <w:sz w:val="18"/>
        </w:rPr>
        <w:t>el</w:t>
      </w:r>
      <w:r>
        <w:rPr>
          <w:color w:val="0B0B0B"/>
          <w:spacing w:val="-2"/>
          <w:sz w:val="18"/>
        </w:rPr>
        <w:t> </w:t>
      </w:r>
      <w:r>
        <w:rPr>
          <w:color w:val="0B0B0B"/>
          <w:sz w:val="18"/>
        </w:rPr>
        <w:t>costo</w:t>
      </w:r>
      <w:r>
        <w:rPr>
          <w:color w:val="0B0B0B"/>
          <w:spacing w:val="-2"/>
          <w:sz w:val="18"/>
        </w:rPr>
        <w:t> </w:t>
      </w:r>
      <w:r>
        <w:rPr>
          <w:color w:val="0B0B0B"/>
          <w:sz w:val="18"/>
        </w:rPr>
        <w:t>de</w:t>
      </w:r>
      <w:r>
        <w:rPr>
          <w:color w:val="0B0B0B"/>
          <w:spacing w:val="-2"/>
          <w:sz w:val="18"/>
        </w:rPr>
        <w:t> </w:t>
      </w:r>
      <w:r>
        <w:rPr>
          <w:color w:val="0B0B0B"/>
          <w:sz w:val="18"/>
        </w:rPr>
        <w:t>lo</w:t>
      </w:r>
      <w:r>
        <w:rPr>
          <w:color w:val="0B0B0B"/>
          <w:spacing w:val="-2"/>
          <w:sz w:val="18"/>
        </w:rPr>
        <w:t> </w:t>
      </w:r>
      <w:r>
        <w:rPr>
          <w:color w:val="0B0B0B"/>
          <w:sz w:val="18"/>
        </w:rPr>
        <w:t>vendido</w:t>
      </w:r>
      <w:r>
        <w:rPr>
          <w:color w:val="0B0B0B"/>
          <w:spacing w:val="-1"/>
          <w:sz w:val="18"/>
        </w:rPr>
        <w:t> </w:t>
      </w:r>
      <w:r>
        <w:rPr>
          <w:color w:val="0B0B0B"/>
          <w:sz w:val="18"/>
        </w:rPr>
        <w:t>que</w:t>
      </w:r>
      <w:r>
        <w:rPr>
          <w:color w:val="0B0B0B"/>
          <w:spacing w:val="-2"/>
          <w:sz w:val="18"/>
        </w:rPr>
        <w:t> </w:t>
      </w:r>
      <w:r>
        <w:rPr>
          <w:color w:val="0B0B0B"/>
          <w:sz w:val="18"/>
        </w:rPr>
        <w:t>corresponda</w:t>
      </w:r>
      <w:r>
        <w:rPr>
          <w:color w:val="0B0B0B"/>
          <w:spacing w:val="-2"/>
          <w:sz w:val="18"/>
        </w:rPr>
        <w:t> </w:t>
      </w:r>
      <w:r>
        <w:rPr>
          <w:color w:val="0B0B0B"/>
          <w:sz w:val="18"/>
        </w:rPr>
        <w:t>a los ingresos obtenidos por la prestación de servicios derivados de contratos de obra inmueble no acumulados en el ejercicio.</w:t>
      </w:r>
    </w:p>
    <w:p>
      <w:pPr>
        <w:pStyle w:val="ListParagraph"/>
        <w:numPr>
          <w:ilvl w:val="0"/>
          <w:numId w:val="29"/>
        </w:numPr>
        <w:tabs>
          <w:tab w:pos="2664" w:val="left" w:leader="none"/>
        </w:tabs>
        <w:spacing w:line="266" w:lineRule="auto" w:before="110"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4"/>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30" w:hRule="atLeast"/>
        </w:trPr>
        <w:tc>
          <w:tcPr>
            <w:tcW w:w="2760" w:type="dxa"/>
            <w:shd w:val="clear" w:color="auto" w:fill="BDBDBD"/>
          </w:tcPr>
          <w:p>
            <w:pPr>
              <w:pStyle w:val="TableParagraph"/>
              <w:spacing w:before="34"/>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34"/>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8" w:hRule="atLeast"/>
        </w:trPr>
        <w:tc>
          <w:tcPr>
            <w:tcW w:w="2760" w:type="dxa"/>
          </w:tcPr>
          <w:p>
            <w:pPr>
              <w:pStyle w:val="TableParagraph"/>
              <w:tabs>
                <w:tab w:pos="1215" w:val="left" w:leader="none"/>
                <w:tab w:pos="2509" w:val="left" w:leader="none"/>
              </w:tabs>
              <w:spacing w:line="300" w:lineRule="auto" w:before="32"/>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2016</w:t>
            </w:r>
          </w:p>
        </w:tc>
        <w:tc>
          <w:tcPr>
            <w:tcW w:w="4126" w:type="dxa"/>
          </w:tcPr>
          <w:p>
            <w:pPr>
              <w:pStyle w:val="TableParagraph"/>
              <w:spacing w:line="300" w:lineRule="auto" w:before="32"/>
              <w:rPr>
                <w:sz w:val="16"/>
              </w:rPr>
            </w:pPr>
            <w:r>
              <w:rPr>
                <w:color w:val="0B0B0B"/>
                <w:sz w:val="16"/>
              </w:rPr>
              <w:t>Publicada en el DOF el 6 de mayo de 2016, Anexo </w:t>
            </w:r>
            <w:r>
              <w:rPr>
                <w:color w:val="0B0B0B"/>
                <w:sz w:val="16"/>
              </w:rPr>
              <w:t>3, publicado en el DOF el 9 de mayo de 2016.</w:t>
            </w:r>
          </w:p>
        </w:tc>
      </w:tr>
    </w:tbl>
    <w:p>
      <w:pPr>
        <w:pStyle w:val="TableParagraph"/>
        <w:spacing w:after="0" w:line="300" w:lineRule="auto"/>
        <w:rPr>
          <w:sz w:val="16"/>
        </w:rPr>
        <w:sectPr>
          <w:headerReference w:type="default" r:id="rId30"/>
          <w:pgSz w:w="12240" w:h="15840"/>
          <w:pgMar w:header="690" w:footer="0" w:top="1040" w:bottom="280" w:left="1440" w:right="1440"/>
        </w:sectPr>
      </w:pPr>
    </w:p>
    <w:p>
      <w:pPr>
        <w:pStyle w:val="Heading1"/>
        <w:tabs>
          <w:tab w:pos="2145" w:val="left" w:leader="none"/>
        </w:tabs>
        <w:spacing w:line="254" w:lineRule="auto" w:before="112"/>
        <w:ind w:right="257"/>
      </w:pPr>
      <w:r>
        <w:rPr>
          <w:color w:val="0B0B0B"/>
          <w:spacing w:val="-2"/>
        </w:rPr>
        <w:t>26/ISR/PI</w:t>
      </w:r>
      <w:r>
        <w:rPr>
          <w:color w:val="0B0B0B"/>
        </w:rPr>
        <w:tab/>
        <w:t>Pago</w:t>
      </w:r>
      <w:r>
        <w:rPr>
          <w:color w:val="0B0B0B"/>
          <w:spacing w:val="67"/>
        </w:rPr>
        <w:t> </w:t>
      </w:r>
      <w:r>
        <w:rPr>
          <w:color w:val="0B0B0B"/>
        </w:rPr>
        <w:t>de</w:t>
      </w:r>
      <w:r>
        <w:rPr>
          <w:color w:val="0B0B0B"/>
          <w:spacing w:val="67"/>
        </w:rPr>
        <w:t> </w:t>
      </w:r>
      <w:r>
        <w:rPr>
          <w:color w:val="0B0B0B"/>
        </w:rPr>
        <w:t>sueldos,</w:t>
      </w:r>
      <w:r>
        <w:rPr>
          <w:color w:val="0B0B0B"/>
          <w:spacing w:val="67"/>
        </w:rPr>
        <w:t> </w:t>
      </w:r>
      <w:r>
        <w:rPr>
          <w:color w:val="0B0B0B"/>
        </w:rPr>
        <w:t>salarios</w:t>
      </w:r>
      <w:r>
        <w:rPr>
          <w:color w:val="0B0B0B"/>
          <w:spacing w:val="65"/>
        </w:rPr>
        <w:t> </w:t>
      </w:r>
      <w:r>
        <w:rPr>
          <w:color w:val="0B0B0B"/>
        </w:rPr>
        <w:t>o</w:t>
      </w:r>
      <w:r>
        <w:rPr>
          <w:color w:val="0B0B0B"/>
          <w:spacing w:val="67"/>
        </w:rPr>
        <w:t> </w:t>
      </w:r>
      <w:r>
        <w:rPr>
          <w:color w:val="0B0B0B"/>
        </w:rPr>
        <w:t>asimilados</w:t>
      </w:r>
      <w:r>
        <w:rPr>
          <w:color w:val="0B0B0B"/>
          <w:spacing w:val="67"/>
        </w:rPr>
        <w:t> </w:t>
      </w:r>
      <w:r>
        <w:rPr>
          <w:color w:val="0B0B0B"/>
        </w:rPr>
        <w:t>a</w:t>
      </w:r>
      <w:r>
        <w:rPr>
          <w:color w:val="0B0B0B"/>
          <w:spacing w:val="68"/>
        </w:rPr>
        <w:t> </w:t>
      </w:r>
      <w:r>
        <w:rPr>
          <w:color w:val="0B0B0B"/>
        </w:rPr>
        <w:t>estos</w:t>
      </w:r>
      <w:r>
        <w:rPr>
          <w:color w:val="0B0B0B"/>
          <w:spacing w:val="68"/>
        </w:rPr>
        <w:t> </w:t>
      </w:r>
      <w:r>
        <w:rPr>
          <w:color w:val="0B0B0B"/>
        </w:rPr>
        <w:t>a</w:t>
      </w:r>
      <w:r>
        <w:rPr>
          <w:color w:val="0B0B0B"/>
          <w:spacing w:val="67"/>
        </w:rPr>
        <w:t> </w:t>
      </w:r>
      <w:r>
        <w:rPr>
          <w:color w:val="0B0B0B"/>
        </w:rPr>
        <w:t>través</w:t>
      </w:r>
      <w:r>
        <w:rPr>
          <w:color w:val="0B0B0B"/>
          <w:spacing w:val="67"/>
        </w:rPr>
        <w:t> </w:t>
      </w:r>
      <w:r>
        <w:rPr>
          <w:color w:val="0B0B0B"/>
        </w:rPr>
        <w:t>de</w:t>
      </w:r>
      <w:r>
        <w:rPr>
          <w:color w:val="0B0B0B"/>
          <w:spacing w:val="67"/>
        </w:rPr>
        <w:t> </w:t>
      </w:r>
      <w:r>
        <w:rPr>
          <w:color w:val="0B0B0B"/>
        </w:rPr>
        <w:t>sindicatos</w:t>
      </w:r>
      <w:r>
        <w:rPr>
          <w:color w:val="0B0B0B"/>
          <w:spacing w:val="67"/>
        </w:rPr>
        <w:t> </w:t>
      </w:r>
      <w:r>
        <w:rPr>
          <w:color w:val="0B0B0B"/>
        </w:rPr>
        <w:t>o prestadoras de servicios de subcontratación laboral.</w:t>
      </w:r>
    </w:p>
    <w:p>
      <w:pPr>
        <w:pStyle w:val="BodyText"/>
        <w:spacing w:line="252" w:lineRule="auto" w:before="96"/>
        <w:ind w:right="256"/>
      </w:pPr>
      <w:r>
        <w:rPr>
          <w:color w:val="0B0B0B"/>
        </w:rPr>
        <w:t>El artículo 356 de la Ley Federal del Trabajo, señala que el sindicato es la asociación de</w:t>
      </w:r>
      <w:r>
        <w:rPr>
          <w:color w:val="0B0B0B"/>
          <w:spacing w:val="-3"/>
        </w:rPr>
        <w:t> </w:t>
      </w:r>
      <w:r>
        <w:rPr>
          <w:color w:val="0B0B0B"/>
        </w:rPr>
        <w:t>trabajadores</w:t>
      </w:r>
      <w:r>
        <w:rPr>
          <w:color w:val="0B0B0B"/>
          <w:spacing w:val="-3"/>
        </w:rPr>
        <w:t> </w:t>
      </w:r>
      <w:r>
        <w:rPr>
          <w:color w:val="0B0B0B"/>
        </w:rPr>
        <w:t>o</w:t>
      </w:r>
      <w:r>
        <w:rPr>
          <w:color w:val="0B0B0B"/>
          <w:spacing w:val="-2"/>
        </w:rPr>
        <w:t> </w:t>
      </w:r>
      <w:r>
        <w:rPr>
          <w:color w:val="0B0B0B"/>
        </w:rPr>
        <w:t>patrones,</w:t>
      </w:r>
      <w:r>
        <w:rPr>
          <w:color w:val="0B0B0B"/>
          <w:spacing w:val="-3"/>
        </w:rPr>
        <w:t> </w:t>
      </w:r>
      <w:r>
        <w:rPr>
          <w:color w:val="0B0B0B"/>
        </w:rPr>
        <w:t>constituida</w:t>
      </w:r>
      <w:r>
        <w:rPr>
          <w:color w:val="0B0B0B"/>
          <w:spacing w:val="-2"/>
        </w:rPr>
        <w:t> </w:t>
      </w:r>
      <w:r>
        <w:rPr>
          <w:color w:val="0B0B0B"/>
        </w:rPr>
        <w:t>para</w:t>
      </w:r>
      <w:r>
        <w:rPr>
          <w:color w:val="0B0B0B"/>
          <w:spacing w:val="-2"/>
        </w:rPr>
        <w:t> </w:t>
      </w:r>
      <w:r>
        <w:rPr>
          <w:color w:val="0B0B0B"/>
        </w:rPr>
        <w:t>el</w:t>
      </w:r>
      <w:r>
        <w:rPr>
          <w:color w:val="0B0B0B"/>
          <w:spacing w:val="-2"/>
        </w:rPr>
        <w:t> </w:t>
      </w:r>
      <w:r>
        <w:rPr>
          <w:color w:val="0B0B0B"/>
        </w:rPr>
        <w:t>estudio,</w:t>
      </w:r>
      <w:r>
        <w:rPr>
          <w:color w:val="0B0B0B"/>
          <w:spacing w:val="-2"/>
        </w:rPr>
        <w:t> </w:t>
      </w:r>
      <w:r>
        <w:rPr>
          <w:color w:val="0B0B0B"/>
        </w:rPr>
        <w:t>mejoramiento</w:t>
      </w:r>
      <w:r>
        <w:rPr>
          <w:color w:val="0B0B0B"/>
          <w:spacing w:val="-2"/>
        </w:rPr>
        <w:t> </w:t>
      </w:r>
      <w:r>
        <w:rPr>
          <w:color w:val="0B0B0B"/>
        </w:rPr>
        <w:t>y</w:t>
      </w:r>
      <w:r>
        <w:rPr>
          <w:color w:val="0B0B0B"/>
          <w:spacing w:val="-2"/>
        </w:rPr>
        <w:t> </w:t>
      </w:r>
      <w:r>
        <w:rPr>
          <w:color w:val="0B0B0B"/>
        </w:rPr>
        <w:t>defensa</w:t>
      </w:r>
      <w:r>
        <w:rPr>
          <w:color w:val="0B0B0B"/>
          <w:spacing w:val="-2"/>
        </w:rPr>
        <w:t> </w:t>
      </w:r>
      <w:r>
        <w:rPr>
          <w:color w:val="0B0B0B"/>
        </w:rPr>
        <w:t>de</w:t>
      </w:r>
      <w:r>
        <w:rPr>
          <w:color w:val="0B0B0B"/>
          <w:spacing w:val="-2"/>
        </w:rPr>
        <w:t> </w:t>
      </w:r>
      <w:r>
        <w:rPr>
          <w:color w:val="0B0B0B"/>
        </w:rPr>
        <w:t>sus respectivos intereses.</w:t>
      </w:r>
    </w:p>
    <w:p>
      <w:pPr>
        <w:pStyle w:val="BodyText"/>
        <w:spacing w:line="252" w:lineRule="auto" w:before="100"/>
        <w:ind w:right="257"/>
      </w:pPr>
      <w:r>
        <w:rPr>
          <w:color w:val="0B0B0B"/>
        </w:rPr>
        <w:t>El artículo 110, fracción VI, de la misma Ley, establece que se realizará el descuento en los salarios de los trabajadores por concepto de pago de las cuotas sindicales ordinarias previstas en los estatutos de los sindicatos.</w:t>
      </w:r>
    </w:p>
    <w:p>
      <w:pPr>
        <w:pStyle w:val="BodyText"/>
        <w:spacing w:line="252" w:lineRule="auto" w:before="100"/>
        <w:ind w:right="257"/>
      </w:pPr>
      <w:r>
        <w:rPr>
          <w:color w:val="0B0B0B"/>
        </w:rPr>
        <w:t>El artículo 132, fracción XXII, de la Ley en cita refiere, que los patrones tienen la obligación de hacer las deducciones que soliciten los sindicatos</w:t>
      </w:r>
      <w:r>
        <w:rPr>
          <w:color w:val="0B0B0B"/>
        </w:rPr>
        <w:t> de las cuotas sindicales ordinarias, siempre que se compruebe que son las previstas en el artículo 110, fracción VI, de la misma Ley.</w:t>
      </w:r>
    </w:p>
    <w:p>
      <w:pPr>
        <w:pStyle w:val="BodyText"/>
        <w:spacing w:line="252" w:lineRule="auto" w:before="100"/>
        <w:ind w:right="258"/>
      </w:pPr>
      <w:r>
        <w:rPr>
          <w:color w:val="0B0B0B"/>
        </w:rPr>
        <w:t>Por su parte, el artículo 79, fracción I, de la Ley del ISR, establece que los sindicatos obreros no son contribuyentes del ISR, lo cual debe entenderse que para ubicarse en la</w:t>
      </w:r>
      <w:r>
        <w:rPr>
          <w:color w:val="0B0B0B"/>
          <w:spacing w:val="-2"/>
        </w:rPr>
        <w:t> </w:t>
      </w:r>
      <w:r>
        <w:rPr>
          <w:color w:val="0B0B0B"/>
        </w:rPr>
        <w:t>citada</w:t>
      </w:r>
      <w:r>
        <w:rPr>
          <w:color w:val="0B0B0B"/>
          <w:spacing w:val="-1"/>
        </w:rPr>
        <w:t> </w:t>
      </w:r>
      <w:r>
        <w:rPr>
          <w:color w:val="0B0B0B"/>
        </w:rPr>
        <w:t>exención,</w:t>
      </w:r>
      <w:r>
        <w:rPr>
          <w:color w:val="0B0B0B"/>
          <w:spacing w:val="-2"/>
        </w:rPr>
        <w:t> </w:t>
      </w:r>
      <w:r>
        <w:rPr>
          <w:color w:val="0B0B0B"/>
        </w:rPr>
        <w:t>además</w:t>
      </w:r>
      <w:r>
        <w:rPr>
          <w:color w:val="0B0B0B"/>
          <w:spacing w:val="-2"/>
        </w:rPr>
        <w:t> </w:t>
      </w:r>
      <w:r>
        <w:rPr>
          <w:color w:val="0B0B0B"/>
        </w:rPr>
        <w:t>de</w:t>
      </w:r>
      <w:r>
        <w:rPr>
          <w:color w:val="0B0B0B"/>
          <w:spacing w:val="-2"/>
        </w:rPr>
        <w:t> </w:t>
      </w:r>
      <w:r>
        <w:rPr>
          <w:color w:val="0B0B0B"/>
        </w:rPr>
        <w:t>encontrarse</w:t>
      </w:r>
      <w:r>
        <w:rPr>
          <w:color w:val="0B0B0B"/>
          <w:spacing w:val="-2"/>
        </w:rPr>
        <w:t> </w:t>
      </w:r>
      <w:r>
        <w:rPr>
          <w:color w:val="0B0B0B"/>
        </w:rPr>
        <w:t>registrados</w:t>
      </w:r>
      <w:r>
        <w:rPr>
          <w:color w:val="0B0B0B"/>
          <w:spacing w:val="-1"/>
        </w:rPr>
        <w:t> </w:t>
      </w:r>
      <w:r>
        <w:rPr>
          <w:color w:val="0B0B0B"/>
        </w:rPr>
        <w:t>ante</w:t>
      </w:r>
      <w:r>
        <w:rPr>
          <w:color w:val="0B0B0B"/>
          <w:spacing w:val="-2"/>
        </w:rPr>
        <w:t> </w:t>
      </w:r>
      <w:r>
        <w:rPr>
          <w:color w:val="0B0B0B"/>
        </w:rPr>
        <w:t>la</w:t>
      </w:r>
      <w:r>
        <w:rPr>
          <w:color w:val="0B0B0B"/>
          <w:spacing w:val="-1"/>
        </w:rPr>
        <w:t> </w:t>
      </w:r>
      <w:r>
        <w:rPr>
          <w:color w:val="0B0B0B"/>
        </w:rPr>
        <w:t>Secretaría</w:t>
      </w:r>
      <w:r>
        <w:rPr>
          <w:color w:val="0B0B0B"/>
          <w:spacing w:val="-1"/>
        </w:rPr>
        <w:t> </w:t>
      </w:r>
      <w:r>
        <w:rPr>
          <w:color w:val="0B0B0B"/>
        </w:rPr>
        <w:t>del</w:t>
      </w:r>
      <w:r>
        <w:rPr>
          <w:color w:val="0B0B0B"/>
          <w:spacing w:val="-2"/>
        </w:rPr>
        <w:t> </w:t>
      </w:r>
      <w:r>
        <w:rPr>
          <w:color w:val="0B0B0B"/>
        </w:rPr>
        <w:t>Trabajo</w:t>
      </w:r>
      <w:r>
        <w:rPr>
          <w:color w:val="0B0B0B"/>
          <w:spacing w:val="-1"/>
        </w:rPr>
        <w:t> </w:t>
      </w:r>
      <w:r>
        <w:rPr>
          <w:color w:val="0B0B0B"/>
        </w:rPr>
        <w:t>y Previsión Social ante los casos de competencia federal y, en las Juntas de</w:t>
      </w:r>
      <w:r>
        <w:rPr>
          <w:color w:val="0B0B0B"/>
          <w:spacing w:val="40"/>
        </w:rPr>
        <w:t> </w:t>
      </w:r>
      <w:r>
        <w:rPr>
          <w:color w:val="0B0B0B"/>
        </w:rPr>
        <w:t>Conciliación y Arbitraje, en casos de competencia local, en términos del artículo 365</w:t>
      </w:r>
      <w:r>
        <w:rPr>
          <w:color w:val="0B0B0B"/>
          <w:spacing w:val="40"/>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3"/>
        </w:rPr>
        <w:t> </w:t>
      </w:r>
      <w:r>
        <w:rPr>
          <w:color w:val="0B0B0B"/>
        </w:rPr>
        <w:t>Federal</w:t>
      </w:r>
      <w:r>
        <w:rPr>
          <w:color w:val="0B0B0B"/>
          <w:spacing w:val="-1"/>
        </w:rPr>
        <w:t> </w:t>
      </w:r>
      <w:r>
        <w:rPr>
          <w:color w:val="0B0B0B"/>
        </w:rPr>
        <w:t>del</w:t>
      </w:r>
      <w:r>
        <w:rPr>
          <w:color w:val="0B0B0B"/>
          <w:spacing w:val="-1"/>
        </w:rPr>
        <w:t> </w:t>
      </w:r>
      <w:r>
        <w:rPr>
          <w:color w:val="0B0B0B"/>
        </w:rPr>
        <w:t>Trabajo</w:t>
      </w:r>
      <w:r>
        <w:rPr>
          <w:color w:val="0B0B0B"/>
          <w:spacing w:val="-1"/>
        </w:rPr>
        <w:t> </w:t>
      </w:r>
      <w:r>
        <w:rPr>
          <w:color w:val="0B0B0B"/>
        </w:rPr>
        <w:t>los</w:t>
      </w:r>
      <w:r>
        <w:rPr>
          <w:color w:val="0B0B0B"/>
          <w:spacing w:val="-1"/>
        </w:rPr>
        <w:t> </w:t>
      </w:r>
      <w:r>
        <w:rPr>
          <w:color w:val="0B0B0B"/>
        </w:rPr>
        <w:t>sindicatos deben</w:t>
      </w:r>
      <w:r>
        <w:rPr>
          <w:color w:val="0B0B0B"/>
          <w:spacing w:val="-1"/>
        </w:rPr>
        <w:t> </w:t>
      </w:r>
      <w:r>
        <w:rPr>
          <w:color w:val="0B0B0B"/>
        </w:rPr>
        <w:t>asociar a</w:t>
      </w:r>
      <w:r>
        <w:rPr>
          <w:color w:val="0B0B0B"/>
          <w:spacing w:val="-1"/>
        </w:rPr>
        <w:t> </w:t>
      </w:r>
      <w:r>
        <w:rPr>
          <w:color w:val="0B0B0B"/>
        </w:rPr>
        <w:t>trabajadores</w:t>
      </w:r>
      <w:r>
        <w:rPr>
          <w:color w:val="0B0B0B"/>
          <w:spacing w:val="-1"/>
        </w:rPr>
        <w:t> </w:t>
      </w:r>
      <w:r>
        <w:rPr>
          <w:color w:val="0B0B0B"/>
        </w:rPr>
        <w:t>con</w:t>
      </w:r>
      <w:r>
        <w:rPr>
          <w:color w:val="0B0B0B"/>
          <w:spacing w:val="-1"/>
        </w:rPr>
        <w:t> </w:t>
      </w:r>
      <w:r>
        <w:rPr>
          <w:color w:val="0B0B0B"/>
        </w:rPr>
        <w:t>el</w:t>
      </w:r>
      <w:r>
        <w:rPr>
          <w:color w:val="0B0B0B"/>
          <w:spacing w:val="-1"/>
        </w:rPr>
        <w:t> </w:t>
      </w:r>
      <w:r>
        <w:rPr>
          <w:color w:val="0B0B0B"/>
        </w:rPr>
        <w:t>objeto de estudiar, mejorar y defender sus intereses.</w:t>
      </w:r>
    </w:p>
    <w:p>
      <w:pPr>
        <w:pStyle w:val="BodyText"/>
        <w:spacing w:line="252" w:lineRule="auto" w:before="99"/>
        <w:ind w:right="257"/>
      </w:pPr>
      <w:r>
        <w:rPr>
          <w:color w:val="0B0B0B"/>
        </w:rPr>
        <w:t>Asimismo,</w:t>
      </w:r>
      <w:r>
        <w:rPr>
          <w:color w:val="0B0B0B"/>
        </w:rPr>
        <w:t> el artículo 28, fracción XXX, de la Ley del ISR establece que no serán deducibles los pagos que a su vez sean ingresos exentos para el trabajador hasta por la cantidad que resulte de aplicar el factor de 0.53 al monto de dichos pagos o, en su caso, el factor de 0.47 cuando las prestaciones otorgadas a los trabajadores que a su vez sean ingresos exentos para dichos trabajadores no hayan disminuido respecto de las otorgadas en el ejercicio inmediato anterior.</w:t>
      </w:r>
    </w:p>
    <w:p>
      <w:pPr>
        <w:pStyle w:val="BodyText"/>
        <w:spacing w:line="252" w:lineRule="auto" w:before="98"/>
        <w:ind w:right="257"/>
      </w:pPr>
      <w:r>
        <w:rPr>
          <w:color w:val="0B0B0B"/>
        </w:rPr>
        <w:t>Al efecto, se ha observado la práctica de ciertos empleadores de dispersar por medio de sindicatos una parte del salario de los trabajadores con los que tienen una relación laboral, a través de presuntas cuotas sindicales, gastos por servicios o de previsión social o apoyos previstos de manera general en el contrato colectivo de trabajo, con lo cual se deja de efectuar la retención del ISR o se realiza en una cantidad menor a la que corresponde conforme a Ley, además de hacer deducibles dichos pagos en forma total o parcial, no obstante que en ocasiones se trata de ingresos exentos</w:t>
      </w:r>
      <w:r>
        <w:rPr>
          <w:color w:val="0B0B0B"/>
          <w:spacing w:val="40"/>
        </w:rPr>
        <w:t> </w:t>
      </w:r>
      <w:r>
        <w:rPr>
          <w:color w:val="0B0B0B"/>
        </w:rPr>
        <w:t>parcialmente para el trabajador.</w:t>
      </w:r>
    </w:p>
    <w:p>
      <w:pPr>
        <w:pStyle w:val="BodyText"/>
        <w:spacing w:line="252" w:lineRule="auto" w:before="99"/>
        <w:ind w:right="254"/>
      </w:pPr>
      <w:r>
        <w:rPr>
          <w:color w:val="0B0B0B"/>
        </w:rPr>
        <w:t>Por lo tanto, realizan una práctica fiscal indebida los patrones o empresas prestadores de servicios de subcontratación laboral, que paguen a través de sindicatos, total o parcialmente a los trabajadores sueldos, salarios o asimilados a estos, mediante presuntas cuotas sindicales, apoyos o gastos de cualquier índole incluso de previsión social, considerando que son obligatorios conforme al contrato colectivo de trabajo, y con este procedimiento se ubiquen en cualquiera de los siguientes supuestos:</w:t>
      </w:r>
    </w:p>
    <w:p>
      <w:pPr>
        <w:pStyle w:val="ListParagraph"/>
        <w:numPr>
          <w:ilvl w:val="0"/>
          <w:numId w:val="30"/>
        </w:numPr>
        <w:tabs>
          <w:tab w:pos="2664" w:val="left" w:leader="none"/>
        </w:tabs>
        <w:spacing w:line="252" w:lineRule="auto" w:before="99" w:after="0"/>
        <w:ind w:left="2664" w:right="258" w:hanging="504"/>
        <w:jc w:val="both"/>
        <w:rPr>
          <w:sz w:val="18"/>
        </w:rPr>
      </w:pPr>
      <w:r>
        <w:rPr>
          <w:color w:val="0B0B0B"/>
          <w:sz w:val="18"/>
        </w:rPr>
        <w:t>No incluyan los conceptos señalados en el párrafo anterior en el comprobante fiscal</w:t>
      </w:r>
      <w:r>
        <w:rPr>
          <w:color w:val="0B0B0B"/>
          <w:spacing w:val="-1"/>
          <w:sz w:val="18"/>
        </w:rPr>
        <w:t> </w:t>
      </w:r>
      <w:r>
        <w:rPr>
          <w:color w:val="0B0B0B"/>
          <w:sz w:val="18"/>
        </w:rPr>
        <w:t>de pago que</w:t>
      </w:r>
      <w:r>
        <w:rPr>
          <w:color w:val="0B0B0B"/>
          <w:spacing w:val="-1"/>
          <w:sz w:val="18"/>
        </w:rPr>
        <w:t> </w:t>
      </w:r>
      <w:r>
        <w:rPr>
          <w:color w:val="0B0B0B"/>
          <w:sz w:val="18"/>
        </w:rPr>
        <w:t>deben</w:t>
      </w:r>
      <w:r>
        <w:rPr>
          <w:color w:val="0B0B0B"/>
          <w:spacing w:val="-1"/>
          <w:sz w:val="18"/>
        </w:rPr>
        <w:t> </w:t>
      </w:r>
      <w:r>
        <w:rPr>
          <w:color w:val="0B0B0B"/>
          <w:sz w:val="18"/>
        </w:rPr>
        <w:t>expedir</w:t>
      </w:r>
      <w:r>
        <w:rPr>
          <w:color w:val="0B0B0B"/>
          <w:spacing w:val="-1"/>
          <w:sz w:val="18"/>
        </w:rPr>
        <w:t> </w:t>
      </w:r>
      <w:r>
        <w:rPr>
          <w:color w:val="0B0B0B"/>
          <w:sz w:val="18"/>
        </w:rPr>
        <w:t>a</w:t>
      </w:r>
      <w:r>
        <w:rPr>
          <w:color w:val="0B0B0B"/>
          <w:spacing w:val="-1"/>
          <w:sz w:val="18"/>
        </w:rPr>
        <w:t> </w:t>
      </w:r>
      <w:r>
        <w:rPr>
          <w:color w:val="0B0B0B"/>
          <w:sz w:val="18"/>
        </w:rPr>
        <w:t>los</w:t>
      </w:r>
      <w:r>
        <w:rPr>
          <w:color w:val="0B0B0B"/>
          <w:spacing w:val="-1"/>
          <w:sz w:val="18"/>
        </w:rPr>
        <w:t> </w:t>
      </w:r>
      <w:r>
        <w:rPr>
          <w:color w:val="0B0B0B"/>
          <w:sz w:val="18"/>
        </w:rPr>
        <w:t>trabajadores,</w:t>
      </w:r>
      <w:r>
        <w:rPr>
          <w:color w:val="0B0B0B"/>
          <w:spacing w:val="-2"/>
          <w:sz w:val="18"/>
        </w:rPr>
        <w:t> </w:t>
      </w:r>
      <w:r>
        <w:rPr>
          <w:color w:val="0B0B0B"/>
          <w:sz w:val="18"/>
        </w:rPr>
        <w:t>en</w:t>
      </w:r>
      <w:r>
        <w:rPr>
          <w:color w:val="0B0B0B"/>
          <w:spacing w:val="-1"/>
          <w:sz w:val="18"/>
        </w:rPr>
        <w:t> </w:t>
      </w:r>
      <w:r>
        <w:rPr>
          <w:color w:val="0B0B0B"/>
          <w:sz w:val="18"/>
        </w:rPr>
        <w:t>términos</w:t>
      </w:r>
      <w:r>
        <w:rPr>
          <w:color w:val="0B0B0B"/>
          <w:spacing w:val="-1"/>
          <w:sz w:val="18"/>
        </w:rPr>
        <w:t> </w:t>
      </w:r>
      <w:r>
        <w:rPr>
          <w:color w:val="0B0B0B"/>
          <w:sz w:val="18"/>
        </w:rPr>
        <w:t>del</w:t>
      </w:r>
      <w:r>
        <w:rPr>
          <w:color w:val="0B0B0B"/>
          <w:spacing w:val="-1"/>
          <w:sz w:val="18"/>
        </w:rPr>
        <w:t> </w:t>
      </w:r>
      <w:r>
        <w:rPr>
          <w:color w:val="0B0B0B"/>
          <w:sz w:val="18"/>
        </w:rPr>
        <w:t>artículo</w:t>
      </w:r>
      <w:r>
        <w:rPr>
          <w:color w:val="0B0B0B"/>
          <w:spacing w:val="-1"/>
          <w:sz w:val="18"/>
        </w:rPr>
        <w:t> </w:t>
      </w:r>
      <w:r>
        <w:rPr>
          <w:color w:val="0B0B0B"/>
          <w:sz w:val="18"/>
        </w:rPr>
        <w:t>99, fracción III de la Ley del ISR.</w:t>
      </w:r>
    </w:p>
    <w:p>
      <w:pPr>
        <w:pStyle w:val="ListParagraph"/>
        <w:numPr>
          <w:ilvl w:val="0"/>
          <w:numId w:val="30"/>
        </w:numPr>
        <w:tabs>
          <w:tab w:pos="2664" w:val="left" w:leader="none"/>
        </w:tabs>
        <w:spacing w:line="252" w:lineRule="auto" w:before="100" w:after="0"/>
        <w:ind w:left="2664" w:right="260" w:hanging="504"/>
        <w:jc w:val="both"/>
        <w:rPr>
          <w:sz w:val="18"/>
        </w:rPr>
      </w:pPr>
      <w:r>
        <w:rPr>
          <w:color w:val="0B0B0B"/>
          <w:sz w:val="18"/>
        </w:rPr>
        <w:t>No realicen la retención y entero a los trabajadores para efectos del ISR o lo hagan en una cantidad menor a la que legalmente corresponda los conceptos señalados en el párrafo anterior.</w:t>
      </w:r>
    </w:p>
    <w:p>
      <w:pPr>
        <w:pStyle w:val="ListParagraph"/>
        <w:numPr>
          <w:ilvl w:val="0"/>
          <w:numId w:val="30"/>
        </w:numPr>
        <w:tabs>
          <w:tab w:pos="2662" w:val="left" w:leader="none"/>
          <w:tab w:pos="2664" w:val="left" w:leader="none"/>
        </w:tabs>
        <w:spacing w:line="252" w:lineRule="auto" w:before="99" w:after="0"/>
        <w:ind w:left="2664" w:right="259" w:hanging="504"/>
        <w:jc w:val="both"/>
        <w:rPr>
          <w:sz w:val="18"/>
        </w:rPr>
      </w:pPr>
      <w:r>
        <w:rPr>
          <w:color w:val="0B0B0B"/>
          <w:sz w:val="18"/>
        </w:rPr>
        <w:t>Deduzcan las erogaciones señaladas en el párrafo anterior por</w:t>
      </w:r>
      <w:r>
        <w:rPr>
          <w:color w:val="0B0B0B"/>
          <w:sz w:val="18"/>
        </w:rPr>
        <w:t> el monto expresado en el comprobante fiscal emitido por el sindicato o con base en el contrato colectivo de trabajo.</w:t>
      </w:r>
    </w:p>
    <w:p>
      <w:pPr>
        <w:pStyle w:val="ListParagraph"/>
        <w:numPr>
          <w:ilvl w:val="0"/>
          <w:numId w:val="30"/>
        </w:numPr>
        <w:tabs>
          <w:tab w:pos="2664" w:val="left" w:leader="none"/>
        </w:tabs>
        <w:spacing w:line="252" w:lineRule="auto" w:before="101" w:after="0"/>
        <w:ind w:left="2664" w:right="259" w:hanging="504"/>
        <w:jc w:val="both"/>
        <w:rPr>
          <w:sz w:val="18"/>
        </w:rPr>
      </w:pPr>
      <w:r>
        <w:rPr>
          <w:color w:val="0B0B0B"/>
          <w:sz w:val="18"/>
        </w:rPr>
        <w:t>Deduzcan los pagos señalados en el párrafo anterior efectuados a los trabajadores, cuando se trate de ingresos exentos para estos en términos del artículo 28, fracción XXX, de la Ley del ISR.</w:t>
      </w:r>
    </w:p>
    <w:p>
      <w:pPr>
        <w:pStyle w:val="BodyText"/>
        <w:spacing w:line="252" w:lineRule="auto" w:before="100"/>
        <w:ind w:right="255"/>
      </w:pPr>
      <w:r>
        <w:rPr>
          <w:color w:val="0B0B0B"/>
        </w:rPr>
        <w:t>Se considera que también realizan una práctica</w:t>
      </w:r>
      <w:r>
        <w:rPr>
          <w:color w:val="0B0B0B"/>
        </w:rPr>
        <w:t> fiscal indebida, los sindicatos</w:t>
      </w:r>
      <w:r>
        <w:rPr>
          <w:color w:val="0B0B0B"/>
        </w:rPr>
        <w:t> y empresas prestadores de servicios de subcontratación laboral, a través de las cuales se lleve a cabo esta conducta, así como quien asesore, aconseje, preste servicios o participe en la realización o la implementación de la práctica a que se refiere el presente criterio.</w:t>
      </w:r>
    </w:p>
    <w:p>
      <w:pPr>
        <w:pStyle w:val="BodyText"/>
        <w:spacing w:after="0" w:line="252" w:lineRule="auto"/>
        <w:sectPr>
          <w:headerReference w:type="default" r:id="rId31"/>
          <w:pgSz w:w="12240" w:h="15840"/>
          <w:pgMar w:header="690" w:footer="0" w:top="1040" w:bottom="280" w:left="1440" w:right="1440"/>
        </w:sectPr>
      </w:pPr>
    </w:p>
    <w:p>
      <w:pPr>
        <w:pStyle w:val="BodyText"/>
        <w:spacing w:before="4"/>
        <w:ind w:left="0"/>
        <w:jc w:val="left"/>
        <w:rPr>
          <w:sz w:val="9"/>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894"/>
      </w:tblGrid>
      <w:tr>
        <w:trPr>
          <w:trHeight w:val="323" w:hRule="atLeast"/>
        </w:trPr>
        <w:tc>
          <w:tcPr>
            <w:tcW w:w="2974" w:type="dxa"/>
            <w:shd w:val="clear" w:color="auto" w:fill="BDBDBD"/>
          </w:tcPr>
          <w:p>
            <w:pPr>
              <w:pStyle w:val="TableParagraph"/>
              <w:spacing w:before="28"/>
              <w:ind w:left="12"/>
              <w:jc w:val="center"/>
              <w:rPr>
                <w:rFonts w:ascii="Arial"/>
                <w:b/>
                <w:sz w:val="16"/>
              </w:rPr>
            </w:pPr>
            <w:r>
              <w:rPr>
                <w:rFonts w:ascii="Arial"/>
                <w:b/>
                <w:color w:val="0B0B0B"/>
                <w:spacing w:val="-2"/>
                <w:sz w:val="16"/>
              </w:rPr>
              <w:t>Origen</w:t>
            </w:r>
          </w:p>
        </w:tc>
        <w:tc>
          <w:tcPr>
            <w:tcW w:w="3894" w:type="dxa"/>
            <w:shd w:val="clear" w:color="auto" w:fill="BDBDBD"/>
          </w:tcPr>
          <w:p>
            <w:pPr>
              <w:pStyle w:val="TableParagraph"/>
              <w:spacing w:before="28"/>
              <w:ind w:left="12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4" w:hRule="atLeast"/>
        </w:trPr>
        <w:tc>
          <w:tcPr>
            <w:tcW w:w="2974" w:type="dxa"/>
          </w:tcPr>
          <w:p>
            <w:pPr>
              <w:pStyle w:val="TableParagraph"/>
              <w:spacing w:line="290" w:lineRule="auto" w:before="27"/>
              <w:ind w:right="29"/>
              <w:rPr>
                <w:sz w:val="16"/>
              </w:rPr>
            </w:pPr>
            <w:r>
              <w:rPr>
                <w:color w:val="0B0B0B"/>
                <w:sz w:val="16"/>
              </w:rPr>
              <w:t>Segunda</w:t>
            </w:r>
            <w:r>
              <w:rPr>
                <w:color w:val="0B0B0B"/>
                <w:spacing w:val="-4"/>
                <w:sz w:val="16"/>
              </w:rPr>
              <w:t> </w:t>
            </w:r>
            <w:r>
              <w:rPr>
                <w:color w:val="0B0B0B"/>
                <w:sz w:val="16"/>
              </w:rPr>
              <w:t>Resolución</w:t>
            </w:r>
            <w:r>
              <w:rPr>
                <w:color w:val="0B0B0B"/>
                <w:spacing w:val="-4"/>
                <w:sz w:val="16"/>
              </w:rPr>
              <w:t> </w:t>
            </w:r>
            <w:r>
              <w:rPr>
                <w:color w:val="0B0B0B"/>
                <w:sz w:val="16"/>
              </w:rPr>
              <w:t>de</w:t>
            </w:r>
            <w:r>
              <w:rPr>
                <w:color w:val="0B0B0B"/>
                <w:spacing w:val="-4"/>
                <w:sz w:val="16"/>
              </w:rPr>
              <w:t> </w:t>
            </w:r>
            <w:r>
              <w:rPr>
                <w:color w:val="0B0B0B"/>
                <w:sz w:val="16"/>
              </w:rPr>
              <w:t>Modificaciones a la RMF para 2016</w:t>
            </w:r>
          </w:p>
        </w:tc>
        <w:tc>
          <w:tcPr>
            <w:tcW w:w="3894" w:type="dxa"/>
          </w:tcPr>
          <w:p>
            <w:pPr>
              <w:pStyle w:val="TableParagraph"/>
              <w:spacing w:line="290" w:lineRule="auto" w:before="27"/>
              <w:ind w:right="89"/>
              <w:rPr>
                <w:sz w:val="16"/>
              </w:rPr>
            </w:pPr>
            <w:r>
              <w:rPr>
                <w:color w:val="0B0B0B"/>
                <w:sz w:val="16"/>
              </w:rPr>
              <w:t>Publicada en el DOF el 6 de mayo de 2016, </w:t>
            </w:r>
            <w:r>
              <w:rPr>
                <w:color w:val="0B0B0B"/>
                <w:sz w:val="16"/>
              </w:rPr>
              <w:t>Anexo</w:t>
            </w:r>
            <w:r>
              <w:rPr>
                <w:color w:val="0B0B0B"/>
                <w:spacing w:val="40"/>
                <w:sz w:val="16"/>
              </w:rPr>
              <w:t> </w:t>
            </w:r>
            <w:r>
              <w:rPr>
                <w:color w:val="0B0B0B"/>
                <w:sz w:val="16"/>
              </w:rPr>
              <w:t>3, publicado en el DOF el 9 de mayo de 2016.</w:t>
            </w:r>
          </w:p>
        </w:tc>
      </w:tr>
    </w:tbl>
    <w:p>
      <w:pPr>
        <w:pStyle w:val="BodyText"/>
        <w:spacing w:before="125"/>
        <w:ind w:left="0"/>
        <w:jc w:val="left"/>
      </w:pPr>
    </w:p>
    <w:p>
      <w:pPr>
        <w:pStyle w:val="Heading1"/>
        <w:tabs>
          <w:tab w:pos="2145" w:val="left" w:leader="none"/>
        </w:tabs>
        <w:spacing w:line="256" w:lineRule="auto"/>
        <w:ind w:right="257"/>
      </w:pPr>
      <w:r>
        <w:rPr>
          <w:color w:val="0B0B0B"/>
          <w:spacing w:val="-2"/>
        </w:rPr>
        <w:t>27/ISR/PI</w:t>
      </w:r>
      <w:r>
        <w:rPr>
          <w:color w:val="0B0B0B"/>
        </w:rPr>
        <w:tab/>
        <w:t>Deducción</w:t>
      </w:r>
      <w:r>
        <w:rPr>
          <w:color w:val="0B0B0B"/>
          <w:spacing w:val="40"/>
        </w:rPr>
        <w:t> </w:t>
      </w:r>
      <w:r>
        <w:rPr>
          <w:color w:val="0B0B0B"/>
        </w:rPr>
        <w:t>de</w:t>
      </w:r>
      <w:r>
        <w:rPr>
          <w:color w:val="0B0B0B"/>
          <w:spacing w:val="40"/>
        </w:rPr>
        <w:t> </w:t>
      </w:r>
      <w:r>
        <w:rPr>
          <w:color w:val="0B0B0B"/>
        </w:rPr>
        <w:t>bienes</w:t>
      </w:r>
      <w:r>
        <w:rPr>
          <w:color w:val="0B0B0B"/>
          <w:spacing w:val="40"/>
        </w:rPr>
        <w:t> </w:t>
      </w:r>
      <w:r>
        <w:rPr>
          <w:color w:val="0B0B0B"/>
        </w:rPr>
        <w:t>de</w:t>
      </w:r>
      <w:r>
        <w:rPr>
          <w:color w:val="0B0B0B"/>
          <w:spacing w:val="40"/>
        </w:rPr>
        <w:t> </w:t>
      </w:r>
      <w:r>
        <w:rPr>
          <w:color w:val="0B0B0B"/>
        </w:rPr>
        <w:t>activo</w:t>
      </w:r>
      <w:r>
        <w:rPr>
          <w:color w:val="0B0B0B"/>
          <w:spacing w:val="40"/>
        </w:rPr>
        <w:t> </w:t>
      </w:r>
      <w:r>
        <w:rPr>
          <w:color w:val="0B0B0B"/>
        </w:rPr>
        <w:t>fijo</w:t>
      </w:r>
      <w:r>
        <w:rPr>
          <w:color w:val="0B0B0B"/>
          <w:spacing w:val="40"/>
        </w:rPr>
        <w:t> </w:t>
      </w:r>
      <w:r>
        <w:rPr>
          <w:color w:val="0B0B0B"/>
        </w:rPr>
        <w:t>objeto</w:t>
      </w:r>
      <w:r>
        <w:rPr>
          <w:color w:val="0B0B0B"/>
          <w:spacing w:val="40"/>
        </w:rPr>
        <w:t> </w:t>
      </w:r>
      <w:r>
        <w:rPr>
          <w:color w:val="0B0B0B"/>
        </w:rPr>
        <w:t>de</w:t>
      </w:r>
      <w:r>
        <w:rPr>
          <w:color w:val="0B0B0B"/>
          <w:spacing w:val="40"/>
        </w:rPr>
        <w:t> </w:t>
      </w:r>
      <w:r>
        <w:rPr>
          <w:color w:val="0B0B0B"/>
        </w:rPr>
        <w:t>un</w:t>
      </w:r>
      <w:r>
        <w:rPr>
          <w:color w:val="0B0B0B"/>
          <w:spacing w:val="40"/>
        </w:rPr>
        <w:t> </w:t>
      </w:r>
      <w:r>
        <w:rPr>
          <w:color w:val="0B0B0B"/>
        </w:rPr>
        <w:t>contrato</w:t>
      </w:r>
      <w:r>
        <w:rPr>
          <w:color w:val="0B0B0B"/>
          <w:spacing w:val="40"/>
        </w:rPr>
        <w:t> </w:t>
      </w:r>
      <w:r>
        <w:rPr>
          <w:color w:val="0B0B0B"/>
        </w:rPr>
        <w:t>de</w:t>
      </w:r>
      <w:r>
        <w:rPr>
          <w:color w:val="0B0B0B"/>
          <w:spacing w:val="40"/>
        </w:rPr>
        <w:t> </w:t>
      </w:r>
      <w:r>
        <w:rPr>
          <w:color w:val="0B0B0B"/>
        </w:rPr>
        <w:t>arrendamiento </w:t>
      </w:r>
      <w:r>
        <w:rPr>
          <w:color w:val="0B0B0B"/>
          <w:spacing w:val="-2"/>
        </w:rPr>
        <w:t>financiero.</w:t>
      </w:r>
    </w:p>
    <w:p>
      <w:pPr>
        <w:pStyle w:val="BodyText"/>
        <w:spacing w:line="256" w:lineRule="auto" w:before="102"/>
        <w:ind w:right="257"/>
      </w:pPr>
      <w:r>
        <w:rPr>
          <w:color w:val="0B0B0B"/>
        </w:rPr>
        <w:t>El artículo 15 del CFF establece que para efectos fiscales, el arrendamiento financiero es</w:t>
      </w:r>
      <w:r>
        <w:rPr>
          <w:color w:val="0B0B0B"/>
          <w:spacing w:val="-2"/>
        </w:rPr>
        <w:t> </w:t>
      </w:r>
      <w:r>
        <w:rPr>
          <w:color w:val="0B0B0B"/>
        </w:rPr>
        <w:t>el</w:t>
      </w:r>
      <w:r>
        <w:rPr>
          <w:color w:val="0B0B0B"/>
          <w:spacing w:val="-2"/>
        </w:rPr>
        <w:t> </w:t>
      </w:r>
      <w:r>
        <w:rPr>
          <w:color w:val="0B0B0B"/>
        </w:rPr>
        <w:t>contrato</w:t>
      </w:r>
      <w:r>
        <w:rPr>
          <w:color w:val="0B0B0B"/>
          <w:spacing w:val="-1"/>
        </w:rPr>
        <w:t> </w:t>
      </w:r>
      <w:r>
        <w:rPr>
          <w:color w:val="0B0B0B"/>
        </w:rPr>
        <w:t>por</w:t>
      </w:r>
      <w:r>
        <w:rPr>
          <w:color w:val="0B0B0B"/>
          <w:spacing w:val="-2"/>
        </w:rPr>
        <w:t> </w:t>
      </w:r>
      <w:r>
        <w:rPr>
          <w:color w:val="0B0B0B"/>
        </w:rPr>
        <w:t>el</w:t>
      </w:r>
      <w:r>
        <w:rPr>
          <w:color w:val="0B0B0B"/>
          <w:spacing w:val="-2"/>
        </w:rPr>
        <w:t> </w:t>
      </w:r>
      <w:r>
        <w:rPr>
          <w:color w:val="0B0B0B"/>
        </w:rPr>
        <w:t>cual</w:t>
      </w:r>
      <w:r>
        <w:rPr>
          <w:color w:val="0B0B0B"/>
          <w:spacing w:val="-2"/>
        </w:rPr>
        <w:t> </w:t>
      </w:r>
      <w:r>
        <w:rPr>
          <w:color w:val="0B0B0B"/>
        </w:rPr>
        <w:t>una</w:t>
      </w:r>
      <w:r>
        <w:rPr>
          <w:color w:val="0B0B0B"/>
          <w:spacing w:val="-1"/>
        </w:rPr>
        <w:t> </w:t>
      </w:r>
      <w:r>
        <w:rPr>
          <w:color w:val="0B0B0B"/>
        </w:rPr>
        <w:t>persona</w:t>
      </w:r>
      <w:r>
        <w:rPr>
          <w:color w:val="0B0B0B"/>
          <w:spacing w:val="-2"/>
        </w:rPr>
        <w:t> </w:t>
      </w:r>
      <w:r>
        <w:rPr>
          <w:color w:val="0B0B0B"/>
        </w:rPr>
        <w:t>se</w:t>
      </w:r>
      <w:r>
        <w:rPr>
          <w:color w:val="0B0B0B"/>
          <w:spacing w:val="-2"/>
        </w:rPr>
        <w:t> </w:t>
      </w:r>
      <w:r>
        <w:rPr>
          <w:color w:val="0B0B0B"/>
        </w:rPr>
        <w:t>obliga</w:t>
      </w:r>
      <w:r>
        <w:rPr>
          <w:color w:val="0B0B0B"/>
          <w:spacing w:val="-1"/>
        </w:rPr>
        <w:t> </w:t>
      </w:r>
      <w:r>
        <w:rPr>
          <w:color w:val="0B0B0B"/>
        </w:rPr>
        <w:t>a</w:t>
      </w:r>
      <w:r>
        <w:rPr>
          <w:color w:val="0B0B0B"/>
          <w:spacing w:val="-2"/>
        </w:rPr>
        <w:t> </w:t>
      </w:r>
      <w:r>
        <w:rPr>
          <w:color w:val="0B0B0B"/>
        </w:rPr>
        <w:t>otorgar</w:t>
      </w:r>
      <w:r>
        <w:rPr>
          <w:color w:val="0B0B0B"/>
          <w:spacing w:val="-2"/>
        </w:rPr>
        <w:t> </w:t>
      </w:r>
      <w:r>
        <w:rPr>
          <w:color w:val="0B0B0B"/>
        </w:rPr>
        <w:t>a</w:t>
      </w:r>
      <w:r>
        <w:rPr>
          <w:color w:val="0B0B0B"/>
          <w:spacing w:val="-1"/>
        </w:rPr>
        <w:t> </w:t>
      </w:r>
      <w:r>
        <w:rPr>
          <w:color w:val="0B0B0B"/>
        </w:rPr>
        <w:t>otra</w:t>
      </w:r>
      <w:r>
        <w:rPr>
          <w:color w:val="0B0B0B"/>
          <w:spacing w:val="-2"/>
        </w:rPr>
        <w:t> </w:t>
      </w:r>
      <w:r>
        <w:rPr>
          <w:color w:val="0B0B0B"/>
        </w:rPr>
        <w:t>el</w:t>
      </w:r>
      <w:r>
        <w:rPr>
          <w:color w:val="0B0B0B"/>
          <w:spacing w:val="-2"/>
        </w:rPr>
        <w:t> </w:t>
      </w:r>
      <w:r>
        <w:rPr>
          <w:color w:val="0B0B0B"/>
        </w:rPr>
        <w:t>uso</w:t>
      </w:r>
      <w:r>
        <w:rPr>
          <w:color w:val="0B0B0B"/>
          <w:spacing w:val="-2"/>
        </w:rPr>
        <w:t> </w:t>
      </w:r>
      <w:r>
        <w:rPr>
          <w:color w:val="0B0B0B"/>
        </w:rPr>
        <w:t>o</w:t>
      </w:r>
      <w:r>
        <w:rPr>
          <w:color w:val="0B0B0B"/>
          <w:spacing w:val="-2"/>
        </w:rPr>
        <w:t> </w:t>
      </w:r>
      <w:r>
        <w:rPr>
          <w:color w:val="0B0B0B"/>
        </w:rPr>
        <w:t>goce</w:t>
      </w:r>
      <w:r>
        <w:rPr>
          <w:color w:val="0B0B0B"/>
          <w:spacing w:val="-2"/>
        </w:rPr>
        <w:t> </w:t>
      </w:r>
      <w:r>
        <w:rPr>
          <w:color w:val="0B0B0B"/>
        </w:rPr>
        <w:t>temporal de bienes tangibles a plazo forzoso, obligándose esta última</w:t>
      </w:r>
      <w:r>
        <w:rPr>
          <w:color w:val="0B0B0B"/>
        </w:rPr>
        <w:t> a liquidar, en pagos parciales como contraprestación, una cantidad en dinero determinada o determinable que cubra el valor de adquisición de los bienes, las cargas financieras y los demás accesorios y a adoptar al vencimiento del contrato alguna de las opciones terminales que establece la Ley General de Títulos y Operaciones de Crédito.</w:t>
      </w:r>
    </w:p>
    <w:p>
      <w:pPr>
        <w:pStyle w:val="BodyText"/>
        <w:spacing w:line="256" w:lineRule="auto" w:before="105"/>
        <w:ind w:right="256"/>
      </w:pPr>
      <w:r>
        <w:rPr>
          <w:color w:val="0B0B0B"/>
        </w:rPr>
        <w:t>Al respecto, el artículo 17, fracción III de la Ley de ISR, establece que los contribuyentes que celebren contratos de arrendamiento financiero, pueden optar por considerar como ingreso del ejercicio la parte del precio que es exigible en el mismo.</w:t>
      </w:r>
    </w:p>
    <w:p>
      <w:pPr>
        <w:pStyle w:val="BodyText"/>
        <w:spacing w:line="256" w:lineRule="auto" w:before="103"/>
        <w:ind w:right="257"/>
      </w:pPr>
      <w:r>
        <w:rPr>
          <w:color w:val="0B0B0B"/>
        </w:rPr>
        <w:t>En relación con lo anterior, el artículo 40 de la misma Ley, señala que quienes ejerzan la opción a que se hace referencia, deberán deducir el costo de lo vendido en la proporción que represente el ingreso percibido en dicho ejercicio, respecto del total de los pagos pactados en el plazo inicial forzoso, en lugar de deducir el monto total del costo de lo vendido al momento en el que se enajenen las mercancías.</w:t>
      </w:r>
    </w:p>
    <w:p>
      <w:pPr>
        <w:pStyle w:val="BodyText"/>
        <w:spacing w:line="256" w:lineRule="auto" w:before="104"/>
        <w:ind w:right="256"/>
      </w:pPr>
      <w:r>
        <w:rPr>
          <w:color w:val="0B0B0B"/>
        </w:rPr>
        <w:t>Por lo antes mencionado, es evidente que la deducción del artículo 40 de la Ley del ISR, respecto de los bienes objeto del arrendamiento financiero, resulta obligatoria al ejercer la opción contenida en el artículo 17, fracción III de la misma Ley, a efecto de ser congruente y proporcional respecto al monto de la acumulación parcial que el contribuyente realiza en función de la exigibilidad del ingreso.</w:t>
      </w:r>
    </w:p>
    <w:p>
      <w:pPr>
        <w:pStyle w:val="BodyText"/>
        <w:spacing w:before="103"/>
      </w:pPr>
      <w:r>
        <w:rPr>
          <w:color w:val="0B0B0B"/>
        </w:rPr>
        <w:t>En</w:t>
      </w:r>
      <w:r>
        <w:rPr>
          <w:color w:val="0B0B0B"/>
          <w:spacing w:val="-8"/>
        </w:rPr>
        <w:t> </w:t>
      </w:r>
      <w:r>
        <w:rPr>
          <w:color w:val="0B0B0B"/>
        </w:rPr>
        <w:t>ese</w:t>
      </w:r>
      <w:r>
        <w:rPr>
          <w:color w:val="0B0B0B"/>
          <w:spacing w:val="-7"/>
        </w:rPr>
        <w:t> </w:t>
      </w:r>
      <w:r>
        <w:rPr>
          <w:color w:val="0B0B0B"/>
        </w:rPr>
        <w:t>sentido,</w:t>
      </w:r>
      <w:r>
        <w:rPr>
          <w:color w:val="0B0B0B"/>
          <w:spacing w:val="-7"/>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7"/>
        </w:rPr>
        <w:t> </w:t>
      </w:r>
      <w:r>
        <w:rPr>
          <w:color w:val="0B0B0B"/>
        </w:rPr>
        <w:t>realiza</w:t>
      </w:r>
      <w:r>
        <w:rPr>
          <w:color w:val="0B0B0B"/>
          <w:spacing w:val="-7"/>
        </w:rPr>
        <w:t> </w:t>
      </w:r>
      <w:r>
        <w:rPr>
          <w:color w:val="0B0B0B"/>
        </w:rPr>
        <w:t>una</w:t>
      </w:r>
      <w:r>
        <w:rPr>
          <w:color w:val="0B0B0B"/>
          <w:spacing w:val="-7"/>
        </w:rPr>
        <w:t> </w:t>
      </w:r>
      <w:r>
        <w:rPr>
          <w:color w:val="0B0B0B"/>
        </w:rPr>
        <w:t>práctica</w:t>
      </w:r>
      <w:r>
        <w:rPr>
          <w:color w:val="0B0B0B"/>
          <w:spacing w:val="-7"/>
        </w:rPr>
        <w:t> </w:t>
      </w:r>
      <w:r>
        <w:rPr>
          <w:color w:val="0B0B0B"/>
        </w:rPr>
        <w:t>fiscal</w:t>
      </w:r>
      <w:r>
        <w:rPr>
          <w:color w:val="0B0B0B"/>
          <w:spacing w:val="-7"/>
        </w:rPr>
        <w:t> </w:t>
      </w:r>
      <w:r>
        <w:rPr>
          <w:color w:val="0B0B0B"/>
          <w:spacing w:val="-2"/>
        </w:rPr>
        <w:t>indebida:</w:t>
      </w:r>
    </w:p>
    <w:p>
      <w:pPr>
        <w:pStyle w:val="ListParagraph"/>
        <w:numPr>
          <w:ilvl w:val="0"/>
          <w:numId w:val="31"/>
        </w:numPr>
        <w:tabs>
          <w:tab w:pos="2664" w:val="left" w:leader="none"/>
        </w:tabs>
        <w:spacing w:line="256" w:lineRule="auto" w:before="116" w:after="0"/>
        <w:ind w:left="2664" w:right="257" w:hanging="504"/>
        <w:jc w:val="both"/>
        <w:rPr>
          <w:sz w:val="18"/>
        </w:rPr>
      </w:pPr>
      <w:r>
        <w:rPr>
          <w:color w:val="0B0B0B"/>
          <w:sz w:val="18"/>
        </w:rPr>
        <w:t>El arrendador financiero que efectúe en el ejercicio una deducción bajo un procedimiento distinto del señalado en el artículo 40 de la Ley de ISR; cuando respecto de los contratos relativos, hubiera ejercido la opción contenida en el artículo 17, fracción III de la Ley de ISR, consistente en acumular como ingreso del ejercicio sólo la parte del precio que es exigible en el mismo.</w:t>
      </w:r>
    </w:p>
    <w:p>
      <w:pPr>
        <w:pStyle w:val="ListParagraph"/>
        <w:numPr>
          <w:ilvl w:val="0"/>
          <w:numId w:val="31"/>
        </w:numPr>
        <w:tabs>
          <w:tab w:pos="2664" w:val="left" w:leader="none"/>
        </w:tabs>
        <w:spacing w:line="256" w:lineRule="auto" w:before="103" w:after="0"/>
        <w:ind w:left="2664" w:right="258" w:hanging="504"/>
        <w:jc w:val="both"/>
        <w:rPr>
          <w:sz w:val="18"/>
        </w:rPr>
      </w:pPr>
      <w:r>
        <w:rPr>
          <w:color w:val="0B0B0B"/>
          <w:sz w:val="18"/>
        </w:rPr>
        <w:t>Quien asesore, aconseje, preste servicios o participe en la realización o implementación de la práctica anterior.</w:t>
      </w:r>
    </w:p>
    <w:p>
      <w:pPr>
        <w:pStyle w:val="BodyText"/>
        <w:spacing w:before="2"/>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323" w:hRule="atLeast"/>
        </w:trPr>
        <w:tc>
          <w:tcPr>
            <w:tcW w:w="2760" w:type="dxa"/>
            <w:shd w:val="clear" w:color="auto" w:fill="BDBDBD"/>
          </w:tcPr>
          <w:p>
            <w:pPr>
              <w:pStyle w:val="TableParagraph"/>
              <w:spacing w:before="28"/>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28"/>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4" w:hRule="atLeast"/>
        </w:trPr>
        <w:tc>
          <w:tcPr>
            <w:tcW w:w="2760" w:type="dxa"/>
          </w:tcPr>
          <w:p>
            <w:pPr>
              <w:pStyle w:val="TableParagraph"/>
              <w:tabs>
                <w:tab w:pos="1215" w:val="left" w:leader="none"/>
                <w:tab w:pos="2509" w:val="left" w:leader="none"/>
              </w:tabs>
              <w:spacing w:line="290" w:lineRule="auto" w:before="28"/>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2017</w:t>
            </w:r>
          </w:p>
        </w:tc>
        <w:tc>
          <w:tcPr>
            <w:tcW w:w="4108" w:type="dxa"/>
          </w:tcPr>
          <w:p>
            <w:pPr>
              <w:pStyle w:val="TableParagraph"/>
              <w:spacing w:line="290" w:lineRule="auto" w:before="28"/>
              <w:rPr>
                <w:sz w:val="16"/>
              </w:rPr>
            </w:pPr>
            <w:r>
              <w:rPr>
                <w:color w:val="0B0B0B"/>
                <w:sz w:val="16"/>
              </w:rPr>
              <w:t>Publicada en el DOF el 18 de julio de 2017, Anexo </w:t>
            </w:r>
            <w:r>
              <w:rPr>
                <w:color w:val="0B0B0B"/>
                <w:sz w:val="16"/>
              </w:rPr>
              <w:t>3, publicado en el DOF el 21 de julio de 2017.</w:t>
            </w:r>
          </w:p>
        </w:tc>
      </w:tr>
    </w:tbl>
    <w:p>
      <w:pPr>
        <w:pStyle w:val="BodyText"/>
        <w:spacing w:before="125"/>
        <w:ind w:left="0"/>
        <w:jc w:val="left"/>
      </w:pPr>
    </w:p>
    <w:p>
      <w:pPr>
        <w:pStyle w:val="Heading1"/>
        <w:tabs>
          <w:tab w:pos="2145" w:val="left" w:leader="none"/>
        </w:tabs>
        <w:spacing w:line="256" w:lineRule="auto"/>
        <w:ind w:right="257"/>
      </w:pPr>
      <w:r>
        <w:rPr>
          <w:color w:val="0B0B0B"/>
          <w:spacing w:val="-2"/>
        </w:rPr>
        <w:t>28/ISR/PI</w:t>
      </w:r>
      <w:r>
        <w:rPr>
          <w:color w:val="0B0B0B"/>
        </w:rPr>
        <w:tab/>
        <w:t>Derechos</w:t>
      </w:r>
      <w:r>
        <w:rPr>
          <w:color w:val="0B0B0B"/>
          <w:spacing w:val="80"/>
        </w:rPr>
        <w:t> </w:t>
      </w:r>
      <w:r>
        <w:rPr>
          <w:color w:val="0B0B0B"/>
        </w:rPr>
        <w:t>federativos</w:t>
      </w:r>
      <w:r>
        <w:rPr>
          <w:color w:val="0B0B0B"/>
          <w:spacing w:val="80"/>
        </w:rPr>
        <w:t> </w:t>
      </w:r>
      <w:r>
        <w:rPr>
          <w:color w:val="0B0B0B"/>
        </w:rPr>
        <w:t>de</w:t>
      </w:r>
      <w:r>
        <w:rPr>
          <w:color w:val="0B0B0B"/>
          <w:spacing w:val="80"/>
        </w:rPr>
        <w:t> </w:t>
      </w:r>
      <w:r>
        <w:rPr>
          <w:color w:val="0B0B0B"/>
        </w:rPr>
        <w:t>los</w:t>
      </w:r>
      <w:r>
        <w:rPr>
          <w:color w:val="0B0B0B"/>
          <w:spacing w:val="80"/>
        </w:rPr>
        <w:t> </w:t>
      </w:r>
      <w:r>
        <w:rPr>
          <w:color w:val="0B0B0B"/>
        </w:rPr>
        <w:t>deportistas.</w:t>
      </w:r>
      <w:r>
        <w:rPr>
          <w:color w:val="0B0B0B"/>
          <w:spacing w:val="80"/>
        </w:rPr>
        <w:t> </w:t>
      </w:r>
      <w:r>
        <w:rPr>
          <w:color w:val="0B0B0B"/>
        </w:rPr>
        <w:t>Su</w:t>
      </w:r>
      <w:r>
        <w:rPr>
          <w:color w:val="0B0B0B"/>
          <w:spacing w:val="80"/>
        </w:rPr>
        <w:t> </w:t>
      </w:r>
      <w:r>
        <w:rPr>
          <w:color w:val="0B0B0B"/>
        </w:rPr>
        <w:t>adquisición</w:t>
      </w:r>
      <w:r>
        <w:rPr>
          <w:color w:val="0B0B0B"/>
          <w:spacing w:val="80"/>
        </w:rPr>
        <w:t> </w:t>
      </w:r>
      <w:r>
        <w:rPr>
          <w:color w:val="0B0B0B"/>
        </w:rPr>
        <w:t>constituye</w:t>
      </w:r>
      <w:r>
        <w:rPr>
          <w:color w:val="0B0B0B"/>
          <w:spacing w:val="80"/>
        </w:rPr>
        <w:t> </w:t>
      </w:r>
      <w:r>
        <w:rPr>
          <w:color w:val="0B0B0B"/>
        </w:rPr>
        <w:t>una inversión en la modalidad de gasto diferido.</w:t>
      </w:r>
    </w:p>
    <w:p>
      <w:pPr>
        <w:pStyle w:val="BodyText"/>
        <w:spacing w:line="256" w:lineRule="auto" w:before="104"/>
        <w:ind w:right="257"/>
      </w:pPr>
      <w:r>
        <w:rPr>
          <w:color w:val="0B0B0B"/>
        </w:rPr>
        <w:t>El artículo 25, fracción IV, de la Ley del ISR, establece que los contribuyentes podrán efectuar diversas deducciones, entre ellas, la de inversiones.</w:t>
      </w:r>
    </w:p>
    <w:p>
      <w:pPr>
        <w:pStyle w:val="BodyText"/>
        <w:spacing w:line="256" w:lineRule="auto" w:before="101"/>
        <w:ind w:right="258"/>
      </w:pPr>
      <w:r>
        <w:rPr>
          <w:color w:val="0B0B0B"/>
        </w:rPr>
        <w:t>El artículo 31 de la Ley del ISR dispone que las inversiones se podrán deducir mediante</w:t>
      </w:r>
      <w:r>
        <w:rPr>
          <w:color w:val="0B0B0B"/>
          <w:spacing w:val="-3"/>
        </w:rPr>
        <w:t> </w:t>
      </w:r>
      <w:r>
        <w:rPr>
          <w:color w:val="0B0B0B"/>
        </w:rPr>
        <w:t>la</w:t>
      </w:r>
      <w:r>
        <w:rPr>
          <w:color w:val="0B0B0B"/>
          <w:spacing w:val="-3"/>
        </w:rPr>
        <w:t> </w:t>
      </w:r>
      <w:r>
        <w:rPr>
          <w:color w:val="0B0B0B"/>
        </w:rPr>
        <w:t>aplicación</w:t>
      </w:r>
      <w:r>
        <w:rPr>
          <w:color w:val="0B0B0B"/>
          <w:spacing w:val="-3"/>
        </w:rPr>
        <w:t> </w:t>
      </w:r>
      <w:r>
        <w:rPr>
          <w:color w:val="0B0B0B"/>
        </w:rPr>
        <w:t>en</w:t>
      </w:r>
      <w:r>
        <w:rPr>
          <w:color w:val="0B0B0B"/>
          <w:spacing w:val="-3"/>
        </w:rPr>
        <w:t> </w:t>
      </w:r>
      <w:r>
        <w:rPr>
          <w:color w:val="0B0B0B"/>
        </w:rPr>
        <w:t>cada</w:t>
      </w:r>
      <w:r>
        <w:rPr>
          <w:color w:val="0B0B0B"/>
          <w:spacing w:val="-3"/>
        </w:rPr>
        <w:t> </w:t>
      </w:r>
      <w:r>
        <w:rPr>
          <w:color w:val="0B0B0B"/>
        </w:rPr>
        <w:t>ejercicio</w:t>
      </w:r>
      <w:r>
        <w:rPr>
          <w:color w:val="0B0B0B"/>
          <w:spacing w:val="-3"/>
        </w:rPr>
        <w:t> </w:t>
      </w:r>
      <w:r>
        <w:rPr>
          <w:color w:val="0B0B0B"/>
        </w:rPr>
        <w:t>en</w:t>
      </w:r>
      <w:r>
        <w:rPr>
          <w:color w:val="0B0B0B"/>
          <w:spacing w:val="-3"/>
        </w:rPr>
        <w:t> </w:t>
      </w:r>
      <w:r>
        <w:rPr>
          <w:color w:val="0B0B0B"/>
        </w:rPr>
        <w:t>los</w:t>
      </w:r>
      <w:r>
        <w:rPr>
          <w:color w:val="0B0B0B"/>
          <w:spacing w:val="-3"/>
        </w:rPr>
        <w:t> </w:t>
      </w:r>
      <w:r>
        <w:rPr>
          <w:color w:val="0B0B0B"/>
        </w:rPr>
        <w:t>porcentajes</w:t>
      </w:r>
      <w:r>
        <w:rPr>
          <w:color w:val="0B0B0B"/>
          <w:spacing w:val="-2"/>
        </w:rPr>
        <w:t> </w:t>
      </w:r>
      <w:r>
        <w:rPr>
          <w:color w:val="0B0B0B"/>
        </w:rPr>
        <w:t>máximos</w:t>
      </w:r>
      <w:r>
        <w:rPr>
          <w:color w:val="0B0B0B"/>
          <w:spacing w:val="-3"/>
        </w:rPr>
        <w:t> </w:t>
      </w:r>
      <w:r>
        <w:rPr>
          <w:color w:val="0B0B0B"/>
        </w:rPr>
        <w:t>autorizados</w:t>
      </w:r>
      <w:r>
        <w:rPr>
          <w:color w:val="0B0B0B"/>
          <w:spacing w:val="-3"/>
        </w:rPr>
        <w:t> </w:t>
      </w:r>
      <w:r>
        <w:rPr>
          <w:color w:val="0B0B0B"/>
        </w:rPr>
        <w:t>por</w:t>
      </w:r>
      <w:r>
        <w:rPr>
          <w:color w:val="0B0B0B"/>
          <w:spacing w:val="-3"/>
        </w:rPr>
        <w:t> </w:t>
      </w:r>
      <w:r>
        <w:rPr>
          <w:color w:val="0B0B0B"/>
        </w:rPr>
        <w:t>la citada Ley, sobre el monto original de la inversión; y cuando el contribuyente enajene los</w:t>
      </w:r>
      <w:r>
        <w:rPr>
          <w:color w:val="0B0B0B"/>
          <w:spacing w:val="-3"/>
        </w:rPr>
        <w:t> </w:t>
      </w:r>
      <w:r>
        <w:rPr>
          <w:color w:val="0B0B0B"/>
        </w:rPr>
        <w:t>bienes</w:t>
      </w:r>
      <w:r>
        <w:rPr>
          <w:color w:val="0B0B0B"/>
          <w:spacing w:val="-3"/>
        </w:rPr>
        <w:t> </w:t>
      </w:r>
      <w:r>
        <w:rPr>
          <w:color w:val="0B0B0B"/>
        </w:rPr>
        <w:t>o</w:t>
      </w:r>
      <w:r>
        <w:rPr>
          <w:color w:val="0B0B0B"/>
          <w:spacing w:val="-3"/>
        </w:rPr>
        <w:t> </w:t>
      </w:r>
      <w:r>
        <w:rPr>
          <w:color w:val="0B0B0B"/>
        </w:rPr>
        <w:t>cuando</w:t>
      </w:r>
      <w:r>
        <w:rPr>
          <w:color w:val="0B0B0B"/>
          <w:spacing w:val="-3"/>
        </w:rPr>
        <w:t> </w:t>
      </w:r>
      <w:r>
        <w:rPr>
          <w:color w:val="0B0B0B"/>
        </w:rPr>
        <w:t>estos</w:t>
      </w:r>
      <w:r>
        <w:rPr>
          <w:color w:val="0B0B0B"/>
          <w:spacing w:val="-3"/>
        </w:rPr>
        <w:t> </w:t>
      </w:r>
      <w:r>
        <w:rPr>
          <w:color w:val="0B0B0B"/>
        </w:rPr>
        <w:t>dejen</w:t>
      </w:r>
      <w:r>
        <w:rPr>
          <w:color w:val="0B0B0B"/>
          <w:spacing w:val="-3"/>
        </w:rPr>
        <w:t> </w:t>
      </w:r>
      <w:r>
        <w:rPr>
          <w:color w:val="0B0B0B"/>
        </w:rPr>
        <w:t>de</w:t>
      </w:r>
      <w:r>
        <w:rPr>
          <w:color w:val="0B0B0B"/>
          <w:spacing w:val="-3"/>
        </w:rPr>
        <w:t> </w:t>
      </w:r>
      <w:r>
        <w:rPr>
          <w:color w:val="0B0B0B"/>
        </w:rPr>
        <w:t>ser</w:t>
      </w:r>
      <w:r>
        <w:rPr>
          <w:color w:val="0B0B0B"/>
          <w:spacing w:val="-3"/>
        </w:rPr>
        <w:t> </w:t>
      </w:r>
      <w:r>
        <w:rPr>
          <w:color w:val="0B0B0B"/>
        </w:rPr>
        <w:t>útiles</w:t>
      </w:r>
      <w:r>
        <w:rPr>
          <w:color w:val="0B0B0B"/>
          <w:spacing w:val="-3"/>
        </w:rPr>
        <w:t> </w:t>
      </w:r>
      <w:r>
        <w:rPr>
          <w:color w:val="0B0B0B"/>
        </w:rPr>
        <w:t>para</w:t>
      </w:r>
      <w:r>
        <w:rPr>
          <w:color w:val="0B0B0B"/>
          <w:spacing w:val="-3"/>
        </w:rPr>
        <w:t> </w:t>
      </w:r>
      <w:r>
        <w:rPr>
          <w:color w:val="0B0B0B"/>
        </w:rPr>
        <w:t>obtener</w:t>
      </w:r>
      <w:r>
        <w:rPr>
          <w:color w:val="0B0B0B"/>
          <w:spacing w:val="-2"/>
        </w:rPr>
        <w:t> </w:t>
      </w:r>
      <w:r>
        <w:rPr>
          <w:color w:val="0B0B0B"/>
        </w:rPr>
        <w:t>los</w:t>
      </w:r>
      <w:r>
        <w:rPr>
          <w:color w:val="0B0B0B"/>
          <w:spacing w:val="-3"/>
        </w:rPr>
        <w:t> </w:t>
      </w:r>
      <w:r>
        <w:rPr>
          <w:color w:val="0B0B0B"/>
        </w:rPr>
        <w:t>ingresos,</w:t>
      </w:r>
      <w:r>
        <w:rPr>
          <w:color w:val="0B0B0B"/>
          <w:spacing w:val="-3"/>
        </w:rPr>
        <w:t> </w:t>
      </w:r>
      <w:r>
        <w:rPr>
          <w:color w:val="0B0B0B"/>
        </w:rPr>
        <w:t>deducirá,</w:t>
      </w:r>
      <w:r>
        <w:rPr>
          <w:color w:val="0B0B0B"/>
          <w:spacing w:val="-3"/>
        </w:rPr>
        <w:t> </w:t>
      </w:r>
      <w:r>
        <w:rPr>
          <w:color w:val="0B0B0B"/>
        </w:rPr>
        <w:t>en</w:t>
      </w:r>
      <w:r>
        <w:rPr>
          <w:color w:val="0B0B0B"/>
          <w:spacing w:val="-3"/>
        </w:rPr>
        <w:t> </w:t>
      </w:r>
      <w:r>
        <w:rPr>
          <w:color w:val="0B0B0B"/>
        </w:rPr>
        <w:t>el ejercicio en que esto ocurra, la parte aún no deducida.</w:t>
      </w:r>
    </w:p>
    <w:p>
      <w:pPr>
        <w:pStyle w:val="BodyText"/>
        <w:spacing w:line="256" w:lineRule="auto" w:before="104"/>
        <w:ind w:right="258"/>
      </w:pPr>
      <w:r>
        <w:rPr>
          <w:color w:val="0B0B0B"/>
        </w:rPr>
        <w:t>Los artículos 32, cuarto párrafo y 33, fracción III, de la Ley del ISR señalan que se consideran</w:t>
      </w:r>
      <w:r>
        <w:rPr>
          <w:color w:val="0B0B0B"/>
          <w:spacing w:val="-3"/>
        </w:rPr>
        <w:t> </w:t>
      </w:r>
      <w:r>
        <w:rPr>
          <w:color w:val="0B0B0B"/>
        </w:rPr>
        <w:t>inversiones</w:t>
      </w:r>
      <w:r>
        <w:rPr>
          <w:color w:val="0B0B0B"/>
          <w:spacing w:val="-3"/>
        </w:rPr>
        <w:t> </w:t>
      </w:r>
      <w:r>
        <w:rPr>
          <w:color w:val="0B0B0B"/>
        </w:rPr>
        <w:t>los</w:t>
      </w:r>
      <w:r>
        <w:rPr>
          <w:color w:val="0B0B0B"/>
          <w:spacing w:val="-2"/>
        </w:rPr>
        <w:t> </w:t>
      </w:r>
      <w:r>
        <w:rPr>
          <w:color w:val="0B0B0B"/>
        </w:rPr>
        <w:t>gastos</w:t>
      </w:r>
      <w:r>
        <w:rPr>
          <w:color w:val="0B0B0B"/>
          <w:spacing w:val="-3"/>
        </w:rPr>
        <w:t> </w:t>
      </w:r>
      <w:r>
        <w:rPr>
          <w:color w:val="0B0B0B"/>
        </w:rPr>
        <w:t>diferidos,</w:t>
      </w:r>
      <w:r>
        <w:rPr>
          <w:color w:val="0B0B0B"/>
          <w:spacing w:val="-2"/>
        </w:rPr>
        <w:t> </w:t>
      </w:r>
      <w:r>
        <w:rPr>
          <w:color w:val="0B0B0B"/>
        </w:rPr>
        <w:t>es</w:t>
      </w:r>
      <w:r>
        <w:rPr>
          <w:color w:val="0B0B0B"/>
          <w:spacing w:val="-2"/>
        </w:rPr>
        <w:t> </w:t>
      </w:r>
      <w:r>
        <w:rPr>
          <w:color w:val="0B0B0B"/>
        </w:rPr>
        <w:t>decir,</w:t>
      </w:r>
      <w:r>
        <w:rPr>
          <w:color w:val="0B0B0B"/>
          <w:spacing w:val="-3"/>
        </w:rPr>
        <w:t> </w:t>
      </w:r>
      <w:r>
        <w:rPr>
          <w:color w:val="0B0B0B"/>
        </w:rPr>
        <w:t>activos</w:t>
      </w:r>
      <w:r>
        <w:rPr>
          <w:color w:val="0B0B0B"/>
          <w:spacing w:val="-3"/>
        </w:rPr>
        <w:t> </w:t>
      </w:r>
      <w:r>
        <w:rPr>
          <w:color w:val="0B0B0B"/>
        </w:rPr>
        <w:t>intangibles</w:t>
      </w:r>
      <w:r>
        <w:rPr>
          <w:color w:val="0B0B0B"/>
          <w:spacing w:val="-3"/>
        </w:rPr>
        <w:t> </w:t>
      </w:r>
      <w:r>
        <w:rPr>
          <w:color w:val="0B0B0B"/>
        </w:rPr>
        <w:t>representados por bienes o derechos que permitan reducir costos de operación, mejorar la calidad o aceptación</w:t>
      </w:r>
      <w:r>
        <w:rPr>
          <w:color w:val="0B0B0B"/>
          <w:spacing w:val="-1"/>
        </w:rPr>
        <w:t> </w:t>
      </w:r>
      <w:r>
        <w:rPr>
          <w:color w:val="0B0B0B"/>
        </w:rPr>
        <w:t>de</w:t>
      </w:r>
      <w:r>
        <w:rPr>
          <w:color w:val="0B0B0B"/>
          <w:spacing w:val="-1"/>
        </w:rPr>
        <w:t> </w:t>
      </w:r>
      <w:r>
        <w:rPr>
          <w:color w:val="0B0B0B"/>
        </w:rPr>
        <w:t>un</w:t>
      </w:r>
      <w:r>
        <w:rPr>
          <w:color w:val="0B0B0B"/>
          <w:spacing w:val="-1"/>
        </w:rPr>
        <w:t> </w:t>
      </w:r>
      <w:r>
        <w:rPr>
          <w:color w:val="0B0B0B"/>
        </w:rPr>
        <w:t>producto,</w:t>
      </w:r>
      <w:r>
        <w:rPr>
          <w:color w:val="0B0B0B"/>
          <w:spacing w:val="-1"/>
        </w:rPr>
        <w:t> </w:t>
      </w:r>
      <w:r>
        <w:rPr>
          <w:color w:val="0B0B0B"/>
        </w:rPr>
        <w:t>usar,</w:t>
      </w:r>
      <w:r>
        <w:rPr>
          <w:color w:val="0B0B0B"/>
          <w:spacing w:val="-1"/>
        </w:rPr>
        <w:t> </w:t>
      </w:r>
      <w:r>
        <w:rPr>
          <w:color w:val="0B0B0B"/>
        </w:rPr>
        <w:t>disfrutar</w:t>
      </w:r>
      <w:r>
        <w:rPr>
          <w:color w:val="0B0B0B"/>
          <w:spacing w:val="-1"/>
        </w:rPr>
        <w:t> </w:t>
      </w:r>
      <w:r>
        <w:rPr>
          <w:color w:val="0B0B0B"/>
        </w:rPr>
        <w:t>o</w:t>
      </w:r>
      <w:r>
        <w:rPr>
          <w:color w:val="0B0B0B"/>
          <w:spacing w:val="-1"/>
        </w:rPr>
        <w:t> </w:t>
      </w:r>
      <w:r>
        <w:rPr>
          <w:color w:val="0B0B0B"/>
        </w:rPr>
        <w:t>explotar</w:t>
      </w:r>
      <w:r>
        <w:rPr>
          <w:color w:val="0B0B0B"/>
          <w:spacing w:val="-1"/>
        </w:rPr>
        <w:t> </w:t>
      </w:r>
      <w:r>
        <w:rPr>
          <w:color w:val="0B0B0B"/>
        </w:rPr>
        <w:t>un</w:t>
      </w:r>
      <w:r>
        <w:rPr>
          <w:color w:val="0B0B0B"/>
          <w:spacing w:val="-1"/>
        </w:rPr>
        <w:t> </w:t>
      </w:r>
      <w:r>
        <w:rPr>
          <w:color w:val="0B0B0B"/>
        </w:rPr>
        <w:t>bien,</w:t>
      </w:r>
      <w:r>
        <w:rPr>
          <w:color w:val="0B0B0B"/>
          <w:spacing w:val="-1"/>
        </w:rPr>
        <w:t> </w:t>
      </w:r>
      <w:r>
        <w:rPr>
          <w:color w:val="0B0B0B"/>
        </w:rPr>
        <w:t>por</w:t>
      </w:r>
      <w:r>
        <w:rPr>
          <w:color w:val="0B0B0B"/>
          <w:spacing w:val="-1"/>
        </w:rPr>
        <w:t> </w:t>
      </w:r>
      <w:r>
        <w:rPr>
          <w:color w:val="0B0B0B"/>
        </w:rPr>
        <w:t>un</w:t>
      </w:r>
      <w:r>
        <w:rPr>
          <w:color w:val="0B0B0B"/>
          <w:spacing w:val="-1"/>
        </w:rPr>
        <w:t> </w:t>
      </w:r>
      <w:r>
        <w:rPr>
          <w:color w:val="0B0B0B"/>
        </w:rPr>
        <w:t>periodo</w:t>
      </w:r>
      <w:r>
        <w:rPr>
          <w:color w:val="0B0B0B"/>
          <w:spacing w:val="-1"/>
        </w:rPr>
        <w:t> </w:t>
      </w:r>
      <w:r>
        <w:rPr>
          <w:color w:val="0B0B0B"/>
        </w:rPr>
        <w:t>limitado, y que su porcentaje máximo de deducción es de 15% anual.</w:t>
      </w:r>
    </w:p>
    <w:p>
      <w:pPr>
        <w:pStyle w:val="BodyText"/>
        <w:spacing w:after="0" w:line="256" w:lineRule="auto"/>
        <w:sectPr>
          <w:headerReference w:type="default" r:id="rId32"/>
          <w:pgSz w:w="12240" w:h="15840"/>
          <w:pgMar w:header="690" w:footer="0" w:top="1040" w:bottom="280" w:left="1440" w:right="1440"/>
        </w:sectPr>
      </w:pPr>
    </w:p>
    <w:p>
      <w:pPr>
        <w:pStyle w:val="BodyText"/>
        <w:spacing w:line="264" w:lineRule="auto" w:before="120"/>
        <w:ind w:right="257"/>
      </w:pPr>
      <w:r>
        <w:rPr>
          <w:color w:val="0B0B0B"/>
        </w:rPr>
        <w:t>Las asociaciones deportivas o clubes deportivos llevan a cabo prácticas comerciales en donde, como parte de su actividad, adquieren los comercialmente denominados “derechos federativos” o “carta de derechos” por medio de los cuales se reconoce el derecho o potestad que tiene una asociación o club deportivo de inscribir a un atleta</w:t>
      </w:r>
      <w:r>
        <w:rPr>
          <w:color w:val="0B0B0B"/>
          <w:spacing w:val="40"/>
        </w:rPr>
        <w:t> </w:t>
      </w:r>
      <w:r>
        <w:rPr>
          <w:color w:val="0B0B0B"/>
        </w:rPr>
        <w:t>en una determinada competencia oficial organizada por una federación o asociación deportiva, tal operación atiende a que los clubes deportivos pagaron una cantidad de dinero a fin de que la asociación o el club deportivo que tiene celebrado un contrato con un atleta, finiquite su relación laboral con el mismo y, con ello, se permita que la asociación o el club deportivo que efectuó la erogación contrate los servicios de dicho atleta y en consecuencia también adquiera los mencionados “derechos federativos” que poseía</w:t>
      </w:r>
      <w:r>
        <w:rPr>
          <w:color w:val="0B0B0B"/>
        </w:rPr>
        <w:t> la asociación o el club deportivo que termina la relación laboral con el atleta. En conclusión, derivado del acto de inscripción, nace a favor del club deportivo que inscribe a un atleta un “derecho de exclusividad” para que dicho deportista únicamente participe oficialmente en cualquier competencia, representando a la asociación deportiva o club deportivo de que se trate.</w:t>
      </w:r>
    </w:p>
    <w:p>
      <w:pPr>
        <w:pStyle w:val="BodyText"/>
        <w:spacing w:line="264" w:lineRule="auto" w:before="106"/>
        <w:ind w:right="257"/>
      </w:pPr>
      <w:r>
        <w:rPr>
          <w:color w:val="0B0B0B"/>
        </w:rPr>
        <w:t>De lo anterior se tiene que, las adquisiciones realizadas por los clubes deportivos bajo el esquema precisado en el párrafo anterior, que tienen por fin obtener la titularidad de los “derechos federativos” o “carta de derechos”, se consideran inversiones bajo la modalidad de gastos diferidos,</w:t>
      </w:r>
      <w:r>
        <w:rPr>
          <w:color w:val="0B0B0B"/>
        </w:rPr>
        <w:t> toda vez que son activos intangibles los cuales</w:t>
      </w:r>
      <w:r>
        <w:rPr>
          <w:color w:val="0B0B0B"/>
          <w:spacing w:val="40"/>
        </w:rPr>
        <w:t> </w:t>
      </w:r>
      <w:r>
        <w:rPr>
          <w:color w:val="0B0B0B"/>
        </w:rPr>
        <w:t>permiten usar, disfrutar o explotar un bien, en este caso intangible (el derecho de exclusividad), por un periodo limitado representados en derechos, atendiendo a que la intangibilidad</w:t>
      </w:r>
      <w:r>
        <w:rPr>
          <w:color w:val="0B0B0B"/>
          <w:spacing w:val="40"/>
        </w:rPr>
        <w:t> </w:t>
      </w:r>
      <w:r>
        <w:rPr>
          <w:color w:val="0B0B0B"/>
        </w:rPr>
        <w:t>del</w:t>
      </w:r>
      <w:r>
        <w:rPr>
          <w:color w:val="0B0B0B"/>
          <w:spacing w:val="40"/>
        </w:rPr>
        <w:t> </w:t>
      </w:r>
      <w:r>
        <w:rPr>
          <w:color w:val="0B0B0B"/>
        </w:rPr>
        <w:t>bien,</w:t>
      </w:r>
      <w:r>
        <w:rPr>
          <w:color w:val="0B0B0B"/>
          <w:spacing w:val="40"/>
        </w:rPr>
        <w:t> </w:t>
      </w:r>
      <w:r>
        <w:rPr>
          <w:color w:val="0B0B0B"/>
        </w:rPr>
        <w:t>radica</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“derecho</w:t>
      </w:r>
      <w:r>
        <w:rPr>
          <w:color w:val="0B0B0B"/>
          <w:spacing w:val="40"/>
        </w:rPr>
        <w:t> </w:t>
      </w:r>
      <w:r>
        <w:rPr>
          <w:color w:val="0B0B0B"/>
        </w:rPr>
        <w:t>de</w:t>
      </w:r>
      <w:r>
        <w:rPr>
          <w:color w:val="0B0B0B"/>
          <w:spacing w:val="40"/>
        </w:rPr>
        <w:t> </w:t>
      </w:r>
      <w:r>
        <w:rPr>
          <w:color w:val="0B0B0B"/>
        </w:rPr>
        <w:t>exclusividad”</w:t>
      </w:r>
      <w:r>
        <w:rPr>
          <w:color w:val="0B0B0B"/>
          <w:spacing w:val="40"/>
        </w:rPr>
        <w:t> </w:t>
      </w:r>
      <w:r>
        <w:rPr>
          <w:color w:val="0B0B0B"/>
        </w:rPr>
        <w:t>que</w:t>
      </w:r>
      <w:r>
        <w:rPr>
          <w:color w:val="0B0B0B"/>
          <w:spacing w:val="40"/>
        </w:rPr>
        <w:t> </w:t>
      </w:r>
      <w:r>
        <w:rPr>
          <w:color w:val="0B0B0B"/>
        </w:rPr>
        <w:t>adquiere</w:t>
      </w:r>
      <w:r>
        <w:rPr>
          <w:color w:val="0B0B0B"/>
          <w:spacing w:val="40"/>
        </w:rPr>
        <w:t> </w:t>
      </w:r>
      <w:r>
        <w:rPr>
          <w:color w:val="0B0B0B"/>
        </w:rPr>
        <w:t>sobre la participación del deportista en competencias oficiales.</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32"/>
        </w:numPr>
        <w:tabs>
          <w:tab w:pos="2664" w:val="left" w:leader="none"/>
        </w:tabs>
        <w:spacing w:line="264" w:lineRule="auto" w:before="121" w:after="0"/>
        <w:ind w:left="2664" w:right="256" w:hanging="504"/>
        <w:jc w:val="both"/>
        <w:rPr>
          <w:sz w:val="18"/>
        </w:rPr>
      </w:pPr>
      <w:r>
        <w:rPr>
          <w:color w:val="0B0B0B"/>
          <w:sz w:val="18"/>
        </w:rPr>
        <w:t>Las asociaciones deportivas o clubes deportivos que deduzcan como gasto las erogaciones que entreguen a otras asociaciones o clubes deportivos para finiquitar la relación laboral con el atleta al momento en que transmiten los derechos federativos al adquirente de los mismos, así como las diversas que se entreguen con posterioridad por dicha adquisición de “derechos federativos” o “carta de derechos”.</w:t>
      </w:r>
    </w:p>
    <w:p>
      <w:pPr>
        <w:pStyle w:val="ListParagraph"/>
        <w:numPr>
          <w:ilvl w:val="0"/>
          <w:numId w:val="32"/>
        </w:numPr>
        <w:tabs>
          <w:tab w:pos="2664" w:val="left" w:leader="none"/>
        </w:tabs>
        <w:spacing w:line="266" w:lineRule="auto" w:before="104"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4"/>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894"/>
      </w:tblGrid>
      <w:tr>
        <w:trPr>
          <w:trHeight w:val="328" w:hRule="atLeast"/>
        </w:trPr>
        <w:tc>
          <w:tcPr>
            <w:tcW w:w="2974" w:type="dxa"/>
            <w:shd w:val="clear" w:color="auto" w:fill="BDBDBD"/>
          </w:tcPr>
          <w:p>
            <w:pPr>
              <w:pStyle w:val="TableParagraph"/>
              <w:spacing w:before="32"/>
              <w:ind w:left="12"/>
              <w:jc w:val="center"/>
              <w:rPr>
                <w:rFonts w:ascii="Arial"/>
                <w:b/>
                <w:sz w:val="16"/>
              </w:rPr>
            </w:pPr>
            <w:r>
              <w:rPr>
                <w:rFonts w:ascii="Arial"/>
                <w:b/>
                <w:color w:val="0B0B0B"/>
                <w:spacing w:val="-2"/>
                <w:sz w:val="16"/>
              </w:rPr>
              <w:t>Origen</w:t>
            </w:r>
          </w:p>
        </w:tc>
        <w:tc>
          <w:tcPr>
            <w:tcW w:w="3894" w:type="dxa"/>
            <w:shd w:val="clear" w:color="auto" w:fill="BDBDBD"/>
          </w:tcPr>
          <w:p>
            <w:pPr>
              <w:pStyle w:val="TableParagraph"/>
              <w:spacing w:before="32"/>
              <w:ind w:left="12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7" w:hRule="atLeast"/>
        </w:trPr>
        <w:tc>
          <w:tcPr>
            <w:tcW w:w="2974" w:type="dxa"/>
          </w:tcPr>
          <w:p>
            <w:pPr>
              <w:pStyle w:val="TableParagraph"/>
              <w:spacing w:line="300" w:lineRule="auto" w:before="32"/>
              <w:ind w:right="29"/>
              <w:rPr>
                <w:sz w:val="16"/>
              </w:rPr>
            </w:pPr>
            <w:r>
              <w:rPr>
                <w:color w:val="0B0B0B"/>
                <w:sz w:val="16"/>
              </w:rPr>
              <w:t>Segunda</w:t>
            </w:r>
            <w:r>
              <w:rPr>
                <w:color w:val="0B0B0B"/>
                <w:spacing w:val="-4"/>
                <w:sz w:val="16"/>
              </w:rPr>
              <w:t> </w:t>
            </w:r>
            <w:r>
              <w:rPr>
                <w:color w:val="0B0B0B"/>
                <w:sz w:val="16"/>
              </w:rPr>
              <w:t>Resolución</w:t>
            </w:r>
            <w:r>
              <w:rPr>
                <w:color w:val="0B0B0B"/>
                <w:spacing w:val="-4"/>
                <w:sz w:val="16"/>
              </w:rPr>
              <w:t> </w:t>
            </w:r>
            <w:r>
              <w:rPr>
                <w:color w:val="0B0B0B"/>
                <w:sz w:val="16"/>
              </w:rPr>
              <w:t>de</w:t>
            </w:r>
            <w:r>
              <w:rPr>
                <w:color w:val="0B0B0B"/>
                <w:spacing w:val="-4"/>
                <w:sz w:val="16"/>
              </w:rPr>
              <w:t> </w:t>
            </w:r>
            <w:r>
              <w:rPr>
                <w:color w:val="0B0B0B"/>
                <w:sz w:val="16"/>
              </w:rPr>
              <w:t>Modificaciones a la RMF para 2017</w:t>
            </w:r>
          </w:p>
        </w:tc>
        <w:tc>
          <w:tcPr>
            <w:tcW w:w="3894" w:type="dxa"/>
          </w:tcPr>
          <w:p>
            <w:pPr>
              <w:pStyle w:val="TableParagraph"/>
              <w:spacing w:line="300" w:lineRule="auto" w:before="32"/>
              <w:ind w:right="89"/>
              <w:rPr>
                <w:sz w:val="16"/>
              </w:rPr>
            </w:pPr>
            <w:r>
              <w:rPr>
                <w:color w:val="0B0B0B"/>
                <w:sz w:val="16"/>
              </w:rPr>
              <w:t>Publicada en el DOF el 18 de julio de 2017, Anexo</w:t>
            </w:r>
            <w:r>
              <w:rPr>
                <w:color w:val="0B0B0B"/>
                <w:spacing w:val="40"/>
                <w:sz w:val="16"/>
              </w:rPr>
              <w:t> </w:t>
            </w:r>
            <w:r>
              <w:rPr>
                <w:color w:val="0B0B0B"/>
                <w:sz w:val="16"/>
              </w:rPr>
              <w:t>3, publicado en el DOF el 21 de julio de 2017.</w:t>
            </w:r>
          </w:p>
        </w:tc>
      </w:tr>
    </w:tbl>
    <w:p>
      <w:pPr>
        <w:pStyle w:val="BodyText"/>
        <w:spacing w:before="135"/>
        <w:ind w:left="0"/>
        <w:jc w:val="left"/>
      </w:pPr>
    </w:p>
    <w:p>
      <w:pPr>
        <w:pStyle w:val="Heading1"/>
        <w:tabs>
          <w:tab w:pos="2145" w:val="left" w:leader="none"/>
        </w:tabs>
        <w:spacing w:line="266" w:lineRule="auto"/>
        <w:ind w:right="257"/>
      </w:pPr>
      <w:r>
        <w:rPr>
          <w:color w:val="0B0B0B"/>
          <w:spacing w:val="-2"/>
        </w:rPr>
        <w:t>29/ISR/PI</w:t>
      </w:r>
      <w:r>
        <w:rPr>
          <w:color w:val="0B0B0B"/>
        </w:rPr>
        <w:tab/>
        <w:t>Inversión</w:t>
      </w:r>
      <w:r>
        <w:rPr>
          <w:color w:val="0B0B0B"/>
          <w:spacing w:val="39"/>
        </w:rPr>
        <w:t> </w:t>
      </w:r>
      <w:r>
        <w:rPr>
          <w:color w:val="0B0B0B"/>
        </w:rPr>
        <w:t>de</w:t>
      </w:r>
      <w:r>
        <w:rPr>
          <w:color w:val="0B0B0B"/>
          <w:spacing w:val="39"/>
        </w:rPr>
        <w:t> </w:t>
      </w:r>
      <w:r>
        <w:rPr>
          <w:color w:val="0B0B0B"/>
        </w:rPr>
        <w:t>recursos</w:t>
      </w:r>
      <w:r>
        <w:rPr>
          <w:color w:val="0B0B0B"/>
          <w:spacing w:val="39"/>
        </w:rPr>
        <w:t> </w:t>
      </w:r>
      <w:r>
        <w:rPr>
          <w:color w:val="0B0B0B"/>
        </w:rPr>
        <w:t>retornados</w:t>
      </w:r>
      <w:r>
        <w:rPr>
          <w:color w:val="0B0B0B"/>
          <w:spacing w:val="39"/>
        </w:rPr>
        <w:t> </w:t>
      </w:r>
      <w:r>
        <w:rPr>
          <w:color w:val="0B0B0B"/>
        </w:rPr>
        <w:t>al</w:t>
      </w:r>
      <w:r>
        <w:rPr>
          <w:color w:val="0B0B0B"/>
          <w:spacing w:val="39"/>
        </w:rPr>
        <w:t> </w:t>
      </w:r>
      <w:r>
        <w:rPr>
          <w:color w:val="0B0B0B"/>
        </w:rPr>
        <w:t>país</w:t>
      </w:r>
      <w:r>
        <w:rPr>
          <w:color w:val="0B0B0B"/>
          <w:spacing w:val="39"/>
        </w:rPr>
        <w:t> </w:t>
      </w:r>
      <w:r>
        <w:rPr>
          <w:color w:val="0B0B0B"/>
        </w:rPr>
        <w:t>en</w:t>
      </w:r>
      <w:r>
        <w:rPr>
          <w:color w:val="0B0B0B"/>
          <w:spacing w:val="39"/>
        </w:rPr>
        <w:t> </w:t>
      </w:r>
      <w:r>
        <w:rPr>
          <w:color w:val="0B0B0B"/>
        </w:rPr>
        <w:t>acciones</w:t>
      </w:r>
      <w:r>
        <w:rPr>
          <w:color w:val="0B0B0B"/>
          <w:spacing w:val="39"/>
        </w:rPr>
        <w:t> </w:t>
      </w:r>
      <w:r>
        <w:rPr>
          <w:color w:val="0B0B0B"/>
        </w:rPr>
        <w:t>emitidas</w:t>
      </w:r>
      <w:r>
        <w:rPr>
          <w:color w:val="0B0B0B"/>
          <w:spacing w:val="39"/>
        </w:rPr>
        <w:t> </w:t>
      </w:r>
      <w:r>
        <w:rPr>
          <w:color w:val="0B0B0B"/>
        </w:rPr>
        <w:t>por</w:t>
      </w:r>
      <w:r>
        <w:rPr>
          <w:color w:val="0B0B0B"/>
          <w:spacing w:val="39"/>
        </w:rPr>
        <w:t> </w:t>
      </w:r>
      <w:r>
        <w:rPr>
          <w:color w:val="0B0B0B"/>
        </w:rPr>
        <w:t>personas morales residentes en México.</w:t>
      </w:r>
    </w:p>
    <w:p>
      <w:pPr>
        <w:pStyle w:val="BodyText"/>
        <w:spacing w:line="264" w:lineRule="auto" w:before="97"/>
        <w:ind w:right="257"/>
      </w:pPr>
      <w:r>
        <w:rPr>
          <w:color w:val="0B0B0B"/>
        </w:rPr>
        <w:t>El quinto y sexto párrafos</w:t>
      </w:r>
      <w:r>
        <w:rPr>
          <w:color w:val="0B0B0B"/>
        </w:rPr>
        <w:t> del Considerando del “Decreto</w:t>
      </w:r>
      <w:r>
        <w:rPr>
          <w:color w:val="0B0B0B"/>
        </w:rPr>
        <w:t> que otorga diversas facilidades administrativas en materia del impuesto sobre la renta relativos a depósitos o inversiones que se reciban en México” publicado en DOF el 18 de enero de 2017, indican que la finalidad del esquema de facilidad de pago del ISR que se establece en el mismo tiene como objetivo el retorno del capital mantenido en el extranjero, para aplicarse</w:t>
      </w:r>
      <w:r>
        <w:rPr>
          <w:color w:val="0B0B0B"/>
          <w:spacing w:val="-1"/>
        </w:rPr>
        <w:t> </w:t>
      </w:r>
      <w:r>
        <w:rPr>
          <w:color w:val="0B0B0B"/>
        </w:rPr>
        <w:t>en</w:t>
      </w:r>
      <w:r>
        <w:rPr>
          <w:color w:val="0B0B0B"/>
          <w:spacing w:val="-1"/>
        </w:rPr>
        <w:t> </w:t>
      </w:r>
      <w:r>
        <w:rPr>
          <w:color w:val="0B0B0B"/>
        </w:rPr>
        <w:t>actividades</w:t>
      </w:r>
      <w:r>
        <w:rPr>
          <w:color w:val="0B0B0B"/>
          <w:spacing w:val="-1"/>
        </w:rPr>
        <w:t> </w:t>
      </w:r>
      <w:r>
        <w:rPr>
          <w:color w:val="0B0B0B"/>
        </w:rPr>
        <w:t>productivas</w:t>
      </w:r>
      <w:r>
        <w:rPr>
          <w:color w:val="0B0B0B"/>
          <w:spacing w:val="-2"/>
        </w:rPr>
        <w:t> </w:t>
      </w:r>
      <w:r>
        <w:rPr>
          <w:color w:val="0B0B0B"/>
        </w:rPr>
        <w:t>que</w:t>
      </w:r>
      <w:r>
        <w:rPr>
          <w:color w:val="0B0B0B"/>
          <w:spacing w:val="-2"/>
        </w:rPr>
        <w:t> </w:t>
      </w:r>
      <w:r>
        <w:rPr>
          <w:color w:val="0B0B0B"/>
        </w:rPr>
        <w:t>coadyuven</w:t>
      </w:r>
      <w:r>
        <w:rPr>
          <w:color w:val="0B0B0B"/>
          <w:spacing w:val="-2"/>
        </w:rPr>
        <w:t> </w:t>
      </w:r>
      <w:r>
        <w:rPr>
          <w:color w:val="0B0B0B"/>
        </w:rPr>
        <w:t>al</w:t>
      </w:r>
      <w:r>
        <w:rPr>
          <w:color w:val="0B0B0B"/>
          <w:spacing w:val="-2"/>
        </w:rPr>
        <w:t> </w:t>
      </w:r>
      <w:r>
        <w:rPr>
          <w:color w:val="0B0B0B"/>
        </w:rPr>
        <w:t>crecimiento</w:t>
      </w:r>
      <w:r>
        <w:rPr>
          <w:color w:val="0B0B0B"/>
          <w:spacing w:val="-1"/>
        </w:rPr>
        <w:t> </w:t>
      </w:r>
      <w:r>
        <w:rPr>
          <w:color w:val="0B0B0B"/>
        </w:rPr>
        <w:t>económico</w:t>
      </w:r>
      <w:r>
        <w:rPr>
          <w:color w:val="0B0B0B"/>
          <w:spacing w:val="-2"/>
        </w:rPr>
        <w:t> </w:t>
      </w:r>
      <w:r>
        <w:rPr>
          <w:color w:val="0B0B0B"/>
        </w:rPr>
        <w:t>del</w:t>
      </w:r>
      <w:r>
        <w:rPr>
          <w:color w:val="0B0B0B"/>
          <w:spacing w:val="-1"/>
        </w:rPr>
        <w:t> </w:t>
      </w:r>
      <w:r>
        <w:rPr>
          <w:color w:val="0B0B0B"/>
        </w:rPr>
        <w:t>país y que esta medida es oportuna y complementaria a las necesidades de inversión al interior del país derivadas de las reformas estructurales, con lo cual se contará con recursos adicionales para la inversión productiva, la generación de empleos y el fortalecimiento de la rama industrial del país.</w:t>
      </w:r>
    </w:p>
    <w:p>
      <w:pPr>
        <w:pStyle w:val="BodyText"/>
        <w:spacing w:line="264" w:lineRule="auto" w:before="104"/>
        <w:ind w:right="256"/>
      </w:pPr>
      <w:r>
        <w:rPr>
          <w:color w:val="0B0B0B"/>
        </w:rPr>
        <w:t>El artículo Sexto, segundo párrafo del citado Decreto, establece que las personas físicas residentes en territorio nacional y las residentes en el extranjero con establecimiento permanente en México invierten recursos en el país, entre otros supuestos, cuando la inversión se realice a través de instituciones que componen el sistema</w:t>
      </w:r>
      <w:r>
        <w:rPr>
          <w:color w:val="0B0B0B"/>
          <w:spacing w:val="24"/>
        </w:rPr>
        <w:t> </w:t>
      </w:r>
      <w:r>
        <w:rPr>
          <w:color w:val="0B0B0B"/>
        </w:rPr>
        <w:t>financiero</w:t>
      </w:r>
      <w:r>
        <w:rPr>
          <w:color w:val="0B0B0B"/>
          <w:spacing w:val="26"/>
        </w:rPr>
        <w:t> </w:t>
      </w:r>
      <w:r>
        <w:rPr>
          <w:color w:val="0B0B0B"/>
        </w:rPr>
        <w:t>mexicano</w:t>
      </w:r>
      <w:r>
        <w:rPr>
          <w:color w:val="0B0B0B"/>
          <w:spacing w:val="27"/>
        </w:rPr>
        <w:t> </w:t>
      </w:r>
      <w:r>
        <w:rPr>
          <w:color w:val="0B0B0B"/>
        </w:rPr>
        <w:t>en</w:t>
      </w:r>
      <w:r>
        <w:rPr>
          <w:color w:val="0B0B0B"/>
          <w:spacing w:val="26"/>
        </w:rPr>
        <w:t> </w:t>
      </w:r>
      <w:r>
        <w:rPr>
          <w:color w:val="0B0B0B"/>
        </w:rPr>
        <w:t>instrumentos</w:t>
      </w:r>
      <w:r>
        <w:rPr>
          <w:color w:val="0B0B0B"/>
          <w:spacing w:val="24"/>
        </w:rPr>
        <w:t> </w:t>
      </w:r>
      <w:r>
        <w:rPr>
          <w:color w:val="0B0B0B"/>
        </w:rPr>
        <w:t>financieros</w:t>
      </w:r>
      <w:r>
        <w:rPr>
          <w:color w:val="0B0B0B"/>
          <w:spacing w:val="27"/>
        </w:rPr>
        <w:t> </w:t>
      </w:r>
      <w:r>
        <w:rPr>
          <w:color w:val="0B0B0B"/>
        </w:rPr>
        <w:t>emitidos</w:t>
      </w:r>
      <w:r>
        <w:rPr>
          <w:color w:val="0B0B0B"/>
          <w:spacing w:val="26"/>
        </w:rPr>
        <w:t> </w:t>
      </w:r>
      <w:r>
        <w:rPr>
          <w:color w:val="0B0B0B"/>
        </w:rPr>
        <w:t>por</w:t>
      </w:r>
      <w:r>
        <w:rPr>
          <w:color w:val="0B0B0B"/>
          <w:spacing w:val="26"/>
        </w:rPr>
        <w:t> </w:t>
      </w:r>
      <w:r>
        <w:rPr>
          <w:color w:val="0B0B0B"/>
        </w:rPr>
        <w:t>residentes</w:t>
      </w:r>
      <w:r>
        <w:rPr>
          <w:color w:val="0B0B0B"/>
          <w:spacing w:val="26"/>
        </w:rPr>
        <w:t> </w:t>
      </w:r>
      <w:r>
        <w:rPr>
          <w:color w:val="0B0B0B"/>
        </w:rPr>
        <w:t>en el país o en acciones emitidas por personas morales residentes en México.</w:t>
      </w:r>
    </w:p>
    <w:p>
      <w:pPr>
        <w:pStyle w:val="BodyText"/>
        <w:spacing w:after="0" w:line="264" w:lineRule="auto"/>
        <w:sectPr>
          <w:headerReference w:type="default" r:id="rId33"/>
          <w:pgSz w:w="12240" w:h="15840"/>
          <w:pgMar w:header="690" w:footer="0" w:top="1040" w:bottom="280" w:left="1440" w:right="1440"/>
        </w:sectPr>
      </w:pPr>
    </w:p>
    <w:p>
      <w:pPr>
        <w:pStyle w:val="BodyText"/>
        <w:spacing w:line="256" w:lineRule="auto" w:before="116"/>
        <w:ind w:right="257"/>
      </w:pPr>
      <w:r>
        <w:rPr>
          <w:color w:val="0B0B0B"/>
        </w:rPr>
        <w:t>La regla 11.8.12. de la RMF para 2017, en su fracción II, señala que para los efectos del Artículo Sexto, segundo párrafo del Decreto,</w:t>
      </w:r>
      <w:r>
        <w:rPr>
          <w:color w:val="0B0B0B"/>
        </w:rPr>
        <w:t> las personas físicas residentes en territorio</w:t>
      </w:r>
      <w:r>
        <w:rPr>
          <w:color w:val="0B0B0B"/>
          <w:spacing w:val="29"/>
        </w:rPr>
        <w:t> </w:t>
      </w:r>
      <w:r>
        <w:rPr>
          <w:color w:val="0B0B0B"/>
        </w:rPr>
        <w:t>nacional</w:t>
      </w:r>
      <w:r>
        <w:rPr>
          <w:color w:val="0B0B0B"/>
          <w:spacing w:val="30"/>
        </w:rPr>
        <w:t> </w:t>
      </w:r>
      <w:r>
        <w:rPr>
          <w:color w:val="0B0B0B"/>
        </w:rPr>
        <w:t>y</w:t>
      </w:r>
      <w:r>
        <w:rPr>
          <w:color w:val="0B0B0B"/>
          <w:spacing w:val="28"/>
        </w:rPr>
        <w:t> </w:t>
      </w:r>
      <w:r>
        <w:rPr>
          <w:color w:val="0B0B0B"/>
        </w:rPr>
        <w:t>las</w:t>
      </w:r>
      <w:r>
        <w:rPr>
          <w:color w:val="0B0B0B"/>
          <w:spacing w:val="28"/>
        </w:rPr>
        <w:t> </w:t>
      </w:r>
      <w:r>
        <w:rPr>
          <w:color w:val="0B0B0B"/>
        </w:rPr>
        <w:t>residentes</w:t>
      </w:r>
      <w:r>
        <w:rPr>
          <w:color w:val="0B0B0B"/>
          <w:spacing w:val="29"/>
        </w:rPr>
        <w:t> </w:t>
      </w:r>
      <w:r>
        <w:rPr>
          <w:color w:val="0B0B0B"/>
        </w:rPr>
        <w:t>en</w:t>
      </w:r>
      <w:r>
        <w:rPr>
          <w:color w:val="0B0B0B"/>
          <w:spacing w:val="29"/>
        </w:rPr>
        <w:t> </w:t>
      </w:r>
      <w:r>
        <w:rPr>
          <w:color w:val="0B0B0B"/>
        </w:rPr>
        <w:t>el</w:t>
      </w:r>
      <w:r>
        <w:rPr>
          <w:color w:val="0B0B0B"/>
          <w:spacing w:val="31"/>
        </w:rPr>
        <w:t> </w:t>
      </w:r>
      <w:r>
        <w:rPr>
          <w:color w:val="0B0B0B"/>
        </w:rPr>
        <w:t>extranjero</w:t>
      </w:r>
      <w:r>
        <w:rPr>
          <w:color w:val="0B0B0B"/>
          <w:spacing w:val="28"/>
        </w:rPr>
        <w:t> </w:t>
      </w:r>
      <w:r>
        <w:rPr>
          <w:color w:val="0B0B0B"/>
        </w:rPr>
        <w:t>con</w:t>
      </w:r>
      <w:r>
        <w:rPr>
          <w:color w:val="0B0B0B"/>
          <w:spacing w:val="29"/>
        </w:rPr>
        <w:t> </w:t>
      </w:r>
      <w:r>
        <w:rPr>
          <w:color w:val="0B0B0B"/>
        </w:rPr>
        <w:t>establecimiento</w:t>
      </w:r>
      <w:r>
        <w:rPr>
          <w:color w:val="0B0B0B"/>
          <w:spacing w:val="29"/>
        </w:rPr>
        <w:t> </w:t>
      </w:r>
      <w:r>
        <w:rPr>
          <w:color w:val="0B0B0B"/>
        </w:rPr>
        <w:t>permanente en</w:t>
      </w:r>
      <w:r>
        <w:rPr>
          <w:color w:val="0B0B0B"/>
          <w:spacing w:val="-2"/>
        </w:rPr>
        <w:t> </w:t>
      </w:r>
      <w:r>
        <w:rPr>
          <w:color w:val="0B0B0B"/>
        </w:rPr>
        <w:t>México</w:t>
      </w:r>
      <w:r>
        <w:rPr>
          <w:color w:val="0B0B0B"/>
          <w:spacing w:val="-2"/>
        </w:rPr>
        <w:t> </w:t>
      </w:r>
      <w:r>
        <w:rPr>
          <w:color w:val="0B0B0B"/>
        </w:rPr>
        <w:t>invierten</w:t>
      </w:r>
      <w:r>
        <w:rPr>
          <w:color w:val="0B0B0B"/>
          <w:spacing w:val="-2"/>
        </w:rPr>
        <w:t> </w:t>
      </w:r>
      <w:r>
        <w:rPr>
          <w:color w:val="0B0B0B"/>
        </w:rPr>
        <w:t>recursos</w:t>
      </w:r>
      <w:r>
        <w:rPr>
          <w:color w:val="0B0B0B"/>
          <w:spacing w:val="-1"/>
        </w:rPr>
        <w:t> </w:t>
      </w:r>
      <w:r>
        <w:rPr>
          <w:color w:val="0B0B0B"/>
        </w:rPr>
        <w:t>en</w:t>
      </w:r>
      <w:r>
        <w:rPr>
          <w:color w:val="0B0B0B"/>
          <w:spacing w:val="-2"/>
        </w:rPr>
        <w:t> </w:t>
      </w:r>
      <w:r>
        <w:rPr>
          <w:color w:val="0B0B0B"/>
        </w:rPr>
        <w:t>el</w:t>
      </w:r>
      <w:r>
        <w:rPr>
          <w:color w:val="0B0B0B"/>
          <w:spacing w:val="-2"/>
        </w:rPr>
        <w:t> </w:t>
      </w:r>
      <w:r>
        <w:rPr>
          <w:color w:val="0B0B0B"/>
        </w:rPr>
        <w:t>país</w:t>
      </w:r>
      <w:r>
        <w:rPr>
          <w:color w:val="0B0B0B"/>
          <w:spacing w:val="-2"/>
        </w:rPr>
        <w:t> </w:t>
      </w:r>
      <w:r>
        <w:rPr>
          <w:color w:val="0B0B0B"/>
        </w:rPr>
        <w:t>cuando</w:t>
      </w:r>
      <w:r>
        <w:rPr>
          <w:color w:val="0B0B0B"/>
          <w:spacing w:val="-2"/>
        </w:rPr>
        <w:t> </w:t>
      </w:r>
      <w:r>
        <w:rPr>
          <w:color w:val="0B0B0B"/>
        </w:rPr>
        <w:t>las</w:t>
      </w:r>
      <w:r>
        <w:rPr>
          <w:color w:val="0B0B0B"/>
          <w:spacing w:val="-2"/>
        </w:rPr>
        <w:t> </w:t>
      </w:r>
      <w:r>
        <w:rPr>
          <w:color w:val="0B0B0B"/>
        </w:rPr>
        <w:t>inversiones</w:t>
      </w:r>
      <w:r>
        <w:rPr>
          <w:color w:val="0B0B0B"/>
          <w:spacing w:val="-2"/>
        </w:rPr>
        <w:t> </w:t>
      </w:r>
      <w:r>
        <w:rPr>
          <w:color w:val="0B0B0B"/>
        </w:rPr>
        <w:t>se</w:t>
      </w:r>
      <w:r>
        <w:rPr>
          <w:color w:val="0B0B0B"/>
          <w:spacing w:val="-2"/>
        </w:rPr>
        <w:t> </w:t>
      </w:r>
      <w:r>
        <w:rPr>
          <w:color w:val="0B0B0B"/>
        </w:rPr>
        <w:t>realicen</w:t>
      </w:r>
      <w:r>
        <w:rPr>
          <w:color w:val="0B0B0B"/>
          <w:spacing w:val="-1"/>
        </w:rPr>
        <w:t> </w:t>
      </w:r>
      <w:r>
        <w:rPr>
          <w:color w:val="0B0B0B"/>
        </w:rPr>
        <w:t>en</w:t>
      </w:r>
      <w:r>
        <w:rPr>
          <w:color w:val="0B0B0B"/>
          <w:spacing w:val="-2"/>
        </w:rPr>
        <w:t> </w:t>
      </w:r>
      <w:r>
        <w:rPr>
          <w:color w:val="0B0B0B"/>
        </w:rPr>
        <w:t>acciones emitidas por personas morales residentes en México.</w:t>
      </w:r>
    </w:p>
    <w:p>
      <w:pPr>
        <w:pStyle w:val="BodyText"/>
        <w:spacing w:line="256" w:lineRule="auto" w:before="104"/>
        <w:ind w:right="257"/>
      </w:pPr>
      <w:r>
        <w:rPr>
          <w:color w:val="0B0B0B"/>
        </w:rPr>
        <w:t>Por su parte, la regla 11.8.14. de la RMF para 2017 dispone que para los efectos del artículo</w:t>
      </w:r>
      <w:r>
        <w:rPr>
          <w:color w:val="0B0B0B"/>
        </w:rPr>
        <w:t> Sexto del Decreto, se considera que las personas morales residentes en México y las residentes en el extranjero con establecimiento permanente en el país invierten recursos en territorio nacional, cuando la inversión se realice en acciones emitidas por personas morales residentes en México.</w:t>
      </w:r>
    </w:p>
    <w:p>
      <w:pPr>
        <w:pStyle w:val="BodyText"/>
        <w:spacing w:line="256" w:lineRule="auto" w:before="103"/>
        <w:ind w:right="256"/>
      </w:pPr>
      <w:r>
        <w:rPr>
          <w:color w:val="0B0B0B"/>
        </w:rPr>
        <w:t>Asimismo,</w:t>
      </w:r>
      <w:r>
        <w:rPr>
          <w:color w:val="0B0B0B"/>
        </w:rPr>
        <w:t> el artículo Segundo, segundo párrafo del citado Decreto</w:t>
      </w:r>
      <w:r>
        <w:rPr>
          <w:color w:val="0B0B0B"/>
        </w:rPr>
        <w:t> establece que solamente quedarán comprendidos dentro del beneficio, los ingresos y las inversiones que se retornen al país durante el plazo de vigencia del Decreto, y se inviertan productivamente en territorio nacional, debiendo permanecer en el país por un plazo</w:t>
      </w:r>
      <w:r>
        <w:rPr>
          <w:color w:val="0B0B0B"/>
          <w:spacing w:val="40"/>
        </w:rPr>
        <w:t> </w:t>
      </w:r>
      <w:r>
        <w:rPr>
          <w:color w:val="0B0B0B"/>
        </w:rPr>
        <w:t>de al menos dos años contados a partir de la fecha en que se retornen.</w:t>
      </w:r>
    </w:p>
    <w:p>
      <w:pPr>
        <w:pStyle w:val="BodyText"/>
        <w:spacing w:line="256" w:lineRule="auto" w:before="105"/>
        <w:ind w:right="257"/>
      </w:pPr>
      <w:r>
        <w:rPr>
          <w:color w:val="0B0B0B"/>
        </w:rPr>
        <w:t>De lo anterior, se desprende que el propósito del Decreto</w:t>
      </w:r>
      <w:r>
        <w:rPr>
          <w:color w:val="0B0B0B"/>
        </w:rPr>
        <w:t> es</w:t>
      </w:r>
      <w:r>
        <w:rPr>
          <w:color w:val="0B0B0B"/>
        </w:rPr>
        <w:t> que los recursos retornados permanezcan invertidos en territorio nacional y que, para cumplir con el mismo, los contribuyentes tienen como opción invertir su capital en la adquisición de acciones emitidas por personas morales residentes en México.</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33"/>
        </w:numPr>
        <w:tabs>
          <w:tab w:pos="2664" w:val="left" w:leader="none"/>
        </w:tabs>
        <w:spacing w:line="256" w:lineRule="auto" w:before="115" w:after="0"/>
        <w:ind w:left="2664" w:right="255" w:hanging="504"/>
        <w:jc w:val="both"/>
        <w:rPr>
          <w:sz w:val="18"/>
        </w:rPr>
      </w:pPr>
      <w:r>
        <w:rPr>
          <w:color w:val="0B0B0B"/>
          <w:sz w:val="18"/>
        </w:rPr>
        <w:t>Las personas físicas y morales residentes en territorio nacional y las residentes en</w:t>
      </w:r>
      <w:r>
        <w:rPr>
          <w:color w:val="0B0B0B"/>
          <w:spacing w:val="-4"/>
          <w:sz w:val="18"/>
        </w:rPr>
        <w:t> </w:t>
      </w:r>
      <w:r>
        <w:rPr>
          <w:color w:val="0B0B0B"/>
          <w:sz w:val="18"/>
        </w:rPr>
        <w:t>el</w:t>
      </w:r>
      <w:r>
        <w:rPr>
          <w:color w:val="0B0B0B"/>
          <w:spacing w:val="-3"/>
          <w:sz w:val="18"/>
        </w:rPr>
        <w:t> </w:t>
      </w:r>
      <w:r>
        <w:rPr>
          <w:color w:val="0B0B0B"/>
          <w:sz w:val="18"/>
        </w:rPr>
        <w:t>extranjero</w:t>
      </w:r>
      <w:r>
        <w:rPr>
          <w:color w:val="0B0B0B"/>
          <w:spacing w:val="-4"/>
          <w:sz w:val="18"/>
        </w:rPr>
        <w:t> </w:t>
      </w:r>
      <w:r>
        <w:rPr>
          <w:color w:val="0B0B0B"/>
          <w:sz w:val="18"/>
        </w:rPr>
        <w:t>con</w:t>
      </w:r>
      <w:r>
        <w:rPr>
          <w:color w:val="0B0B0B"/>
          <w:spacing w:val="-4"/>
          <w:sz w:val="18"/>
        </w:rPr>
        <w:t> </w:t>
      </w:r>
      <w:r>
        <w:rPr>
          <w:color w:val="0B0B0B"/>
          <w:sz w:val="18"/>
        </w:rPr>
        <w:t>establecimiento</w:t>
      </w:r>
      <w:r>
        <w:rPr>
          <w:color w:val="0B0B0B"/>
          <w:spacing w:val="-3"/>
          <w:sz w:val="18"/>
        </w:rPr>
        <w:t> </w:t>
      </w:r>
      <w:r>
        <w:rPr>
          <w:color w:val="0B0B0B"/>
          <w:sz w:val="18"/>
        </w:rPr>
        <w:t>permanente</w:t>
      </w:r>
      <w:r>
        <w:rPr>
          <w:color w:val="0B0B0B"/>
          <w:spacing w:val="-4"/>
          <w:sz w:val="18"/>
        </w:rPr>
        <w:t> </w:t>
      </w:r>
      <w:r>
        <w:rPr>
          <w:color w:val="0B0B0B"/>
          <w:sz w:val="18"/>
        </w:rPr>
        <w:t>en</w:t>
      </w:r>
      <w:r>
        <w:rPr>
          <w:color w:val="0B0B0B"/>
          <w:spacing w:val="-5"/>
          <w:sz w:val="18"/>
        </w:rPr>
        <w:t> </w:t>
      </w:r>
      <w:r>
        <w:rPr>
          <w:color w:val="0B0B0B"/>
          <w:sz w:val="18"/>
        </w:rPr>
        <w:t>México</w:t>
      </w:r>
      <w:r>
        <w:rPr>
          <w:color w:val="0B0B0B"/>
          <w:spacing w:val="-3"/>
          <w:sz w:val="18"/>
        </w:rPr>
        <w:t> </w:t>
      </w:r>
      <w:r>
        <w:rPr>
          <w:color w:val="0B0B0B"/>
          <w:sz w:val="18"/>
        </w:rPr>
        <w:t>que</w:t>
      </w:r>
      <w:r>
        <w:rPr>
          <w:color w:val="0B0B0B"/>
          <w:spacing w:val="-4"/>
          <w:sz w:val="18"/>
        </w:rPr>
        <w:t> </w:t>
      </w:r>
      <w:r>
        <w:rPr>
          <w:color w:val="0B0B0B"/>
          <w:sz w:val="18"/>
        </w:rPr>
        <w:t>opten</w:t>
      </w:r>
      <w:r>
        <w:rPr>
          <w:color w:val="0B0B0B"/>
          <w:spacing w:val="-3"/>
          <w:sz w:val="18"/>
        </w:rPr>
        <w:t> </w:t>
      </w:r>
      <w:r>
        <w:rPr>
          <w:color w:val="0B0B0B"/>
          <w:sz w:val="18"/>
        </w:rPr>
        <w:t>por</w:t>
      </w:r>
      <w:r>
        <w:rPr>
          <w:color w:val="0B0B0B"/>
          <w:spacing w:val="-3"/>
          <w:sz w:val="18"/>
        </w:rPr>
        <w:t> </w:t>
      </w:r>
      <w:r>
        <w:rPr>
          <w:color w:val="0B0B0B"/>
          <w:sz w:val="18"/>
        </w:rPr>
        <w:t>pagar el ISR en términos del “Decreto que otorga diversas facilidades administrativas en materia del impuesto sobre la renta relativos a depósitos o inversiones que</w:t>
      </w:r>
      <w:r>
        <w:rPr>
          <w:color w:val="0B0B0B"/>
          <w:spacing w:val="40"/>
          <w:sz w:val="18"/>
        </w:rPr>
        <w:t> </w:t>
      </w:r>
      <w:r>
        <w:rPr>
          <w:color w:val="0B0B0B"/>
          <w:sz w:val="18"/>
        </w:rPr>
        <w:t>se reciban en México”, publicado en el DOF el 18 de enero de 2017, y cuyos recursos retornados al país hubieren sido invertidos en acciones de personas morales residentes en México de nueva creación o existentes cuando los recursos</w:t>
      </w:r>
      <w:r>
        <w:rPr>
          <w:color w:val="0B0B0B"/>
          <w:spacing w:val="-4"/>
          <w:sz w:val="18"/>
        </w:rPr>
        <w:t> </w:t>
      </w:r>
      <w:r>
        <w:rPr>
          <w:color w:val="0B0B0B"/>
          <w:sz w:val="18"/>
        </w:rPr>
        <w:t>recibidos</w:t>
      </w:r>
      <w:r>
        <w:rPr>
          <w:color w:val="0B0B0B"/>
          <w:spacing w:val="-4"/>
          <w:sz w:val="18"/>
        </w:rPr>
        <w:t> </w:t>
      </w:r>
      <w:r>
        <w:rPr>
          <w:color w:val="0B0B0B"/>
          <w:sz w:val="18"/>
        </w:rPr>
        <w:t>por</w:t>
      </w:r>
      <w:r>
        <w:rPr>
          <w:color w:val="0B0B0B"/>
          <w:spacing w:val="-4"/>
          <w:sz w:val="18"/>
        </w:rPr>
        <w:t> </w:t>
      </w:r>
      <w:r>
        <w:rPr>
          <w:color w:val="0B0B0B"/>
          <w:sz w:val="18"/>
        </w:rPr>
        <w:t>la</w:t>
      </w:r>
      <w:r>
        <w:rPr>
          <w:color w:val="0B0B0B"/>
          <w:spacing w:val="-3"/>
          <w:sz w:val="18"/>
        </w:rPr>
        <w:t> </w:t>
      </w:r>
      <w:r>
        <w:rPr>
          <w:color w:val="0B0B0B"/>
          <w:sz w:val="18"/>
        </w:rPr>
        <w:t>persona</w:t>
      </w:r>
      <w:r>
        <w:rPr>
          <w:color w:val="0B0B0B"/>
          <w:spacing w:val="-4"/>
          <w:sz w:val="18"/>
        </w:rPr>
        <w:t> </w:t>
      </w:r>
      <w:r>
        <w:rPr>
          <w:color w:val="0B0B0B"/>
          <w:sz w:val="18"/>
        </w:rPr>
        <w:t>moral,</w:t>
      </w:r>
      <w:r>
        <w:rPr>
          <w:color w:val="0B0B0B"/>
          <w:spacing w:val="-4"/>
          <w:sz w:val="18"/>
        </w:rPr>
        <w:t> </w:t>
      </w:r>
      <w:r>
        <w:rPr>
          <w:color w:val="0B0B0B"/>
          <w:sz w:val="18"/>
        </w:rPr>
        <w:t>como</w:t>
      </w:r>
      <w:r>
        <w:rPr>
          <w:color w:val="0B0B0B"/>
          <w:spacing w:val="-4"/>
          <w:sz w:val="18"/>
        </w:rPr>
        <w:t> </w:t>
      </w:r>
      <w:r>
        <w:rPr>
          <w:color w:val="0B0B0B"/>
          <w:sz w:val="18"/>
        </w:rPr>
        <w:t>consecuencia</w:t>
      </w:r>
      <w:r>
        <w:rPr>
          <w:color w:val="0B0B0B"/>
          <w:spacing w:val="-4"/>
          <w:sz w:val="18"/>
        </w:rPr>
        <w:t> </w:t>
      </w:r>
      <w:r>
        <w:rPr>
          <w:color w:val="0B0B0B"/>
          <w:sz w:val="18"/>
        </w:rPr>
        <w:t>de</w:t>
      </w:r>
      <w:r>
        <w:rPr>
          <w:color w:val="0B0B0B"/>
          <w:spacing w:val="-5"/>
          <w:sz w:val="18"/>
        </w:rPr>
        <w:t> </w:t>
      </w:r>
      <w:r>
        <w:rPr>
          <w:color w:val="0B0B0B"/>
          <w:sz w:val="18"/>
        </w:rPr>
        <w:t>la</w:t>
      </w:r>
      <w:r>
        <w:rPr>
          <w:color w:val="0B0B0B"/>
          <w:spacing w:val="-3"/>
          <w:sz w:val="18"/>
        </w:rPr>
        <w:t> </w:t>
      </w:r>
      <w:r>
        <w:rPr>
          <w:color w:val="0B0B0B"/>
          <w:sz w:val="18"/>
        </w:rPr>
        <w:t>aplicación</w:t>
      </w:r>
      <w:r>
        <w:rPr>
          <w:color w:val="0B0B0B"/>
          <w:spacing w:val="-3"/>
          <w:sz w:val="18"/>
        </w:rPr>
        <w:t> </w:t>
      </w:r>
      <w:r>
        <w:rPr>
          <w:color w:val="0B0B0B"/>
          <w:sz w:val="18"/>
        </w:rPr>
        <w:t>del Decreto, no se destinen a la realización de sus inversiones en el país sino que se inviertan en el extranjero por la persona moral que los recibió y siempre que:</w:t>
      </w:r>
    </w:p>
    <w:p>
      <w:pPr>
        <w:pStyle w:val="ListParagraph"/>
        <w:numPr>
          <w:ilvl w:val="1"/>
          <w:numId w:val="33"/>
        </w:numPr>
        <w:tabs>
          <w:tab w:pos="3110" w:val="left" w:leader="none"/>
        </w:tabs>
        <w:spacing w:line="256" w:lineRule="auto" w:before="106" w:after="0"/>
        <w:ind w:left="3110" w:right="256" w:hanging="432"/>
        <w:jc w:val="both"/>
        <w:rPr>
          <w:sz w:val="18"/>
        </w:rPr>
      </w:pPr>
      <w:r>
        <w:rPr>
          <w:color w:val="0B0B0B"/>
          <w:sz w:val="18"/>
        </w:rPr>
        <w:t>La persona que optó por pagar el ISR en términos del referido Decreto y efectúo la inversión en acciones de las personas morales a que se refiere el primer párrafo de esta fracción, ejerza el control sobre las decisiones de las citadas personas morales, a grado tal que pueda decidir de manera directa o por interpósita persona, el momento de realizar un reparto</w:t>
      </w:r>
      <w:r>
        <w:rPr>
          <w:color w:val="0B0B0B"/>
          <w:sz w:val="18"/>
        </w:rPr>
        <w:t> de utilidades o de distribución de los ingresos, utilidades o dividendos, así como el destino de los mismos y;</w:t>
      </w:r>
    </w:p>
    <w:p>
      <w:pPr>
        <w:pStyle w:val="ListParagraph"/>
        <w:numPr>
          <w:ilvl w:val="1"/>
          <w:numId w:val="33"/>
        </w:numPr>
        <w:tabs>
          <w:tab w:pos="3108" w:val="left" w:leader="none"/>
          <w:tab w:pos="3110" w:val="left" w:leader="none"/>
        </w:tabs>
        <w:spacing w:line="256" w:lineRule="auto" w:before="105" w:after="0"/>
        <w:ind w:left="3110" w:right="256" w:hanging="432"/>
        <w:jc w:val="both"/>
        <w:rPr>
          <w:sz w:val="18"/>
        </w:rPr>
      </w:pPr>
      <w:r>
        <w:rPr>
          <w:color w:val="0B0B0B"/>
          <w:sz w:val="18"/>
        </w:rPr>
        <w:t>Los recursos que se hubieran invertido en el extranjero por la persona moral que los recibió como consecuencia de la aplicación del Decreto</w:t>
      </w:r>
      <w:r>
        <w:rPr>
          <w:color w:val="0B0B0B"/>
          <w:spacing w:val="40"/>
          <w:sz w:val="18"/>
        </w:rPr>
        <w:t> </w:t>
      </w:r>
      <w:r>
        <w:rPr>
          <w:color w:val="0B0B0B"/>
          <w:sz w:val="18"/>
        </w:rPr>
        <w:t>sean retornados al país con posterioridad al 19 de octubre de 2017.</w:t>
      </w:r>
    </w:p>
    <w:p>
      <w:pPr>
        <w:pStyle w:val="ListParagraph"/>
        <w:numPr>
          <w:ilvl w:val="0"/>
          <w:numId w:val="33"/>
        </w:numPr>
        <w:tabs>
          <w:tab w:pos="2664" w:val="left" w:leader="none"/>
        </w:tabs>
        <w:spacing w:line="256" w:lineRule="auto" w:before="102" w:after="0"/>
        <w:ind w:left="2664" w:right="258"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3"/>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22" w:hRule="atLeast"/>
        </w:trPr>
        <w:tc>
          <w:tcPr>
            <w:tcW w:w="2760" w:type="dxa"/>
            <w:shd w:val="clear" w:color="auto" w:fill="BDBDBD"/>
          </w:tcPr>
          <w:p>
            <w:pPr>
              <w:pStyle w:val="TableParagraph"/>
              <w:spacing w:before="27"/>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7"/>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4" w:hRule="atLeast"/>
        </w:trPr>
        <w:tc>
          <w:tcPr>
            <w:tcW w:w="2760" w:type="dxa"/>
          </w:tcPr>
          <w:p>
            <w:pPr>
              <w:pStyle w:val="TableParagraph"/>
              <w:tabs>
                <w:tab w:pos="1170" w:val="left" w:leader="none"/>
                <w:tab w:pos="2509" w:val="left" w:leader="none"/>
              </w:tabs>
              <w:spacing w:line="290" w:lineRule="auto" w:before="28"/>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2017</w:t>
            </w:r>
          </w:p>
        </w:tc>
        <w:tc>
          <w:tcPr>
            <w:tcW w:w="4126" w:type="dxa"/>
          </w:tcPr>
          <w:p>
            <w:pPr>
              <w:pStyle w:val="TableParagraph"/>
              <w:spacing w:line="290" w:lineRule="auto" w:before="28"/>
              <w:rPr>
                <w:sz w:val="16"/>
              </w:rPr>
            </w:pPr>
            <w:r>
              <w:rPr>
                <w:color w:val="0B0B0B"/>
                <w:sz w:val="16"/>
              </w:rPr>
              <w:t>Publicada</w:t>
            </w:r>
            <w:r>
              <w:rPr>
                <w:color w:val="0B0B0B"/>
                <w:spacing w:val="38"/>
                <w:sz w:val="16"/>
              </w:rPr>
              <w:t> </w:t>
            </w:r>
            <w:r>
              <w:rPr>
                <w:color w:val="0B0B0B"/>
                <w:sz w:val="16"/>
              </w:rPr>
              <w:t>en</w:t>
            </w:r>
            <w:r>
              <w:rPr>
                <w:color w:val="0B0B0B"/>
                <w:spacing w:val="38"/>
                <w:sz w:val="16"/>
              </w:rPr>
              <w:t> </w:t>
            </w:r>
            <w:r>
              <w:rPr>
                <w:color w:val="0B0B0B"/>
                <w:sz w:val="16"/>
              </w:rPr>
              <w:t>el</w:t>
            </w:r>
            <w:r>
              <w:rPr>
                <w:color w:val="0B0B0B"/>
                <w:spacing w:val="38"/>
                <w:sz w:val="16"/>
              </w:rPr>
              <w:t> </w:t>
            </w:r>
            <w:r>
              <w:rPr>
                <w:color w:val="0B0B0B"/>
                <w:sz w:val="16"/>
              </w:rPr>
              <w:t>DOF</w:t>
            </w:r>
            <w:r>
              <w:rPr>
                <w:color w:val="0B0B0B"/>
                <w:spacing w:val="38"/>
                <w:sz w:val="16"/>
              </w:rPr>
              <w:t> </w:t>
            </w:r>
            <w:r>
              <w:rPr>
                <w:color w:val="0B0B0B"/>
                <w:sz w:val="16"/>
              </w:rPr>
              <w:t>el</w:t>
            </w:r>
            <w:r>
              <w:rPr>
                <w:color w:val="0B0B0B"/>
                <w:spacing w:val="38"/>
                <w:sz w:val="16"/>
              </w:rPr>
              <w:t> </w:t>
            </w:r>
            <w:r>
              <w:rPr>
                <w:color w:val="0B0B0B"/>
                <w:sz w:val="16"/>
              </w:rPr>
              <w:t>21</w:t>
            </w:r>
            <w:r>
              <w:rPr>
                <w:color w:val="0B0B0B"/>
                <w:spacing w:val="38"/>
                <w:sz w:val="16"/>
              </w:rPr>
              <w:t> </w:t>
            </w:r>
            <w:r>
              <w:rPr>
                <w:color w:val="0B0B0B"/>
                <w:sz w:val="16"/>
              </w:rPr>
              <w:t>de</w:t>
            </w:r>
            <w:r>
              <w:rPr>
                <w:color w:val="0B0B0B"/>
                <w:spacing w:val="39"/>
                <w:sz w:val="16"/>
              </w:rPr>
              <w:t> </w:t>
            </w:r>
            <w:r>
              <w:rPr>
                <w:color w:val="0B0B0B"/>
                <w:sz w:val="16"/>
              </w:rPr>
              <w:t>septiembre</w:t>
            </w:r>
            <w:r>
              <w:rPr>
                <w:color w:val="0B0B0B"/>
                <w:spacing w:val="38"/>
                <w:sz w:val="16"/>
              </w:rPr>
              <w:t> </w:t>
            </w:r>
            <w:r>
              <w:rPr>
                <w:color w:val="0B0B0B"/>
                <w:sz w:val="16"/>
              </w:rPr>
              <w:t>de</w:t>
            </w:r>
            <w:r>
              <w:rPr>
                <w:color w:val="0B0B0B"/>
                <w:spacing w:val="39"/>
                <w:sz w:val="16"/>
              </w:rPr>
              <w:t> </w:t>
            </w:r>
            <w:r>
              <w:rPr>
                <w:color w:val="0B0B0B"/>
                <w:sz w:val="16"/>
              </w:rPr>
              <w:t>2017, Anexo 3, publicado en el DOF en la misma fecha.</w:t>
            </w:r>
          </w:p>
        </w:tc>
      </w:tr>
    </w:tbl>
    <w:p>
      <w:pPr>
        <w:pStyle w:val="BodyText"/>
        <w:spacing w:before="126"/>
        <w:ind w:left="0"/>
        <w:jc w:val="left"/>
      </w:pPr>
    </w:p>
    <w:p>
      <w:pPr>
        <w:pStyle w:val="Heading1"/>
        <w:spacing w:line="256" w:lineRule="auto"/>
        <w:ind w:right="255"/>
        <w:jc w:val="both"/>
      </w:pPr>
      <w:r>
        <w:rPr>
          <w:color w:val="0B0B0B"/>
        </w:rPr>
        <w:t>30/ISR/PI</w:t>
      </w:r>
      <w:r>
        <w:rPr>
          <w:color w:val="0B0B0B"/>
          <w:spacing w:val="40"/>
        </w:rPr>
        <w:t> </w:t>
      </w:r>
      <w:r>
        <w:rPr>
          <w:color w:val="0B0B0B"/>
        </w:rPr>
        <w:t>Ingresos obtenidos por residentes</w:t>
      </w:r>
      <w:r>
        <w:rPr>
          <w:color w:val="0B0B0B"/>
        </w:rPr>
        <w:t> en</w:t>
      </w:r>
      <w:r>
        <w:rPr>
          <w:color w:val="0B0B0B"/>
        </w:rPr>
        <w:t> el extranjero, por arrendamiento o</w:t>
      </w:r>
      <w:r>
        <w:rPr>
          <w:color w:val="0B0B0B"/>
          <w:spacing w:val="40"/>
        </w:rPr>
        <w:t> </w:t>
      </w:r>
      <w:r>
        <w:rPr>
          <w:color w:val="0B0B0B"/>
        </w:rPr>
        <w:t>fletamento de embarcaciones o artefactos navales a casco desnudo, con fuente de riqueza en territorio nacional.</w:t>
      </w:r>
    </w:p>
    <w:p>
      <w:pPr>
        <w:pStyle w:val="BodyText"/>
        <w:spacing w:line="256" w:lineRule="auto" w:before="103"/>
        <w:ind w:right="255"/>
      </w:pPr>
      <w:r>
        <w:rPr>
          <w:color w:val="0B0B0B"/>
        </w:rPr>
        <w:t>El artículo 167, primer párrafo de la Ley del ISR establece que, tratándose de ingresos por</w:t>
      </w:r>
      <w:r>
        <w:rPr>
          <w:color w:val="0B0B0B"/>
          <w:spacing w:val="-2"/>
        </w:rPr>
        <w:t> </w:t>
      </w:r>
      <w:r>
        <w:rPr>
          <w:color w:val="0B0B0B"/>
        </w:rPr>
        <w:t>regalías</w:t>
      </w:r>
      <w:r>
        <w:rPr>
          <w:color w:val="0B0B0B"/>
          <w:spacing w:val="-1"/>
        </w:rPr>
        <w:t> </w:t>
      </w:r>
      <w:r>
        <w:rPr>
          <w:color w:val="0B0B0B"/>
        </w:rPr>
        <w:t>se</w:t>
      </w:r>
      <w:r>
        <w:rPr>
          <w:color w:val="0B0B0B"/>
          <w:spacing w:val="-1"/>
        </w:rPr>
        <w:t> </w:t>
      </w:r>
      <w:r>
        <w:rPr>
          <w:color w:val="0B0B0B"/>
        </w:rPr>
        <w:t>considerará</w:t>
      </w:r>
      <w:r>
        <w:rPr>
          <w:color w:val="0B0B0B"/>
          <w:spacing w:val="-2"/>
        </w:rPr>
        <w:t> </w:t>
      </w:r>
      <w:r>
        <w:rPr>
          <w:color w:val="0B0B0B"/>
        </w:rPr>
        <w:t>que</w:t>
      </w:r>
      <w:r>
        <w:rPr>
          <w:color w:val="0B0B0B"/>
          <w:spacing w:val="-2"/>
        </w:rPr>
        <w:t> </w:t>
      </w:r>
      <w:r>
        <w:rPr>
          <w:color w:val="0B0B0B"/>
        </w:rPr>
        <w:t>la</w:t>
      </w:r>
      <w:r>
        <w:rPr>
          <w:color w:val="0B0B0B"/>
          <w:spacing w:val="-2"/>
        </w:rPr>
        <w:t> </w:t>
      </w:r>
      <w:r>
        <w:rPr>
          <w:color w:val="0B0B0B"/>
        </w:rPr>
        <w:t>fuente</w:t>
      </w:r>
      <w:r>
        <w:rPr>
          <w:color w:val="0B0B0B"/>
          <w:spacing w:val="-2"/>
        </w:rPr>
        <w:t> </w:t>
      </w:r>
      <w:r>
        <w:rPr>
          <w:color w:val="0B0B0B"/>
        </w:rPr>
        <w:t>de</w:t>
      </w:r>
      <w:r>
        <w:rPr>
          <w:color w:val="0B0B0B"/>
          <w:spacing w:val="-1"/>
        </w:rPr>
        <w:t> </w:t>
      </w:r>
      <w:r>
        <w:rPr>
          <w:color w:val="0B0B0B"/>
        </w:rPr>
        <w:t>riqueza</w:t>
      </w:r>
      <w:r>
        <w:rPr>
          <w:color w:val="0B0B0B"/>
          <w:spacing w:val="-2"/>
        </w:rPr>
        <w:t> </w:t>
      </w:r>
      <w:r>
        <w:rPr>
          <w:color w:val="0B0B0B"/>
        </w:rPr>
        <w:t>se</w:t>
      </w:r>
      <w:r>
        <w:rPr>
          <w:color w:val="0B0B0B"/>
          <w:spacing w:val="-1"/>
        </w:rPr>
        <w:t> </w:t>
      </w:r>
      <w:r>
        <w:rPr>
          <w:color w:val="0B0B0B"/>
        </w:rPr>
        <w:t>encuentra</w:t>
      </w:r>
      <w:r>
        <w:rPr>
          <w:color w:val="0B0B0B"/>
          <w:spacing w:val="-1"/>
        </w:rPr>
        <w:t> </w:t>
      </w:r>
      <w:r>
        <w:rPr>
          <w:color w:val="0B0B0B"/>
        </w:rPr>
        <w:t>en</w:t>
      </w:r>
      <w:r>
        <w:rPr>
          <w:color w:val="0B0B0B"/>
          <w:spacing w:val="-2"/>
        </w:rPr>
        <w:t> </w:t>
      </w:r>
      <w:r>
        <w:rPr>
          <w:color w:val="0B0B0B"/>
        </w:rPr>
        <w:t>territorio</w:t>
      </w:r>
      <w:r>
        <w:rPr>
          <w:color w:val="0B0B0B"/>
          <w:spacing w:val="-1"/>
        </w:rPr>
        <w:t> </w:t>
      </w:r>
      <w:r>
        <w:rPr>
          <w:color w:val="0B0B0B"/>
        </w:rPr>
        <w:t>nacional cuando los bienes o derechos por los cuales se pagan las regalías se aprovechen en México</w:t>
      </w:r>
      <w:r>
        <w:rPr>
          <w:color w:val="0B0B0B"/>
          <w:spacing w:val="-1"/>
        </w:rPr>
        <w:t> </w:t>
      </w:r>
      <w:r>
        <w:rPr>
          <w:color w:val="0B0B0B"/>
        </w:rPr>
        <w:t>o</w:t>
      </w:r>
      <w:r>
        <w:rPr>
          <w:color w:val="0B0B0B"/>
          <w:spacing w:val="-2"/>
        </w:rPr>
        <w:t> </w:t>
      </w:r>
      <w:r>
        <w:rPr>
          <w:color w:val="0B0B0B"/>
        </w:rPr>
        <w:t>cuando</w:t>
      </w:r>
      <w:r>
        <w:rPr>
          <w:color w:val="0B0B0B"/>
          <w:spacing w:val="-2"/>
        </w:rPr>
        <w:t> </w:t>
      </w:r>
      <w:r>
        <w:rPr>
          <w:color w:val="0B0B0B"/>
        </w:rPr>
        <w:t>se</w:t>
      </w:r>
      <w:r>
        <w:rPr>
          <w:color w:val="0B0B0B"/>
          <w:spacing w:val="-3"/>
        </w:rPr>
        <w:t> </w:t>
      </w:r>
      <w:r>
        <w:rPr>
          <w:color w:val="0B0B0B"/>
        </w:rPr>
        <w:t>paguen</w:t>
      </w:r>
      <w:r>
        <w:rPr>
          <w:color w:val="0B0B0B"/>
          <w:spacing w:val="-1"/>
        </w:rPr>
        <w:t> </w:t>
      </w:r>
      <w:r>
        <w:rPr>
          <w:color w:val="0B0B0B"/>
        </w:rPr>
        <w:t>las</w:t>
      </w:r>
      <w:r>
        <w:rPr>
          <w:color w:val="0B0B0B"/>
          <w:spacing w:val="-2"/>
        </w:rPr>
        <w:t> </w:t>
      </w:r>
      <w:r>
        <w:rPr>
          <w:color w:val="0B0B0B"/>
        </w:rPr>
        <w:t>mismas</w:t>
      </w:r>
      <w:r>
        <w:rPr>
          <w:color w:val="0B0B0B"/>
          <w:spacing w:val="-1"/>
        </w:rPr>
        <w:t> </w:t>
      </w:r>
      <w:r>
        <w:rPr>
          <w:color w:val="0B0B0B"/>
        </w:rPr>
        <w:t>por</w:t>
      </w:r>
      <w:r>
        <w:rPr>
          <w:color w:val="0B0B0B"/>
          <w:spacing w:val="-2"/>
        </w:rPr>
        <w:t> </w:t>
      </w:r>
      <w:r>
        <w:rPr>
          <w:color w:val="0B0B0B"/>
        </w:rPr>
        <w:t>un</w:t>
      </w:r>
      <w:r>
        <w:rPr>
          <w:color w:val="0B0B0B"/>
          <w:spacing w:val="-2"/>
        </w:rPr>
        <w:t> </w:t>
      </w:r>
      <w:r>
        <w:rPr>
          <w:color w:val="0B0B0B"/>
        </w:rPr>
        <w:t>residente</w:t>
      </w:r>
      <w:r>
        <w:rPr>
          <w:color w:val="0B0B0B"/>
          <w:spacing w:val="-1"/>
        </w:rPr>
        <w:t> </w:t>
      </w:r>
      <w:r>
        <w:rPr>
          <w:color w:val="0B0B0B"/>
        </w:rPr>
        <w:t>en</w:t>
      </w:r>
      <w:r>
        <w:rPr>
          <w:color w:val="0B0B0B"/>
          <w:spacing w:val="-3"/>
        </w:rPr>
        <w:t> </w:t>
      </w:r>
      <w:r>
        <w:rPr>
          <w:color w:val="0B0B0B"/>
        </w:rPr>
        <w:t>territorio</w:t>
      </w:r>
      <w:r>
        <w:rPr>
          <w:color w:val="0B0B0B"/>
          <w:spacing w:val="-1"/>
        </w:rPr>
        <w:t> </w:t>
      </w:r>
      <w:r>
        <w:rPr>
          <w:color w:val="0B0B0B"/>
        </w:rPr>
        <w:t>nacional</w:t>
      </w:r>
      <w:r>
        <w:rPr>
          <w:color w:val="0B0B0B"/>
          <w:spacing w:val="-2"/>
        </w:rPr>
        <w:t> </w:t>
      </w:r>
      <w:r>
        <w:rPr>
          <w:color w:val="0B0B0B"/>
        </w:rPr>
        <w:t>o</w:t>
      </w:r>
      <w:r>
        <w:rPr>
          <w:color w:val="0B0B0B"/>
          <w:spacing w:val="-1"/>
        </w:rPr>
        <w:t> </w:t>
      </w:r>
      <w:r>
        <w:rPr>
          <w:color w:val="0B0B0B"/>
        </w:rPr>
        <w:t>por</w:t>
      </w:r>
      <w:r>
        <w:rPr>
          <w:color w:val="0B0B0B"/>
          <w:spacing w:val="-3"/>
        </w:rPr>
        <w:t> </w:t>
      </w:r>
      <w:r>
        <w:rPr>
          <w:color w:val="0B0B0B"/>
        </w:rPr>
        <w:t>un residente en el extranjero con establecimiento permanente en el país.</w:t>
      </w:r>
    </w:p>
    <w:p>
      <w:pPr>
        <w:pStyle w:val="BodyText"/>
        <w:spacing w:after="0" w:line="256" w:lineRule="auto"/>
        <w:sectPr>
          <w:headerReference w:type="default" r:id="rId34"/>
          <w:pgSz w:w="12240" w:h="15840"/>
          <w:pgMar w:header="690" w:footer="0" w:top="1040" w:bottom="280" w:left="1440" w:right="1440"/>
        </w:sectPr>
      </w:pPr>
    </w:p>
    <w:p>
      <w:pPr>
        <w:pStyle w:val="BodyText"/>
        <w:spacing w:line="264" w:lineRule="auto" w:before="121"/>
        <w:ind w:right="259"/>
      </w:pPr>
      <w:r>
        <w:rPr>
          <w:color w:val="0B0B0B"/>
        </w:rPr>
        <w:t>El penúltimo párrafo</w:t>
      </w:r>
      <w:r>
        <w:rPr>
          <w:color w:val="0B0B0B"/>
        </w:rPr>
        <w:t> del citado artículo señala que las personas que deban hacer pagos por</w:t>
      </w:r>
      <w:r>
        <w:rPr>
          <w:color w:val="0B0B0B"/>
        </w:rPr>
        <w:t> el concepto referido, están obligadas a efectuar la retención que </w:t>
      </w:r>
      <w:r>
        <w:rPr>
          <w:color w:val="0B0B0B"/>
          <w:spacing w:val="-2"/>
        </w:rPr>
        <w:t>corresponda.</w:t>
      </w:r>
    </w:p>
    <w:p>
      <w:pPr>
        <w:pStyle w:val="BodyText"/>
        <w:spacing w:line="264" w:lineRule="auto" w:before="100"/>
        <w:ind w:right="258"/>
      </w:pPr>
      <w:r>
        <w:rPr>
          <w:color w:val="0B0B0B"/>
        </w:rPr>
        <w:t>El artículo 15-B, primer párrafo</w:t>
      </w:r>
      <w:r>
        <w:rPr>
          <w:color w:val="0B0B0B"/>
        </w:rPr>
        <w:t> del CFF señala que se considerarán regalías, entre otros, los pagos de cualquier clase por el uso o goce temporal de equipos industriales, comerciales o científicos.</w:t>
      </w:r>
    </w:p>
    <w:p>
      <w:pPr>
        <w:pStyle w:val="BodyText"/>
        <w:spacing w:line="264" w:lineRule="auto" w:before="98"/>
        <w:ind w:right="256"/>
      </w:pPr>
      <w:r>
        <w:rPr>
          <w:color w:val="0B0B0B"/>
        </w:rPr>
        <w:t>De esta forma, los ingresos por el arrendamiento de embarcaciones o artefactos navales a casco desnudo relacionados con las actividades de exploración o extracción de hidrocarburos a que se refiere el artículo 4, fracciones XIV y XV de la Ley de Hidrocarburos,</w:t>
      </w:r>
      <w:r>
        <w:rPr>
          <w:color w:val="0B0B0B"/>
        </w:rPr>
        <w:t> derivan del otorgamiento del uso o goce temporal de los equipos referidos en el artículo 15-B, primer párrafo del CFF y tienen fuente de riqueza en territorio nacional cuando dichas embarcaciones o artefactos se aprovechan en México. También existe fuente de riqueza en territorio nacional, cuando quien realice</w:t>
      </w:r>
      <w:r>
        <w:rPr>
          <w:color w:val="0B0B0B"/>
          <w:spacing w:val="40"/>
        </w:rPr>
        <w:t> </w:t>
      </w:r>
      <w:r>
        <w:rPr>
          <w:color w:val="0B0B0B"/>
        </w:rPr>
        <w:t>el pago por dicho concepto, sea un residente en territorio nacional o un residente en el extranjero con establecimiento permanente en el país.</w:t>
      </w:r>
    </w:p>
    <w:p>
      <w:pPr>
        <w:pStyle w:val="BodyText"/>
        <w:spacing w:line="264" w:lineRule="auto" w:before="95"/>
        <w:ind w:right="258"/>
      </w:pPr>
      <w:r>
        <w:rPr>
          <w:color w:val="0B0B0B"/>
        </w:rPr>
        <w:t>Al respecto, se ha detectado que algunos contribuyentes que realizan pagos a residentes en el extranjero sin establecimiento permanente en territorio nacional por concepto de arrendamiento o fletamento de embarcaciones o artefactos navales a casco desnudo, relacionados con las actividades de exploración o extracción de hidrocarburos a que se refiere el artículo 4, fracciones XIV y XV de la Ley de Hidrocarburos, consideran que los ingresos derivados de dichas operaciones no están sujetos a una retención del ISR, por considerar que no existe fuente de riqueza en territorio nacional conforme a la Ley del ISR.</w:t>
      </w:r>
    </w:p>
    <w:p>
      <w:pPr>
        <w:pStyle w:val="BodyText"/>
        <w:spacing w:before="96"/>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34"/>
        </w:numPr>
        <w:tabs>
          <w:tab w:pos="2664" w:val="left" w:leader="none"/>
        </w:tabs>
        <w:spacing w:line="264" w:lineRule="auto" w:before="121" w:after="0"/>
        <w:ind w:left="2664" w:right="257" w:hanging="504"/>
        <w:jc w:val="both"/>
        <w:rPr>
          <w:sz w:val="18"/>
        </w:rPr>
      </w:pPr>
      <w:r>
        <w:rPr>
          <w:color w:val="0B0B0B"/>
          <w:sz w:val="18"/>
        </w:rPr>
        <w:t>Quienes,</w:t>
      </w:r>
      <w:r>
        <w:rPr>
          <w:color w:val="0B0B0B"/>
          <w:spacing w:val="-3"/>
          <w:sz w:val="18"/>
        </w:rPr>
        <w:t> </w:t>
      </w:r>
      <w:r>
        <w:rPr>
          <w:color w:val="0B0B0B"/>
          <w:sz w:val="18"/>
        </w:rPr>
        <w:t>de</w:t>
      </w:r>
      <w:r>
        <w:rPr>
          <w:color w:val="0B0B0B"/>
          <w:spacing w:val="-3"/>
          <w:sz w:val="18"/>
        </w:rPr>
        <w:t> </w:t>
      </w:r>
      <w:r>
        <w:rPr>
          <w:color w:val="0B0B0B"/>
          <w:sz w:val="18"/>
        </w:rPr>
        <w:t>conformidad</w:t>
      </w:r>
      <w:r>
        <w:rPr>
          <w:color w:val="0B0B0B"/>
          <w:spacing w:val="-3"/>
          <w:sz w:val="18"/>
        </w:rPr>
        <w:t> </w:t>
      </w:r>
      <w:r>
        <w:rPr>
          <w:color w:val="0B0B0B"/>
          <w:sz w:val="18"/>
        </w:rPr>
        <w:t>con</w:t>
      </w:r>
      <w:r>
        <w:rPr>
          <w:color w:val="0B0B0B"/>
          <w:spacing w:val="-2"/>
          <w:sz w:val="18"/>
        </w:rPr>
        <w:t> </w:t>
      </w:r>
      <w:r>
        <w:rPr>
          <w:color w:val="0B0B0B"/>
          <w:sz w:val="18"/>
        </w:rPr>
        <w:t>la</w:t>
      </w:r>
      <w:r>
        <w:rPr>
          <w:color w:val="0B0B0B"/>
          <w:spacing w:val="-3"/>
          <w:sz w:val="18"/>
        </w:rPr>
        <w:t> </w:t>
      </w:r>
      <w:r>
        <w:rPr>
          <w:color w:val="0B0B0B"/>
          <w:sz w:val="18"/>
        </w:rPr>
        <w:t>Ley</w:t>
      </w:r>
      <w:r>
        <w:rPr>
          <w:color w:val="0B0B0B"/>
          <w:spacing w:val="-2"/>
          <w:sz w:val="18"/>
        </w:rPr>
        <w:t> </w:t>
      </w:r>
      <w:r>
        <w:rPr>
          <w:color w:val="0B0B0B"/>
          <w:sz w:val="18"/>
        </w:rPr>
        <w:t>del</w:t>
      </w:r>
      <w:r>
        <w:rPr>
          <w:color w:val="0B0B0B"/>
          <w:spacing w:val="-3"/>
          <w:sz w:val="18"/>
        </w:rPr>
        <w:t> </w:t>
      </w:r>
      <w:r>
        <w:rPr>
          <w:color w:val="0B0B0B"/>
          <w:sz w:val="18"/>
        </w:rPr>
        <w:t>ISR,</w:t>
      </w:r>
      <w:r>
        <w:rPr>
          <w:color w:val="0B0B0B"/>
          <w:spacing w:val="-2"/>
          <w:sz w:val="18"/>
        </w:rPr>
        <w:t> </w:t>
      </w:r>
      <w:r>
        <w:rPr>
          <w:color w:val="0B0B0B"/>
          <w:sz w:val="18"/>
        </w:rPr>
        <w:t>no</w:t>
      </w:r>
      <w:r>
        <w:rPr>
          <w:color w:val="0B0B0B"/>
          <w:spacing w:val="-3"/>
          <w:sz w:val="18"/>
        </w:rPr>
        <w:t> </w:t>
      </w:r>
      <w:r>
        <w:rPr>
          <w:color w:val="0B0B0B"/>
          <w:sz w:val="18"/>
        </w:rPr>
        <w:t>efectúen</w:t>
      </w:r>
      <w:r>
        <w:rPr>
          <w:color w:val="0B0B0B"/>
          <w:spacing w:val="-3"/>
          <w:sz w:val="18"/>
        </w:rPr>
        <w:t> </w:t>
      </w:r>
      <w:r>
        <w:rPr>
          <w:color w:val="0B0B0B"/>
          <w:sz w:val="18"/>
        </w:rPr>
        <w:t>la</w:t>
      </w:r>
      <w:r>
        <w:rPr>
          <w:color w:val="0B0B0B"/>
          <w:spacing w:val="-2"/>
          <w:sz w:val="18"/>
        </w:rPr>
        <w:t> </w:t>
      </w:r>
      <w:r>
        <w:rPr>
          <w:color w:val="0B0B0B"/>
          <w:sz w:val="18"/>
        </w:rPr>
        <w:t>retención</w:t>
      </w:r>
      <w:r>
        <w:rPr>
          <w:color w:val="0B0B0B"/>
          <w:spacing w:val="-2"/>
          <w:sz w:val="18"/>
        </w:rPr>
        <w:t> </w:t>
      </w:r>
      <w:r>
        <w:rPr>
          <w:color w:val="0B0B0B"/>
          <w:sz w:val="18"/>
        </w:rPr>
        <w:t>y</w:t>
      </w:r>
      <w:r>
        <w:rPr>
          <w:color w:val="0B0B0B"/>
          <w:spacing w:val="-3"/>
          <w:sz w:val="18"/>
        </w:rPr>
        <w:t> </w:t>
      </w:r>
      <w:r>
        <w:rPr>
          <w:color w:val="0B0B0B"/>
          <w:sz w:val="18"/>
        </w:rPr>
        <w:t>el</w:t>
      </w:r>
      <w:r>
        <w:rPr>
          <w:color w:val="0B0B0B"/>
          <w:spacing w:val="-2"/>
          <w:sz w:val="18"/>
        </w:rPr>
        <w:t> </w:t>
      </w:r>
      <w:r>
        <w:rPr>
          <w:color w:val="0B0B0B"/>
          <w:sz w:val="18"/>
        </w:rPr>
        <w:t>entero de dicho impuesto correspondiente a los pagos que realicen a residentes en el extranjero sin establecimiento permanente en territorio nacional, por concepto</w:t>
      </w:r>
      <w:r>
        <w:rPr>
          <w:color w:val="0B0B0B"/>
          <w:spacing w:val="40"/>
          <w:sz w:val="18"/>
        </w:rPr>
        <w:t> </w:t>
      </w:r>
      <w:r>
        <w:rPr>
          <w:color w:val="0B0B0B"/>
          <w:sz w:val="18"/>
        </w:rPr>
        <w:t>de arrendamiento o fletamento a casco desnudo, cuando los bienes objeto de estos</w:t>
      </w:r>
      <w:r>
        <w:rPr>
          <w:color w:val="0B0B0B"/>
          <w:spacing w:val="-3"/>
          <w:sz w:val="18"/>
        </w:rPr>
        <w:t> </w:t>
      </w:r>
      <w:r>
        <w:rPr>
          <w:color w:val="0B0B0B"/>
          <w:sz w:val="18"/>
        </w:rPr>
        <w:t>sean</w:t>
      </w:r>
      <w:r>
        <w:rPr>
          <w:color w:val="0B0B0B"/>
          <w:spacing w:val="-3"/>
          <w:sz w:val="18"/>
        </w:rPr>
        <w:t> </w:t>
      </w:r>
      <w:r>
        <w:rPr>
          <w:color w:val="0B0B0B"/>
          <w:sz w:val="18"/>
        </w:rPr>
        <w:t>aprovechados</w:t>
      </w:r>
      <w:r>
        <w:rPr>
          <w:color w:val="0B0B0B"/>
          <w:spacing w:val="-3"/>
          <w:sz w:val="18"/>
        </w:rPr>
        <w:t> </w:t>
      </w:r>
      <w:r>
        <w:rPr>
          <w:color w:val="0B0B0B"/>
          <w:sz w:val="18"/>
        </w:rPr>
        <w:t>en</w:t>
      </w:r>
      <w:r>
        <w:rPr>
          <w:color w:val="0B0B0B"/>
          <w:spacing w:val="-3"/>
          <w:sz w:val="18"/>
        </w:rPr>
        <w:t> </w:t>
      </w:r>
      <w:r>
        <w:rPr>
          <w:color w:val="0B0B0B"/>
          <w:sz w:val="18"/>
        </w:rPr>
        <w:t>territorio</w:t>
      </w:r>
      <w:r>
        <w:rPr>
          <w:color w:val="0B0B0B"/>
          <w:spacing w:val="-3"/>
          <w:sz w:val="18"/>
        </w:rPr>
        <w:t> </w:t>
      </w:r>
      <w:r>
        <w:rPr>
          <w:color w:val="0B0B0B"/>
          <w:sz w:val="18"/>
        </w:rPr>
        <w:t>nacional,</w:t>
      </w:r>
      <w:r>
        <w:rPr>
          <w:color w:val="0B0B0B"/>
          <w:spacing w:val="-3"/>
          <w:sz w:val="18"/>
        </w:rPr>
        <w:t> </w:t>
      </w:r>
      <w:r>
        <w:rPr>
          <w:color w:val="0B0B0B"/>
          <w:sz w:val="18"/>
        </w:rPr>
        <w:t>o</w:t>
      </w:r>
      <w:r>
        <w:rPr>
          <w:color w:val="0B0B0B"/>
          <w:spacing w:val="-3"/>
          <w:sz w:val="18"/>
        </w:rPr>
        <w:t> </w:t>
      </w:r>
      <w:r>
        <w:rPr>
          <w:color w:val="0B0B0B"/>
          <w:sz w:val="18"/>
        </w:rPr>
        <w:t>cuando</w:t>
      </w:r>
      <w:r>
        <w:rPr>
          <w:color w:val="0B0B0B"/>
          <w:spacing w:val="-3"/>
          <w:sz w:val="18"/>
        </w:rPr>
        <w:t> </w:t>
      </w:r>
      <w:r>
        <w:rPr>
          <w:color w:val="0B0B0B"/>
          <w:sz w:val="18"/>
        </w:rPr>
        <w:t>el</w:t>
      </w:r>
      <w:r>
        <w:rPr>
          <w:color w:val="0B0B0B"/>
          <w:spacing w:val="-3"/>
          <w:sz w:val="18"/>
        </w:rPr>
        <w:t> </w:t>
      </w:r>
      <w:r>
        <w:rPr>
          <w:color w:val="0B0B0B"/>
          <w:sz w:val="18"/>
        </w:rPr>
        <w:t>pago</w:t>
      </w:r>
      <w:r>
        <w:rPr>
          <w:color w:val="0B0B0B"/>
          <w:spacing w:val="-3"/>
          <w:sz w:val="18"/>
        </w:rPr>
        <w:t> </w:t>
      </w:r>
      <w:r>
        <w:rPr>
          <w:color w:val="0B0B0B"/>
          <w:sz w:val="18"/>
        </w:rPr>
        <w:t>respectivo</w:t>
      </w:r>
      <w:r>
        <w:rPr>
          <w:color w:val="0B0B0B"/>
          <w:spacing w:val="-3"/>
          <w:sz w:val="18"/>
        </w:rPr>
        <w:t> </w:t>
      </w:r>
      <w:r>
        <w:rPr>
          <w:color w:val="0B0B0B"/>
          <w:sz w:val="18"/>
        </w:rPr>
        <w:t>sea realizado por un residente en territorio nacional o un residente en el extranjero con establecimiento permanente en el país.</w:t>
      </w:r>
    </w:p>
    <w:p>
      <w:pPr>
        <w:pStyle w:val="ListParagraph"/>
        <w:numPr>
          <w:ilvl w:val="0"/>
          <w:numId w:val="34"/>
        </w:numPr>
        <w:tabs>
          <w:tab w:pos="2664" w:val="left" w:leader="none"/>
        </w:tabs>
        <w:spacing w:line="264" w:lineRule="auto" w:before="96" w:after="0"/>
        <w:ind w:left="2664" w:right="258" w:hanging="504"/>
        <w:jc w:val="both"/>
        <w:rPr>
          <w:sz w:val="18"/>
        </w:rPr>
      </w:pPr>
      <w:r>
        <w:rPr>
          <w:color w:val="0B0B0B"/>
          <w:sz w:val="18"/>
        </w:rPr>
        <w:t>Los residentes</w:t>
      </w:r>
      <w:r>
        <w:rPr>
          <w:color w:val="0B0B0B"/>
          <w:sz w:val="18"/>
        </w:rPr>
        <w:t> en el extranjero sin establecimiento permanente en territorio nacional que, de conformidad con la Ley del ISR, consideren que los ingresos que</w:t>
      </w:r>
      <w:r>
        <w:rPr>
          <w:color w:val="0B0B0B"/>
          <w:spacing w:val="-1"/>
          <w:sz w:val="18"/>
        </w:rPr>
        <w:t> </w:t>
      </w:r>
      <w:r>
        <w:rPr>
          <w:color w:val="0B0B0B"/>
          <w:sz w:val="18"/>
        </w:rPr>
        <w:t>obtengan</w:t>
      </w:r>
      <w:r>
        <w:rPr>
          <w:color w:val="0B0B0B"/>
          <w:spacing w:val="-1"/>
          <w:sz w:val="18"/>
        </w:rPr>
        <w:t> </w:t>
      </w:r>
      <w:r>
        <w:rPr>
          <w:color w:val="0B0B0B"/>
          <w:sz w:val="18"/>
        </w:rPr>
        <w:t>por</w:t>
      </w:r>
      <w:r>
        <w:rPr>
          <w:color w:val="0B0B0B"/>
          <w:spacing w:val="-2"/>
          <w:sz w:val="18"/>
        </w:rPr>
        <w:t> </w:t>
      </w:r>
      <w:r>
        <w:rPr>
          <w:color w:val="0B0B0B"/>
          <w:sz w:val="18"/>
        </w:rPr>
        <w:t>concepto</w:t>
      </w:r>
      <w:r>
        <w:rPr>
          <w:color w:val="0B0B0B"/>
          <w:spacing w:val="-2"/>
          <w:sz w:val="18"/>
        </w:rPr>
        <w:t> </w:t>
      </w:r>
      <w:r>
        <w:rPr>
          <w:color w:val="0B0B0B"/>
          <w:sz w:val="18"/>
        </w:rPr>
        <w:t>de</w:t>
      </w:r>
      <w:r>
        <w:rPr>
          <w:color w:val="0B0B0B"/>
          <w:spacing w:val="-2"/>
          <w:sz w:val="18"/>
        </w:rPr>
        <w:t> </w:t>
      </w:r>
      <w:r>
        <w:rPr>
          <w:color w:val="0B0B0B"/>
          <w:sz w:val="18"/>
        </w:rPr>
        <w:t>arrendamiento</w:t>
      </w:r>
      <w:r>
        <w:rPr>
          <w:color w:val="0B0B0B"/>
          <w:spacing w:val="-2"/>
          <w:sz w:val="18"/>
        </w:rPr>
        <w:t> </w:t>
      </w:r>
      <w:r>
        <w:rPr>
          <w:color w:val="0B0B0B"/>
          <w:sz w:val="18"/>
        </w:rPr>
        <w:t>o</w:t>
      </w:r>
      <w:r>
        <w:rPr>
          <w:color w:val="0B0B0B"/>
          <w:spacing w:val="-2"/>
          <w:sz w:val="18"/>
        </w:rPr>
        <w:t> </w:t>
      </w:r>
      <w:r>
        <w:rPr>
          <w:color w:val="0B0B0B"/>
          <w:sz w:val="18"/>
        </w:rPr>
        <w:t>fletamento a</w:t>
      </w:r>
      <w:r>
        <w:rPr>
          <w:color w:val="0B0B0B"/>
          <w:spacing w:val="-2"/>
          <w:sz w:val="18"/>
        </w:rPr>
        <w:t> </w:t>
      </w:r>
      <w:r>
        <w:rPr>
          <w:color w:val="0B0B0B"/>
          <w:sz w:val="18"/>
        </w:rPr>
        <w:t>casco</w:t>
      </w:r>
      <w:r>
        <w:rPr>
          <w:color w:val="0B0B0B"/>
          <w:spacing w:val="-1"/>
          <w:sz w:val="18"/>
        </w:rPr>
        <w:t> </w:t>
      </w:r>
      <w:r>
        <w:rPr>
          <w:color w:val="0B0B0B"/>
          <w:sz w:val="18"/>
        </w:rPr>
        <w:t>desnudo,</w:t>
      </w:r>
      <w:r>
        <w:rPr>
          <w:color w:val="0B0B0B"/>
          <w:spacing w:val="-2"/>
          <w:sz w:val="18"/>
        </w:rPr>
        <w:t> </w:t>
      </w:r>
      <w:r>
        <w:rPr>
          <w:color w:val="0B0B0B"/>
          <w:sz w:val="18"/>
        </w:rPr>
        <w:t>no tienen fuente de riqueza en territorio nacional, cuando los bienes objeto de aquéllos sean aprovechados en territorio nacional, o cuando el pago respectivo sea realizado por un residente en territorio nacional o un residente en el extranjero con establecimiento permanente en el país.</w:t>
      </w:r>
    </w:p>
    <w:p>
      <w:pPr>
        <w:pStyle w:val="ListParagraph"/>
        <w:numPr>
          <w:ilvl w:val="0"/>
          <w:numId w:val="34"/>
        </w:numPr>
        <w:tabs>
          <w:tab w:pos="2662" w:val="left" w:leader="none"/>
          <w:tab w:pos="2664" w:val="left" w:leader="none"/>
        </w:tabs>
        <w:spacing w:line="264" w:lineRule="auto" w:before="97" w:after="0"/>
        <w:ind w:left="2664" w:right="259" w:hanging="504"/>
        <w:jc w:val="both"/>
        <w:rPr>
          <w:sz w:val="18"/>
        </w:rPr>
      </w:pPr>
      <w:r>
        <w:rPr>
          <w:color w:val="0B0B0B"/>
          <w:sz w:val="18"/>
        </w:rPr>
        <w:t>Quien asesore, aconseje, preste</w:t>
      </w:r>
      <w:r>
        <w:rPr>
          <w:color w:val="0B0B0B"/>
          <w:sz w:val="18"/>
        </w:rPr>
        <w:t> servicios o participe en la realización o la implementación de las prácticas anteriores.</w:t>
      </w:r>
    </w:p>
    <w:p>
      <w:pPr>
        <w:pStyle w:val="BodyText"/>
        <w:spacing w:before="4" w:after="1"/>
        <w:ind w:left="0"/>
        <w:jc w:val="left"/>
        <w:rPr>
          <w:sz w:val="7"/>
        </w:rPr>
      </w:pPr>
    </w:p>
    <w:tbl>
      <w:tblPr>
        <w:tblW w:w="0" w:type="auto"/>
        <w:jc w:val="left"/>
        <w:tblInd w:w="215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386"/>
        <w:gridCol w:w="4482"/>
      </w:tblGrid>
      <w:tr>
        <w:trPr>
          <w:trHeight w:val="328" w:hRule="atLeast"/>
        </w:trPr>
        <w:tc>
          <w:tcPr>
            <w:tcW w:w="2386" w:type="dxa"/>
            <w:shd w:val="clear" w:color="auto" w:fill="BDBDBD"/>
          </w:tcPr>
          <w:p>
            <w:pPr>
              <w:pStyle w:val="TableParagraph"/>
              <w:spacing w:before="33"/>
              <w:ind w:left="12"/>
              <w:jc w:val="center"/>
              <w:rPr>
                <w:rFonts w:ascii="Arial"/>
                <w:b/>
                <w:sz w:val="16"/>
              </w:rPr>
            </w:pPr>
            <w:r>
              <w:rPr>
                <w:rFonts w:ascii="Arial"/>
                <w:b/>
                <w:color w:val="0B0B0B"/>
                <w:spacing w:val="-2"/>
                <w:sz w:val="16"/>
              </w:rPr>
              <w:t>Origen</w:t>
            </w:r>
          </w:p>
        </w:tc>
        <w:tc>
          <w:tcPr>
            <w:tcW w:w="4482" w:type="dxa"/>
            <w:shd w:val="clear" w:color="auto" w:fill="BDBDBD"/>
          </w:tcPr>
          <w:p>
            <w:pPr>
              <w:pStyle w:val="TableParagraph"/>
              <w:spacing w:before="33"/>
              <w:ind w:left="14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81" w:hRule="atLeast"/>
        </w:trPr>
        <w:tc>
          <w:tcPr>
            <w:tcW w:w="2386" w:type="dxa"/>
          </w:tcPr>
          <w:p>
            <w:pPr>
              <w:pStyle w:val="TableParagraph"/>
              <w:spacing w:line="297" w:lineRule="auto" w:before="32"/>
              <w:ind w:right="56"/>
              <w:jc w:val="both"/>
              <w:rPr>
                <w:sz w:val="16"/>
              </w:rPr>
            </w:pPr>
            <w:r>
              <w:rPr>
                <w:color w:val="0B0B0B"/>
                <w:sz w:val="16"/>
              </w:rPr>
              <w:t>Cuarta Resolución </w:t>
            </w:r>
            <w:r>
              <w:rPr>
                <w:color w:val="0B0B0B"/>
                <w:sz w:val="16"/>
              </w:rPr>
              <w:t>de Modificaciones a la RMF para </w:t>
            </w:r>
            <w:r>
              <w:rPr>
                <w:color w:val="0B0B0B"/>
                <w:spacing w:val="-4"/>
                <w:sz w:val="16"/>
              </w:rPr>
              <w:t>2017</w:t>
            </w:r>
          </w:p>
        </w:tc>
        <w:tc>
          <w:tcPr>
            <w:tcW w:w="4482" w:type="dxa"/>
          </w:tcPr>
          <w:p>
            <w:pPr>
              <w:pStyle w:val="TableParagraph"/>
              <w:spacing w:line="297" w:lineRule="auto" w:before="32"/>
              <w:rPr>
                <w:sz w:val="16"/>
              </w:rPr>
            </w:pPr>
            <w:r>
              <w:rPr>
                <w:color w:val="0B0B0B"/>
                <w:sz w:val="16"/>
              </w:rPr>
              <w:t>Publicada</w:t>
            </w:r>
            <w:r>
              <w:rPr>
                <w:color w:val="0B0B0B"/>
                <w:spacing w:val="26"/>
                <w:sz w:val="16"/>
              </w:rPr>
              <w:t> </w:t>
            </w:r>
            <w:r>
              <w:rPr>
                <w:color w:val="0B0B0B"/>
                <w:sz w:val="16"/>
              </w:rPr>
              <w:t>en</w:t>
            </w:r>
            <w:r>
              <w:rPr>
                <w:color w:val="0B0B0B"/>
                <w:spacing w:val="26"/>
                <w:sz w:val="16"/>
              </w:rPr>
              <w:t> </w:t>
            </w:r>
            <w:r>
              <w:rPr>
                <w:color w:val="0B0B0B"/>
                <w:sz w:val="16"/>
              </w:rPr>
              <w:t>el</w:t>
            </w:r>
            <w:r>
              <w:rPr>
                <w:color w:val="0B0B0B"/>
                <w:spacing w:val="25"/>
                <w:sz w:val="16"/>
              </w:rPr>
              <w:t> </w:t>
            </w:r>
            <w:r>
              <w:rPr>
                <w:color w:val="0B0B0B"/>
                <w:sz w:val="16"/>
              </w:rPr>
              <w:t>DOF</w:t>
            </w:r>
            <w:r>
              <w:rPr>
                <w:color w:val="0B0B0B"/>
                <w:spacing w:val="26"/>
                <w:sz w:val="16"/>
              </w:rPr>
              <w:t> </w:t>
            </w:r>
            <w:r>
              <w:rPr>
                <w:color w:val="0B0B0B"/>
                <w:sz w:val="16"/>
              </w:rPr>
              <w:t>el</w:t>
            </w:r>
            <w:r>
              <w:rPr>
                <w:color w:val="0B0B0B"/>
                <w:spacing w:val="26"/>
                <w:sz w:val="16"/>
              </w:rPr>
              <w:t> </w:t>
            </w:r>
            <w:r>
              <w:rPr>
                <w:color w:val="0B0B0B"/>
                <w:sz w:val="16"/>
              </w:rPr>
              <w:t>10</w:t>
            </w:r>
            <w:r>
              <w:rPr>
                <w:color w:val="0B0B0B"/>
                <w:spacing w:val="26"/>
                <w:sz w:val="16"/>
              </w:rPr>
              <w:t> </w:t>
            </w:r>
            <w:r>
              <w:rPr>
                <w:color w:val="0B0B0B"/>
                <w:sz w:val="16"/>
              </w:rPr>
              <w:t>de</w:t>
            </w:r>
            <w:r>
              <w:rPr>
                <w:color w:val="0B0B0B"/>
                <w:spacing w:val="26"/>
                <w:sz w:val="16"/>
              </w:rPr>
              <w:t> </w:t>
            </w:r>
            <w:r>
              <w:rPr>
                <w:color w:val="0B0B0B"/>
                <w:sz w:val="16"/>
              </w:rPr>
              <w:t>octubre</w:t>
            </w:r>
            <w:r>
              <w:rPr>
                <w:color w:val="0B0B0B"/>
                <w:spacing w:val="26"/>
                <w:sz w:val="16"/>
              </w:rPr>
              <w:t> </w:t>
            </w:r>
            <w:r>
              <w:rPr>
                <w:color w:val="0B0B0B"/>
                <w:sz w:val="16"/>
              </w:rPr>
              <w:t>de</w:t>
            </w:r>
            <w:r>
              <w:rPr>
                <w:color w:val="0B0B0B"/>
                <w:spacing w:val="26"/>
                <w:sz w:val="16"/>
              </w:rPr>
              <w:t> </w:t>
            </w:r>
            <w:r>
              <w:rPr>
                <w:color w:val="0B0B0B"/>
                <w:sz w:val="16"/>
              </w:rPr>
              <w:t>2017,</w:t>
            </w:r>
            <w:r>
              <w:rPr>
                <w:color w:val="0B0B0B"/>
                <w:spacing w:val="26"/>
                <w:sz w:val="16"/>
              </w:rPr>
              <w:t> </w:t>
            </w:r>
            <w:r>
              <w:rPr>
                <w:color w:val="0B0B0B"/>
                <w:sz w:val="16"/>
              </w:rPr>
              <w:t>Anexo</w:t>
            </w:r>
            <w:r>
              <w:rPr>
                <w:color w:val="0B0B0B"/>
                <w:spacing w:val="26"/>
                <w:sz w:val="16"/>
              </w:rPr>
              <w:t> </w:t>
            </w:r>
            <w:r>
              <w:rPr>
                <w:color w:val="0B0B0B"/>
                <w:sz w:val="16"/>
              </w:rPr>
              <w:t>3, publicado en el DOF el 12 de octubre de 2017.</w:t>
            </w:r>
          </w:p>
        </w:tc>
      </w:tr>
    </w:tbl>
    <w:p>
      <w:pPr>
        <w:pStyle w:val="BodyText"/>
        <w:spacing w:before="135"/>
        <w:ind w:left="0"/>
        <w:jc w:val="left"/>
      </w:pPr>
    </w:p>
    <w:p>
      <w:pPr>
        <w:pStyle w:val="Heading1"/>
        <w:tabs>
          <w:tab w:pos="2144" w:val="left" w:leader="none"/>
        </w:tabs>
        <w:ind w:left="1137" w:firstLine="0"/>
      </w:pPr>
      <w:r>
        <w:rPr>
          <w:color w:val="0B0B0B"/>
          <w:spacing w:val="-2"/>
        </w:rPr>
        <w:t>31/ISR/PI</w:t>
      </w:r>
      <w:r>
        <w:rPr>
          <w:color w:val="0B0B0B"/>
        </w:rPr>
        <w:tab/>
        <w:t>Asociaciones</w:t>
      </w:r>
      <w:r>
        <w:rPr>
          <w:color w:val="0B0B0B"/>
          <w:spacing w:val="-13"/>
        </w:rPr>
        <w:t> </w:t>
      </w:r>
      <w:r>
        <w:rPr>
          <w:color w:val="0B0B0B"/>
          <w:spacing w:val="-2"/>
        </w:rPr>
        <w:t>Deportivas.</w:t>
      </w:r>
    </w:p>
    <w:p>
      <w:pPr>
        <w:pStyle w:val="BodyText"/>
        <w:spacing w:line="264" w:lineRule="auto" w:before="121"/>
        <w:ind w:right="258"/>
      </w:pPr>
      <w:r>
        <w:rPr>
          <w:color w:val="0B0B0B"/>
        </w:rPr>
        <w:t>El artículo 43 de la Ley General de Cultura Física y Deporte, establece que las Asociaciones Deportivas serán registradas por la Comisión Nacional del Deporte (CONADE) cuando conforme a su objeto social promuevan,</w:t>
      </w:r>
      <w:r>
        <w:rPr>
          <w:color w:val="0B0B0B"/>
        </w:rPr>
        <w:t> difundan, practiquen o contribuyan al desarrollo del deporte sin fines preponderantemente económicos.</w:t>
      </w:r>
    </w:p>
    <w:p>
      <w:pPr>
        <w:pStyle w:val="BodyText"/>
        <w:spacing w:line="264" w:lineRule="auto" w:before="99"/>
        <w:ind w:right="256"/>
      </w:pPr>
      <w:r>
        <w:rPr>
          <w:color w:val="0B0B0B"/>
        </w:rPr>
        <w:t>Acorde con lo anterior, el artículo 79, fracción XXVI de la Ley del ISR, señala que las Asociaciones</w:t>
      </w:r>
      <w:r>
        <w:rPr>
          <w:color w:val="0B0B0B"/>
          <w:spacing w:val="-4"/>
        </w:rPr>
        <w:t> </w:t>
      </w:r>
      <w:r>
        <w:rPr>
          <w:color w:val="0B0B0B"/>
        </w:rPr>
        <w:t>deportivas</w:t>
      </w:r>
      <w:r>
        <w:rPr>
          <w:color w:val="0B0B0B"/>
          <w:spacing w:val="-4"/>
        </w:rPr>
        <w:t> </w:t>
      </w:r>
      <w:r>
        <w:rPr>
          <w:color w:val="0B0B0B"/>
        </w:rPr>
        <w:t>reconocidas</w:t>
      </w:r>
      <w:r>
        <w:rPr>
          <w:color w:val="0B0B0B"/>
          <w:spacing w:val="-4"/>
        </w:rPr>
        <w:t> </w:t>
      </w:r>
      <w:r>
        <w:rPr>
          <w:color w:val="0B0B0B"/>
        </w:rPr>
        <w:t>por</w:t>
      </w:r>
      <w:r>
        <w:rPr>
          <w:color w:val="0B0B0B"/>
          <w:spacing w:val="-4"/>
        </w:rPr>
        <w:t> </w:t>
      </w:r>
      <w:r>
        <w:rPr>
          <w:color w:val="0B0B0B"/>
        </w:rPr>
        <w:t>la</w:t>
      </w:r>
      <w:r>
        <w:rPr>
          <w:color w:val="0B0B0B"/>
          <w:spacing w:val="-3"/>
        </w:rPr>
        <w:t> </w:t>
      </w:r>
      <w:r>
        <w:rPr>
          <w:color w:val="0B0B0B"/>
        </w:rPr>
        <w:t>CONADE,</w:t>
      </w:r>
      <w:r>
        <w:rPr>
          <w:color w:val="0B0B0B"/>
          <w:spacing w:val="-4"/>
        </w:rPr>
        <w:t> </w:t>
      </w:r>
      <w:r>
        <w:rPr>
          <w:color w:val="0B0B0B"/>
        </w:rPr>
        <w:t>que</w:t>
      </w:r>
      <w:r>
        <w:rPr>
          <w:color w:val="0B0B0B"/>
          <w:spacing w:val="-4"/>
        </w:rPr>
        <w:t> </w:t>
      </w:r>
      <w:r>
        <w:rPr>
          <w:color w:val="0B0B0B"/>
        </w:rPr>
        <w:t>sean</w:t>
      </w:r>
      <w:r>
        <w:rPr>
          <w:color w:val="0B0B0B"/>
          <w:spacing w:val="-4"/>
        </w:rPr>
        <w:t> </w:t>
      </w:r>
      <w:r>
        <w:rPr>
          <w:color w:val="0B0B0B"/>
        </w:rPr>
        <w:t>miembros</w:t>
      </w:r>
      <w:r>
        <w:rPr>
          <w:color w:val="0B0B0B"/>
          <w:spacing w:val="-4"/>
        </w:rPr>
        <w:t> </w:t>
      </w:r>
      <w:r>
        <w:rPr>
          <w:color w:val="0B0B0B"/>
        </w:rPr>
        <w:t>del</w:t>
      </w:r>
      <w:r>
        <w:rPr>
          <w:color w:val="0B0B0B"/>
          <w:spacing w:val="-4"/>
        </w:rPr>
        <w:t> </w:t>
      </w:r>
      <w:r>
        <w:rPr>
          <w:color w:val="0B0B0B"/>
        </w:rPr>
        <w:t>Sistema Nacional del Deporte, no se consideran contribuyentes para efectos del ISR.</w:t>
      </w:r>
    </w:p>
    <w:p>
      <w:pPr>
        <w:pStyle w:val="BodyText"/>
        <w:spacing w:after="0" w:line="264" w:lineRule="auto"/>
        <w:sectPr>
          <w:headerReference w:type="default" r:id="rId35"/>
          <w:pgSz w:w="12240" w:h="15840"/>
          <w:pgMar w:header="690" w:footer="0" w:top="1040" w:bottom="280" w:left="1440" w:right="1440"/>
        </w:sectPr>
      </w:pPr>
    </w:p>
    <w:p>
      <w:pPr>
        <w:pStyle w:val="BodyText"/>
        <w:spacing w:line="252" w:lineRule="auto" w:before="113"/>
        <w:ind w:right="255"/>
      </w:pPr>
      <w:r>
        <w:rPr>
          <w:color w:val="0B0B0B"/>
        </w:rPr>
        <w:t>Del mismo modo, el artículo 80, párrafo sexto de la Ley del ISR, señala que en el caso de que las personas morales que tributen en términos del Título III, como lo son las Asociaciones</w:t>
      </w:r>
      <w:r>
        <w:rPr>
          <w:color w:val="0B0B0B"/>
          <w:spacing w:val="-3"/>
        </w:rPr>
        <w:t> </w:t>
      </w:r>
      <w:r>
        <w:rPr>
          <w:color w:val="0B0B0B"/>
        </w:rPr>
        <w:t>Deportivas,</w:t>
      </w:r>
      <w:r>
        <w:rPr>
          <w:color w:val="0B0B0B"/>
          <w:spacing w:val="-3"/>
        </w:rPr>
        <w:t> </w:t>
      </w:r>
      <w:r>
        <w:rPr>
          <w:color w:val="0B0B0B"/>
        </w:rPr>
        <w:t>enajenen</w:t>
      </w:r>
      <w:r>
        <w:rPr>
          <w:color w:val="0B0B0B"/>
          <w:spacing w:val="-3"/>
        </w:rPr>
        <w:t> </w:t>
      </w:r>
      <w:r>
        <w:rPr>
          <w:color w:val="0B0B0B"/>
        </w:rPr>
        <w:t>bienes</w:t>
      </w:r>
      <w:r>
        <w:rPr>
          <w:color w:val="0B0B0B"/>
          <w:spacing w:val="-2"/>
        </w:rPr>
        <w:t> </w:t>
      </w:r>
      <w:r>
        <w:rPr>
          <w:color w:val="0B0B0B"/>
        </w:rPr>
        <w:t>distintos</w:t>
      </w:r>
      <w:r>
        <w:rPr>
          <w:color w:val="0B0B0B"/>
          <w:spacing w:val="-3"/>
        </w:rPr>
        <w:t> </w:t>
      </w:r>
      <w:r>
        <w:rPr>
          <w:color w:val="0B0B0B"/>
        </w:rPr>
        <w:t>de</w:t>
      </w:r>
      <w:r>
        <w:rPr>
          <w:color w:val="0B0B0B"/>
          <w:spacing w:val="-3"/>
        </w:rPr>
        <w:t> </w:t>
      </w:r>
      <w:r>
        <w:rPr>
          <w:color w:val="0B0B0B"/>
        </w:rPr>
        <w:t>su</w:t>
      </w:r>
      <w:r>
        <w:rPr>
          <w:color w:val="0B0B0B"/>
          <w:spacing w:val="-3"/>
        </w:rPr>
        <w:t> </w:t>
      </w:r>
      <w:r>
        <w:rPr>
          <w:color w:val="0B0B0B"/>
        </w:rPr>
        <w:t>activo</w:t>
      </w:r>
      <w:r>
        <w:rPr>
          <w:color w:val="0B0B0B"/>
          <w:spacing w:val="-3"/>
        </w:rPr>
        <w:t> </w:t>
      </w:r>
      <w:r>
        <w:rPr>
          <w:color w:val="0B0B0B"/>
        </w:rPr>
        <w:t>fijo</w:t>
      </w:r>
      <w:r>
        <w:rPr>
          <w:color w:val="0B0B0B"/>
          <w:spacing w:val="-3"/>
        </w:rPr>
        <w:t> </w:t>
      </w:r>
      <w:r>
        <w:rPr>
          <w:color w:val="0B0B0B"/>
        </w:rPr>
        <w:t>o</w:t>
      </w:r>
      <w:r>
        <w:rPr>
          <w:color w:val="0B0B0B"/>
          <w:spacing w:val="-3"/>
        </w:rPr>
        <w:t> </w:t>
      </w:r>
      <w:r>
        <w:rPr>
          <w:color w:val="0B0B0B"/>
        </w:rPr>
        <w:t>presten</w:t>
      </w:r>
      <w:r>
        <w:rPr>
          <w:color w:val="0B0B0B"/>
          <w:spacing w:val="-3"/>
        </w:rPr>
        <w:t> </w:t>
      </w:r>
      <w:r>
        <w:rPr>
          <w:color w:val="0B0B0B"/>
        </w:rPr>
        <w:t>servicios a personas distintas de sus miembros o socios, deberán determinar el impuesto que corresponda a la utilidad por los ingresos derivados de las citadas actividades en los términos del Título II de la Ley del ISR, a la tasa prevista en el artículo 9 de la misma, siempre que dichos ingresos excedan del 5% de los ingresos totales de la persona moral en el ejercicio de que se trate.</w:t>
      </w:r>
    </w:p>
    <w:p>
      <w:pPr>
        <w:pStyle w:val="BodyText"/>
        <w:spacing w:line="254" w:lineRule="auto" w:before="105"/>
        <w:ind w:right="258"/>
      </w:pPr>
      <w:r>
        <w:rPr>
          <w:color w:val="0B0B0B"/>
        </w:rPr>
        <w:t>Asimismo, el artículo 86, primer párrafo, de la Ley del ISR, dispone que las referidas personas morales tienen obligaciones establecidas en otros artículos de la citada Ley.</w:t>
      </w:r>
    </w:p>
    <w:p>
      <w:pPr>
        <w:pStyle w:val="BodyText"/>
        <w:spacing w:line="252" w:lineRule="auto" w:before="99"/>
        <w:ind w:right="258"/>
      </w:pPr>
      <w:r>
        <w:rPr>
          <w:color w:val="0B0B0B"/>
        </w:rPr>
        <w:t>Por su parte, el artículo 3o., fracción I, del Código de Comercio señala que se reputan en derecho comerciantes, las personas que teniendo capacidad legal para ejercer el comercio hacen de él su ocupación ordinaria; y el artículo 75 del mismo ordenamiento legal enlista los que se consideran actos de comercio.</w:t>
      </w:r>
    </w:p>
    <w:p>
      <w:pPr>
        <w:pStyle w:val="BodyText"/>
        <w:spacing w:line="252" w:lineRule="auto" w:before="104"/>
        <w:ind w:right="257"/>
      </w:pPr>
      <w:r>
        <w:rPr>
          <w:color w:val="0B0B0B"/>
        </w:rPr>
        <w:t>Considerando lo señalado e independientemente de que los fines de las Asociaciones Deportivas</w:t>
      </w:r>
      <w:r>
        <w:rPr>
          <w:color w:val="0B0B0B"/>
          <w:spacing w:val="-1"/>
        </w:rPr>
        <w:t> </w:t>
      </w:r>
      <w:r>
        <w:rPr>
          <w:color w:val="0B0B0B"/>
        </w:rPr>
        <w:t>no</w:t>
      </w:r>
      <w:r>
        <w:rPr>
          <w:color w:val="0B0B0B"/>
          <w:spacing w:val="-1"/>
        </w:rPr>
        <w:t> </w:t>
      </w:r>
      <w:r>
        <w:rPr>
          <w:color w:val="0B0B0B"/>
        </w:rPr>
        <w:t>sean</w:t>
      </w:r>
      <w:r>
        <w:rPr>
          <w:color w:val="0B0B0B"/>
          <w:spacing w:val="-1"/>
        </w:rPr>
        <w:t> </w:t>
      </w:r>
      <w:r>
        <w:rPr>
          <w:color w:val="0B0B0B"/>
        </w:rPr>
        <w:t>preponderantemente</w:t>
      </w:r>
      <w:r>
        <w:rPr>
          <w:color w:val="0B0B0B"/>
          <w:spacing w:val="-1"/>
        </w:rPr>
        <w:t> </w:t>
      </w:r>
      <w:r>
        <w:rPr>
          <w:color w:val="0B0B0B"/>
        </w:rPr>
        <w:t>económicos,</w:t>
      </w:r>
      <w:r>
        <w:rPr>
          <w:color w:val="0B0B0B"/>
          <w:spacing w:val="-2"/>
        </w:rPr>
        <w:t> </w:t>
      </w:r>
      <w:r>
        <w:rPr>
          <w:color w:val="0B0B0B"/>
        </w:rPr>
        <w:t>deben</w:t>
      </w:r>
      <w:r>
        <w:rPr>
          <w:color w:val="0B0B0B"/>
          <w:spacing w:val="-1"/>
        </w:rPr>
        <w:t> </w:t>
      </w:r>
      <w:r>
        <w:rPr>
          <w:color w:val="0B0B0B"/>
        </w:rPr>
        <w:t>pagar</w:t>
      </w:r>
      <w:r>
        <w:rPr>
          <w:color w:val="0B0B0B"/>
          <w:spacing w:val="-1"/>
        </w:rPr>
        <w:t> </w:t>
      </w:r>
      <w:r>
        <w:rPr>
          <w:color w:val="0B0B0B"/>
        </w:rPr>
        <w:t>el</w:t>
      </w:r>
      <w:r>
        <w:rPr>
          <w:color w:val="0B0B0B"/>
          <w:spacing w:val="-2"/>
        </w:rPr>
        <w:t> </w:t>
      </w:r>
      <w:r>
        <w:rPr>
          <w:color w:val="0B0B0B"/>
        </w:rPr>
        <w:t>ISR</w:t>
      </w:r>
      <w:r>
        <w:rPr>
          <w:color w:val="0B0B0B"/>
          <w:spacing w:val="-2"/>
        </w:rPr>
        <w:t> </w:t>
      </w:r>
      <w:r>
        <w:rPr>
          <w:color w:val="0B0B0B"/>
        </w:rPr>
        <w:t>en</w:t>
      </w:r>
      <w:r>
        <w:rPr>
          <w:color w:val="0B0B0B"/>
          <w:spacing w:val="-1"/>
        </w:rPr>
        <w:t> </w:t>
      </w:r>
      <w:r>
        <w:rPr>
          <w:color w:val="0B0B0B"/>
        </w:rPr>
        <w:t>términos del Título</w:t>
      </w:r>
      <w:r>
        <w:rPr>
          <w:color w:val="0B0B0B"/>
        </w:rPr>
        <w:t> II de la Ley del ISR, cuando enajenen bienes distintos</w:t>
      </w:r>
      <w:r>
        <w:rPr>
          <w:color w:val="0B0B0B"/>
        </w:rPr>
        <w:t> de su activo fijo o presten servicios a personas distintas de sus miembros o socios, siempre que dichos ingresos excedan del 5% de los ingresos totales de la persona moral en el ejercicio de que se trate; asimismo, se encuentran obligadas a realizar el pago del ISR por la obtención de los ingresos que se consideren acumulables por otros artículos de la Ley del ISR.</w:t>
      </w:r>
    </w:p>
    <w:p>
      <w:pPr>
        <w:pStyle w:val="BodyText"/>
        <w:spacing w:line="252" w:lineRule="auto" w:before="106"/>
        <w:ind w:right="257"/>
      </w:pPr>
      <w:r>
        <w:rPr>
          <w:color w:val="0B0B0B"/>
        </w:rPr>
        <w:t>Al respecto, se ha observado que algunas Asociaciones Deportivas realizan actos de comercio sobre los cuales no calculan ni pagan el impuesto en términos del Título II</w:t>
      </w:r>
      <w:r>
        <w:rPr>
          <w:color w:val="0B0B0B"/>
          <w:spacing w:val="80"/>
        </w:rPr>
        <w:t> </w:t>
      </w:r>
      <w:r>
        <w:rPr>
          <w:color w:val="0B0B0B"/>
        </w:rPr>
        <w:t>de</w:t>
      </w:r>
      <w:r>
        <w:rPr>
          <w:color w:val="0B0B0B"/>
          <w:spacing w:val="-10"/>
        </w:rPr>
        <w:t> </w:t>
      </w:r>
      <w:r>
        <w:rPr>
          <w:color w:val="0B0B0B"/>
        </w:rPr>
        <w:t>la</w:t>
      </w:r>
      <w:r>
        <w:rPr>
          <w:color w:val="0B0B0B"/>
          <w:spacing w:val="-9"/>
        </w:rPr>
        <w:t> </w:t>
      </w:r>
      <w:r>
        <w:rPr>
          <w:color w:val="0B0B0B"/>
        </w:rPr>
        <w:t>Ley</w:t>
      </w:r>
      <w:r>
        <w:rPr>
          <w:color w:val="0B0B0B"/>
          <w:spacing w:val="-10"/>
        </w:rPr>
        <w:t> </w:t>
      </w:r>
      <w:r>
        <w:rPr>
          <w:color w:val="0B0B0B"/>
        </w:rPr>
        <w:t>del</w:t>
      </w:r>
      <w:r>
        <w:rPr>
          <w:color w:val="0B0B0B"/>
          <w:spacing w:val="-10"/>
        </w:rPr>
        <w:t> </w:t>
      </w:r>
      <w:r>
        <w:rPr>
          <w:color w:val="0B0B0B"/>
        </w:rPr>
        <w:t>ISR,</w:t>
      </w:r>
      <w:r>
        <w:rPr>
          <w:color w:val="0B0B0B"/>
          <w:spacing w:val="-9"/>
        </w:rPr>
        <w:t> </w:t>
      </w:r>
      <w:r>
        <w:rPr>
          <w:color w:val="0B0B0B"/>
        </w:rPr>
        <w:t>tales</w:t>
      </w:r>
      <w:r>
        <w:rPr>
          <w:color w:val="0B0B0B"/>
          <w:spacing w:val="-9"/>
        </w:rPr>
        <w:t> </w:t>
      </w:r>
      <w:r>
        <w:rPr>
          <w:color w:val="0B0B0B"/>
        </w:rPr>
        <w:t>como</w:t>
      </w:r>
      <w:r>
        <w:rPr>
          <w:color w:val="0B0B0B"/>
          <w:spacing w:val="-10"/>
        </w:rPr>
        <w:t> </w:t>
      </w:r>
      <w:r>
        <w:rPr>
          <w:color w:val="0B0B0B"/>
        </w:rPr>
        <w:t>contratos</w:t>
      </w:r>
      <w:r>
        <w:rPr>
          <w:color w:val="0B0B0B"/>
          <w:spacing w:val="-9"/>
        </w:rPr>
        <w:t> </w:t>
      </w:r>
      <w:r>
        <w:rPr>
          <w:color w:val="0B0B0B"/>
        </w:rPr>
        <w:t>de</w:t>
      </w:r>
      <w:r>
        <w:rPr>
          <w:color w:val="0B0B0B"/>
          <w:spacing w:val="-10"/>
        </w:rPr>
        <w:t> </w:t>
      </w:r>
      <w:r>
        <w:rPr>
          <w:color w:val="0B0B0B"/>
        </w:rPr>
        <w:t>patrocinio,</w:t>
      </w:r>
      <w:r>
        <w:rPr>
          <w:color w:val="0B0B0B"/>
          <w:spacing w:val="-9"/>
        </w:rPr>
        <w:t> </w:t>
      </w:r>
      <w:r>
        <w:rPr>
          <w:color w:val="0B0B0B"/>
        </w:rPr>
        <w:t>de</w:t>
      </w:r>
      <w:r>
        <w:rPr>
          <w:color w:val="0B0B0B"/>
          <w:spacing w:val="-9"/>
        </w:rPr>
        <w:t> </w:t>
      </w:r>
      <w:r>
        <w:rPr>
          <w:color w:val="0B0B0B"/>
        </w:rPr>
        <w:t>uso</w:t>
      </w:r>
      <w:r>
        <w:rPr>
          <w:color w:val="0B0B0B"/>
          <w:spacing w:val="-10"/>
        </w:rPr>
        <w:t> </w:t>
      </w:r>
      <w:r>
        <w:rPr>
          <w:color w:val="0B0B0B"/>
        </w:rPr>
        <w:t>o</w:t>
      </w:r>
      <w:r>
        <w:rPr>
          <w:color w:val="0B0B0B"/>
          <w:spacing w:val="-10"/>
        </w:rPr>
        <w:t> </w:t>
      </w:r>
      <w:r>
        <w:rPr>
          <w:color w:val="0B0B0B"/>
        </w:rPr>
        <w:t>goce</w:t>
      </w:r>
      <w:r>
        <w:rPr>
          <w:color w:val="0B0B0B"/>
          <w:spacing w:val="-10"/>
        </w:rPr>
        <w:t> </w:t>
      </w:r>
      <w:r>
        <w:rPr>
          <w:color w:val="0B0B0B"/>
        </w:rPr>
        <w:t>temporal,</w:t>
      </w:r>
      <w:r>
        <w:rPr>
          <w:color w:val="0B0B0B"/>
          <w:spacing w:val="-9"/>
        </w:rPr>
        <w:t> </w:t>
      </w:r>
      <w:r>
        <w:rPr>
          <w:color w:val="0B0B0B"/>
        </w:rPr>
        <w:t>cesión</w:t>
      </w:r>
      <w:r>
        <w:rPr>
          <w:color w:val="0B0B0B"/>
          <w:spacing w:val="-10"/>
        </w:rPr>
        <w:t> </w:t>
      </w:r>
      <w:r>
        <w:rPr>
          <w:color w:val="0B0B0B"/>
        </w:rPr>
        <w:t>de derechos, entre otros.</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35"/>
        </w:numPr>
        <w:tabs>
          <w:tab w:pos="2663" w:val="left" w:leader="none"/>
        </w:tabs>
        <w:spacing w:line="252" w:lineRule="auto" w:before="112" w:after="0"/>
        <w:ind w:left="2663" w:right="259" w:hanging="504"/>
        <w:jc w:val="both"/>
        <w:rPr>
          <w:sz w:val="18"/>
        </w:rPr>
      </w:pPr>
      <w:r>
        <w:rPr>
          <w:color w:val="0B0B0B"/>
          <w:sz w:val="18"/>
        </w:rPr>
        <w:t>Las Asociaciones Deportivas que no consideren como ingresos por</w:t>
      </w:r>
      <w:r>
        <w:rPr>
          <w:color w:val="0B0B0B"/>
          <w:sz w:val="18"/>
        </w:rPr>
        <w:t> los que están obligadas al pago del ISR, los obtenidos por la realización de actividades comerciales y derivado de la práctica anterior no determinen el ISR en términos del Título II de la Ley del ISR.</w:t>
      </w:r>
    </w:p>
    <w:p>
      <w:pPr>
        <w:pStyle w:val="ListParagraph"/>
        <w:numPr>
          <w:ilvl w:val="0"/>
          <w:numId w:val="35"/>
        </w:numPr>
        <w:tabs>
          <w:tab w:pos="2663" w:val="left" w:leader="none"/>
        </w:tabs>
        <w:spacing w:line="252" w:lineRule="auto" w:before="104" w:after="0"/>
        <w:ind w:left="2663"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4"/>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8"/>
      </w:tblGrid>
      <w:tr>
        <w:trPr>
          <w:trHeight w:val="319" w:hRule="atLeast"/>
        </w:trPr>
        <w:tc>
          <w:tcPr>
            <w:tcW w:w="2676" w:type="dxa"/>
            <w:shd w:val="clear" w:color="auto" w:fill="BDBDBD"/>
          </w:tcPr>
          <w:p>
            <w:pPr>
              <w:pStyle w:val="TableParagraph"/>
              <w:spacing w:before="25"/>
              <w:ind w:left="13"/>
              <w:jc w:val="center"/>
              <w:rPr>
                <w:rFonts w:ascii="Arial"/>
                <w:b/>
                <w:sz w:val="16"/>
              </w:rPr>
            </w:pPr>
            <w:r>
              <w:rPr>
                <w:rFonts w:ascii="Arial"/>
                <w:b/>
                <w:color w:val="0B0B0B"/>
                <w:spacing w:val="-2"/>
                <w:sz w:val="16"/>
              </w:rPr>
              <w:t>Origen</w:t>
            </w:r>
          </w:p>
        </w:tc>
        <w:tc>
          <w:tcPr>
            <w:tcW w:w="4218" w:type="dxa"/>
            <w:shd w:val="clear" w:color="auto" w:fill="BDBDBD"/>
          </w:tcPr>
          <w:p>
            <w:pPr>
              <w:pStyle w:val="TableParagraph"/>
              <w:spacing w:before="25"/>
              <w:ind w:left="136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5" w:hRule="atLeast"/>
        </w:trPr>
        <w:tc>
          <w:tcPr>
            <w:tcW w:w="2676"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2018</w:t>
            </w:r>
          </w:p>
        </w:tc>
        <w:tc>
          <w:tcPr>
            <w:tcW w:w="4218" w:type="dxa"/>
          </w:tcPr>
          <w:p>
            <w:pPr>
              <w:pStyle w:val="TableParagraph"/>
              <w:spacing w:line="285" w:lineRule="auto"/>
              <w:ind w:right="24"/>
              <w:rPr>
                <w:sz w:val="16"/>
              </w:rPr>
            </w:pPr>
            <w:r>
              <w:rPr>
                <w:color w:val="0B0B0B"/>
                <w:sz w:val="16"/>
              </w:rPr>
              <w:t>Publicada en el DOF el 22 de diciembre de 2017, Anexo 3, publicado en el DOF el 29 de diciembre de 2017.</w:t>
            </w:r>
          </w:p>
        </w:tc>
      </w:tr>
    </w:tbl>
    <w:p>
      <w:pPr>
        <w:pStyle w:val="BodyText"/>
        <w:spacing w:before="119"/>
        <w:ind w:left="0"/>
        <w:jc w:val="left"/>
      </w:pPr>
    </w:p>
    <w:p>
      <w:pPr>
        <w:pStyle w:val="Heading1"/>
        <w:spacing w:line="252" w:lineRule="auto"/>
        <w:ind w:right="256"/>
        <w:jc w:val="both"/>
      </w:pPr>
      <w:r>
        <w:rPr>
          <w:color w:val="0B0B0B"/>
        </w:rPr>
        <w:t>32/ISR/PI</w:t>
      </w:r>
      <w:r>
        <w:rPr>
          <w:color w:val="0B0B0B"/>
          <w:spacing w:val="40"/>
        </w:rPr>
        <w:t> </w:t>
      </w:r>
      <w:r>
        <w:rPr>
          <w:color w:val="0B0B0B"/>
        </w:rPr>
        <w:t>Determinación del costo de lo vendido para contribuyentes que realicen actividades comerciales que consistan en la adquisición y enajenación de </w:t>
      </w:r>
      <w:r>
        <w:rPr>
          <w:color w:val="0B0B0B"/>
          <w:spacing w:val="-2"/>
        </w:rPr>
        <w:t>mercancías.</w:t>
      </w:r>
    </w:p>
    <w:p>
      <w:pPr>
        <w:pStyle w:val="BodyText"/>
        <w:spacing w:line="252" w:lineRule="auto" w:before="103"/>
        <w:ind w:right="256"/>
      </w:pPr>
      <w:r>
        <w:rPr>
          <w:color w:val="0B0B0B"/>
        </w:rPr>
        <w:t>El artículo 39, primer párrafo de la Ley del ISR, establece que el costo de las mercancías</w:t>
      </w:r>
      <w:r>
        <w:rPr>
          <w:color w:val="0B0B0B"/>
        </w:rPr>
        <w:t> que se enajenen, así como el de las que integren el inventario final del ejercicio, se determinará conforme al sistema de costeo absorbente sobre la base de costos históricos o predeterminados y que, en todo caso, el costo se deducirá en el ejercicio en el que se acumulen los ingresos que se deriven de la enajenación de los bienes de que se trate.</w:t>
      </w:r>
    </w:p>
    <w:p>
      <w:pPr>
        <w:pStyle w:val="BodyText"/>
        <w:spacing w:line="254" w:lineRule="auto" w:before="105"/>
        <w:ind w:right="259"/>
      </w:pPr>
      <w:r>
        <w:rPr>
          <w:color w:val="0B0B0B"/>
        </w:rPr>
        <w:t>Al respecto, el segundo párrafo</w:t>
      </w:r>
      <w:r>
        <w:rPr>
          <w:color w:val="0B0B0B"/>
        </w:rPr>
        <w:t> del artículo en comento establece que los contribuyentes que realicen actividades comerciales que consistan en la adquisición y enajenación de mercancías, considerarán únicamente dentro del costo lo siguiente:</w:t>
      </w:r>
    </w:p>
    <w:p>
      <w:pPr>
        <w:pStyle w:val="ListParagraph"/>
        <w:numPr>
          <w:ilvl w:val="0"/>
          <w:numId w:val="36"/>
        </w:numPr>
        <w:tabs>
          <w:tab w:pos="2664" w:val="left" w:leader="none"/>
        </w:tabs>
        <w:spacing w:line="254" w:lineRule="auto" w:before="96" w:after="0"/>
        <w:ind w:left="2664" w:right="257" w:hanging="504"/>
        <w:jc w:val="both"/>
        <w:rPr>
          <w:sz w:val="18"/>
        </w:rPr>
      </w:pPr>
      <w:r>
        <w:rPr>
          <w:color w:val="0B0B0B"/>
          <w:sz w:val="18"/>
        </w:rPr>
        <w:t>El importe de las adquisiciones de mercancías, disminuidas con el monto de las devoluciones, descuentos y bonificaciones, sobre las mismas, efectuados en el </w:t>
      </w:r>
      <w:r>
        <w:rPr>
          <w:color w:val="0B0B0B"/>
          <w:spacing w:val="-2"/>
          <w:sz w:val="18"/>
        </w:rPr>
        <w:t>ejercicio.</w:t>
      </w:r>
    </w:p>
    <w:p>
      <w:pPr>
        <w:pStyle w:val="ListParagraph"/>
        <w:numPr>
          <w:ilvl w:val="0"/>
          <w:numId w:val="36"/>
        </w:numPr>
        <w:tabs>
          <w:tab w:pos="2664" w:val="left" w:leader="none"/>
        </w:tabs>
        <w:spacing w:line="252" w:lineRule="auto" w:before="98" w:after="0"/>
        <w:ind w:left="2664" w:right="259" w:hanging="504"/>
        <w:jc w:val="both"/>
        <w:rPr>
          <w:sz w:val="18"/>
        </w:rPr>
      </w:pPr>
      <w:r>
        <w:rPr>
          <w:color w:val="0B0B0B"/>
          <w:sz w:val="18"/>
        </w:rPr>
        <w:t>Los</w:t>
      </w:r>
      <w:r>
        <w:rPr>
          <w:color w:val="0B0B0B"/>
          <w:spacing w:val="-2"/>
          <w:sz w:val="18"/>
        </w:rPr>
        <w:t> </w:t>
      </w:r>
      <w:r>
        <w:rPr>
          <w:color w:val="0B0B0B"/>
          <w:sz w:val="18"/>
        </w:rPr>
        <w:t>gastos</w:t>
      </w:r>
      <w:r>
        <w:rPr>
          <w:color w:val="0B0B0B"/>
          <w:spacing w:val="-2"/>
          <w:sz w:val="18"/>
        </w:rPr>
        <w:t> </w:t>
      </w:r>
      <w:r>
        <w:rPr>
          <w:color w:val="0B0B0B"/>
          <w:sz w:val="18"/>
        </w:rPr>
        <w:t>incurridos</w:t>
      </w:r>
      <w:r>
        <w:rPr>
          <w:color w:val="0B0B0B"/>
          <w:spacing w:val="-2"/>
          <w:sz w:val="18"/>
        </w:rPr>
        <w:t> </w:t>
      </w:r>
      <w:r>
        <w:rPr>
          <w:color w:val="0B0B0B"/>
          <w:sz w:val="18"/>
        </w:rPr>
        <w:t>para</w:t>
      </w:r>
      <w:r>
        <w:rPr>
          <w:color w:val="0B0B0B"/>
          <w:spacing w:val="-2"/>
          <w:sz w:val="18"/>
        </w:rPr>
        <w:t> </w:t>
      </w:r>
      <w:r>
        <w:rPr>
          <w:color w:val="0B0B0B"/>
          <w:sz w:val="18"/>
        </w:rPr>
        <w:t>adquirir y</w:t>
      </w:r>
      <w:r>
        <w:rPr>
          <w:color w:val="0B0B0B"/>
          <w:spacing w:val="-2"/>
          <w:sz w:val="18"/>
        </w:rPr>
        <w:t> </w:t>
      </w:r>
      <w:r>
        <w:rPr>
          <w:color w:val="0B0B0B"/>
          <w:sz w:val="18"/>
        </w:rPr>
        <w:t>dejar</w:t>
      </w:r>
      <w:r>
        <w:rPr>
          <w:color w:val="0B0B0B"/>
          <w:spacing w:val="-3"/>
          <w:sz w:val="18"/>
        </w:rPr>
        <w:t> </w:t>
      </w:r>
      <w:r>
        <w:rPr>
          <w:color w:val="0B0B0B"/>
          <w:sz w:val="18"/>
        </w:rPr>
        <w:t>las</w:t>
      </w:r>
      <w:r>
        <w:rPr>
          <w:color w:val="0B0B0B"/>
          <w:spacing w:val="-2"/>
          <w:sz w:val="18"/>
        </w:rPr>
        <w:t> </w:t>
      </w:r>
      <w:r>
        <w:rPr>
          <w:color w:val="0B0B0B"/>
          <w:sz w:val="18"/>
        </w:rPr>
        <w:t>mercancías</w:t>
      </w:r>
      <w:r>
        <w:rPr>
          <w:color w:val="0B0B0B"/>
          <w:spacing w:val="-2"/>
          <w:sz w:val="18"/>
        </w:rPr>
        <w:t> </w:t>
      </w:r>
      <w:r>
        <w:rPr>
          <w:color w:val="0B0B0B"/>
          <w:sz w:val="18"/>
        </w:rPr>
        <w:t>en</w:t>
      </w:r>
      <w:r>
        <w:rPr>
          <w:color w:val="0B0B0B"/>
          <w:spacing w:val="-2"/>
          <w:sz w:val="18"/>
        </w:rPr>
        <w:t> </w:t>
      </w:r>
      <w:r>
        <w:rPr>
          <w:color w:val="0B0B0B"/>
          <w:sz w:val="18"/>
        </w:rPr>
        <w:t>condiciones</w:t>
      </w:r>
      <w:r>
        <w:rPr>
          <w:color w:val="0B0B0B"/>
          <w:spacing w:val="-2"/>
          <w:sz w:val="18"/>
        </w:rPr>
        <w:t> </w:t>
      </w:r>
      <w:r>
        <w:rPr>
          <w:color w:val="0B0B0B"/>
          <w:sz w:val="18"/>
        </w:rPr>
        <w:t>de</w:t>
      </w:r>
      <w:r>
        <w:rPr>
          <w:color w:val="0B0B0B"/>
          <w:spacing w:val="-2"/>
          <w:sz w:val="18"/>
        </w:rPr>
        <w:t> </w:t>
      </w:r>
      <w:r>
        <w:rPr>
          <w:color w:val="0B0B0B"/>
          <w:sz w:val="18"/>
        </w:rPr>
        <w:t>ser </w:t>
      </w:r>
      <w:r>
        <w:rPr>
          <w:color w:val="0B0B0B"/>
          <w:spacing w:val="-2"/>
          <w:sz w:val="18"/>
        </w:rPr>
        <w:t>enajenadas.</w:t>
      </w:r>
    </w:p>
    <w:p>
      <w:pPr>
        <w:pStyle w:val="ListParagraph"/>
        <w:spacing w:after="0" w:line="252" w:lineRule="auto"/>
        <w:jc w:val="both"/>
        <w:rPr>
          <w:sz w:val="18"/>
        </w:rPr>
        <w:sectPr>
          <w:headerReference w:type="default" r:id="rId36"/>
          <w:pgSz w:w="12240" w:h="15840"/>
          <w:pgMar w:header="690" w:footer="0" w:top="1040" w:bottom="280" w:left="1440" w:right="1440"/>
        </w:sectPr>
      </w:pPr>
    </w:p>
    <w:p>
      <w:pPr>
        <w:pStyle w:val="BodyText"/>
        <w:spacing w:line="252" w:lineRule="auto" w:before="112"/>
        <w:ind w:right="256"/>
      </w:pPr>
      <w:r>
        <w:rPr>
          <w:color w:val="0B0B0B"/>
        </w:rPr>
        <w:t>Adicionalmente, el artículo 80 del Reglamento de la Ley del ISR, precisa que los contribuyentes que realicen actividades comerciales que consistan en la adquisición y enajenación de mercancías, para determinar el costo de lo vendido deducible considerarán únicamente las partidas que conforme a lo establecido en el segundo párrafo del artículo 39 de la Ley del ISR, correspondan a dicha actividad.</w:t>
      </w:r>
    </w:p>
    <w:p>
      <w:pPr>
        <w:pStyle w:val="BodyText"/>
        <w:spacing w:line="252" w:lineRule="auto" w:before="99"/>
        <w:ind w:right="255"/>
      </w:pPr>
      <w:r>
        <w:rPr>
          <w:color w:val="0B0B0B"/>
        </w:rPr>
        <w:t>De lo expuesto se advierte que el costo de lo vendido se deduce en el ejercicio en el que se acumulan los ingresos que derivan de la enajenación de los bienes de que se trate; por lo que para determinar dicho concepto, los contribuyentes que realicen actividades comerciales que consistan en la adquisición y enajenación de mercancías deben considerar las partidas establecidas en el segundo párrafo del artículo 39 de la Ley del ISR antes señalado, así como los inventarios inicial y final de las mercancías, debido a que no es deducible en el ejercicio el costo de los bienes que no fueron enajenados en el mismo, tal como lo establece el artículo en comento.</w:t>
      </w:r>
    </w:p>
    <w:p>
      <w:pPr>
        <w:pStyle w:val="BodyText"/>
        <w:spacing w:line="252" w:lineRule="auto" w:before="98"/>
        <w:ind w:right="258"/>
      </w:pPr>
      <w:r>
        <w:rPr>
          <w:color w:val="0B0B0B"/>
        </w:rPr>
        <w:t>En ese sentido, para determinar el costo de lo vendido del ejercicio, es necesario que al importe</w:t>
      </w:r>
      <w:r>
        <w:rPr>
          <w:color w:val="0B0B0B"/>
        </w:rPr>
        <w:t> de la mercancía adquirida en ejercicios anteriores que se enajena en el ejercicio, se adicionen los conceptos</w:t>
      </w:r>
      <w:r>
        <w:rPr>
          <w:color w:val="0B0B0B"/>
        </w:rPr>
        <w:t> a los que se refiere el artículo 39, segundo</w:t>
      </w:r>
      <w:r>
        <w:rPr>
          <w:color w:val="0B0B0B"/>
          <w:spacing w:val="40"/>
        </w:rPr>
        <w:t> </w:t>
      </w:r>
      <w:r>
        <w:rPr>
          <w:color w:val="0B0B0B"/>
        </w:rPr>
        <w:t>párrafo de la Ley del ISR y se disminuya el importe de la mercancía no enajenada en</w:t>
      </w:r>
      <w:r>
        <w:rPr>
          <w:color w:val="0B0B0B"/>
          <w:spacing w:val="40"/>
        </w:rPr>
        <w:t> </w:t>
      </w:r>
      <w:r>
        <w:rPr>
          <w:color w:val="0B0B0B"/>
        </w:rPr>
        <w:t>el mismo ejercicio, de conformidad con el quinto párrafo del artículo 39 en comento.</w:t>
      </w:r>
    </w:p>
    <w:p>
      <w:pPr>
        <w:pStyle w:val="BodyText"/>
        <w:spacing w:line="252" w:lineRule="auto" w:before="100"/>
        <w:ind w:right="258"/>
      </w:pPr>
      <w:r>
        <w:rPr>
          <w:color w:val="0B0B0B"/>
        </w:rPr>
        <w:t>El no determinar el costo de lo vendido en los términos antes señalados y deducir las mercancías</w:t>
      </w:r>
      <w:r>
        <w:rPr>
          <w:color w:val="0B0B0B"/>
        </w:rPr>
        <w:t> en el ejercicio en que se adquieren hayan o no sido enajenadas, haría nugatorias las disposiciones fiscales aplicables a la deducción del costo de lo vendido.</w:t>
      </w:r>
    </w:p>
    <w:p>
      <w:pPr>
        <w:pStyle w:val="BodyText"/>
        <w:spacing w:before="101"/>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37"/>
        </w:numPr>
        <w:tabs>
          <w:tab w:pos="2664" w:val="left" w:leader="none"/>
        </w:tabs>
        <w:spacing w:line="252" w:lineRule="auto" w:before="109" w:after="0"/>
        <w:ind w:left="2664" w:right="258" w:hanging="504"/>
        <w:jc w:val="both"/>
        <w:rPr>
          <w:sz w:val="18"/>
        </w:rPr>
      </w:pPr>
      <w:r>
        <w:rPr>
          <w:color w:val="0B0B0B"/>
          <w:sz w:val="18"/>
        </w:rPr>
        <w:t>El contribuyente que realice actividades comerciales que consistan en la adquisición y enajenación de mercancías, que al determinar el costo de lo vendido de dichas mercancías, no considere el importe de los inventarios inicial y final de las mercancías de cada ejercicio.</w:t>
      </w:r>
    </w:p>
    <w:p>
      <w:pPr>
        <w:pStyle w:val="ListParagraph"/>
        <w:numPr>
          <w:ilvl w:val="0"/>
          <w:numId w:val="37"/>
        </w:numPr>
        <w:tabs>
          <w:tab w:pos="2664" w:val="left" w:leader="none"/>
        </w:tabs>
        <w:spacing w:line="252" w:lineRule="auto" w:before="101" w:after="0"/>
        <w:ind w:left="2664" w:right="258" w:hanging="504"/>
        <w:jc w:val="both"/>
        <w:rPr>
          <w:sz w:val="18"/>
        </w:rPr>
      </w:pPr>
      <w:r>
        <w:rPr>
          <w:color w:val="0B0B0B"/>
          <w:sz w:val="18"/>
        </w:rPr>
        <w:t>El contribuyente que realice actividades comerciales que consistan en la adquisición y enajenación de mercancías y deduzca parcial o totalmente el</w:t>
      </w:r>
      <w:r>
        <w:rPr>
          <w:color w:val="0B0B0B"/>
          <w:spacing w:val="40"/>
          <w:sz w:val="18"/>
        </w:rPr>
        <w:t> </w:t>
      </w:r>
      <w:r>
        <w:rPr>
          <w:color w:val="0B0B0B"/>
          <w:sz w:val="18"/>
        </w:rPr>
        <w:t>costo de aquellas mercancías que no hayan sido enajenadas en el ejercicio de que se trate.</w:t>
      </w:r>
    </w:p>
    <w:p>
      <w:pPr>
        <w:pStyle w:val="ListParagraph"/>
        <w:numPr>
          <w:ilvl w:val="0"/>
          <w:numId w:val="37"/>
        </w:numPr>
        <w:tabs>
          <w:tab w:pos="2662" w:val="left" w:leader="none"/>
          <w:tab w:pos="2664" w:val="left" w:leader="none"/>
        </w:tabs>
        <w:spacing w:line="254" w:lineRule="auto" w:before="99" w:after="0"/>
        <w:ind w:left="2664" w:right="258" w:hanging="504"/>
        <w:jc w:val="both"/>
        <w:rPr>
          <w:sz w:val="18"/>
        </w:rPr>
      </w:pPr>
      <w:r>
        <w:rPr>
          <w:color w:val="0B0B0B"/>
          <w:sz w:val="18"/>
        </w:rPr>
        <w:t>Quien asesore, aconseje, preste servicios o participe en la realización o implementación de la práctica anterior.</w:t>
      </w:r>
    </w:p>
    <w:p>
      <w:pPr>
        <w:pStyle w:val="BodyText"/>
        <w:spacing w:before="0"/>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08"/>
      </w:tblGrid>
      <w:tr>
        <w:trPr>
          <w:trHeight w:val="318" w:hRule="atLeast"/>
        </w:trPr>
        <w:tc>
          <w:tcPr>
            <w:tcW w:w="2760" w:type="dxa"/>
            <w:shd w:val="clear" w:color="auto" w:fill="BDBDBD"/>
          </w:tcPr>
          <w:p>
            <w:pPr>
              <w:pStyle w:val="TableParagraph"/>
              <w:spacing w:before="25"/>
              <w:ind w:left="13"/>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25"/>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50" w:hRule="atLeast"/>
        </w:trPr>
        <w:tc>
          <w:tcPr>
            <w:tcW w:w="2760" w:type="dxa"/>
          </w:tcPr>
          <w:p>
            <w:pPr>
              <w:pStyle w:val="TableParagraph"/>
              <w:tabs>
                <w:tab w:pos="1170" w:val="left" w:leader="none"/>
                <w:tab w:pos="2509" w:val="left" w:leader="none"/>
              </w:tabs>
              <w:spacing w:line="285" w:lineRule="auto" w:before="22"/>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2018</w:t>
            </w:r>
          </w:p>
        </w:tc>
        <w:tc>
          <w:tcPr>
            <w:tcW w:w="4108" w:type="dxa"/>
          </w:tcPr>
          <w:p>
            <w:pPr>
              <w:pStyle w:val="TableParagraph"/>
              <w:spacing w:line="283" w:lineRule="auto" w:before="22"/>
              <w:ind w:right="58"/>
              <w:jc w:val="both"/>
              <w:rPr>
                <w:sz w:val="16"/>
              </w:rPr>
            </w:pPr>
            <w:r>
              <w:rPr>
                <w:color w:val="0B0B0B"/>
                <w:sz w:val="16"/>
              </w:rPr>
              <w:t>Publicada en el DOF el 19 de octubre de 2018, </w:t>
            </w:r>
            <w:r>
              <w:rPr>
                <w:color w:val="0B0B0B"/>
                <w:sz w:val="16"/>
              </w:rPr>
              <w:t>Anexo 3, publicado en el DOF el mismo 19 de octubre de</w:t>
            </w:r>
            <w:r>
              <w:rPr>
                <w:color w:val="0B0B0B"/>
                <w:spacing w:val="40"/>
                <w:sz w:val="16"/>
              </w:rPr>
              <w:t> </w:t>
            </w:r>
            <w:r>
              <w:rPr>
                <w:color w:val="0B0B0B"/>
                <w:spacing w:val="-2"/>
                <w:sz w:val="16"/>
              </w:rPr>
              <w:t>2018.</w:t>
            </w:r>
          </w:p>
        </w:tc>
      </w:tr>
    </w:tbl>
    <w:p>
      <w:pPr>
        <w:pStyle w:val="BodyText"/>
        <w:spacing w:before="116"/>
        <w:ind w:left="0"/>
        <w:jc w:val="left"/>
      </w:pPr>
    </w:p>
    <w:p>
      <w:pPr>
        <w:pStyle w:val="Heading1"/>
        <w:spacing w:line="252" w:lineRule="auto"/>
        <w:ind w:right="255"/>
        <w:jc w:val="both"/>
      </w:pPr>
      <w:r>
        <w:rPr>
          <w:color w:val="0B0B0B"/>
        </w:rPr>
        <w:t>33/ISR/PI</w:t>
      </w:r>
      <w:r>
        <w:rPr>
          <w:color w:val="0B0B0B"/>
          <w:spacing w:val="80"/>
        </w:rPr>
        <w:t> </w:t>
      </w:r>
      <w:r>
        <w:rPr>
          <w:color w:val="0B0B0B"/>
        </w:rPr>
        <w:t>Reconocimiento de contribuciones únicas y valiosas. Deben reconocerse en los análisis de precios de transferencia para demostrar que, en operaciones celebradas con partes relacionadas, los ingresos acumulables y deducciones autorizadas fueron determinados considerando para esas operaciones </w:t>
      </w:r>
      <w:r>
        <w:rPr>
          <w:color w:val="0B0B0B"/>
        </w:rPr>
        <w:t>los precios, montos de contraprestaciones o márgenes de utilidad que hubieran utilizado u obtenido con o entre partes independientes en operaciones </w:t>
      </w:r>
      <w:r>
        <w:rPr>
          <w:color w:val="0B0B0B"/>
          <w:spacing w:val="-2"/>
        </w:rPr>
        <w:t>comparables.</w:t>
      </w:r>
    </w:p>
    <w:p>
      <w:pPr>
        <w:pStyle w:val="BodyText"/>
        <w:spacing w:line="252" w:lineRule="auto" w:before="99"/>
        <w:ind w:right="257"/>
      </w:pPr>
      <w:r>
        <w:rPr>
          <w:color w:val="0B0B0B"/>
        </w:rPr>
        <w:t>Los artículos 76, primer párrafo, fracciones IX y XII; 76-A, fracción II y último párrafo; 90, penúltimo párrafo; 110, fracción XI y 179, primer párrafo de la Ley del ISR señalan que tratándose de contribuyentes que celebren operaciones con partes relacionadas, estos deberán determinar sus ingresos acumulables y deducciones autorizadas, considerando para esas operaciones los precios, montos</w:t>
      </w:r>
      <w:r>
        <w:rPr>
          <w:color w:val="0B0B0B"/>
        </w:rPr>
        <w:t> de contraprestaciones o márgenes de utilidad que hubieran utilizado u obtenido con o entre partes independientes en operaciones comparables.</w:t>
      </w:r>
    </w:p>
    <w:p>
      <w:pPr>
        <w:pStyle w:val="BodyText"/>
        <w:spacing w:line="252" w:lineRule="auto" w:before="99"/>
        <w:ind w:right="258"/>
      </w:pPr>
      <w:r>
        <w:rPr>
          <w:color w:val="0B0B0B"/>
        </w:rPr>
        <w:t>Para tales efectos, el artículo 180 de la Ley del ISR, establece los métodos que los contribuyentes deberán aplicar, tales como: método de precio comparable no controlado,</w:t>
      </w:r>
      <w:r>
        <w:rPr>
          <w:color w:val="0B0B0B"/>
          <w:spacing w:val="40"/>
        </w:rPr>
        <w:t> </w:t>
      </w:r>
      <w:r>
        <w:rPr>
          <w:color w:val="0B0B0B"/>
        </w:rPr>
        <w:t>método</w:t>
      </w:r>
      <w:r>
        <w:rPr>
          <w:color w:val="0B0B0B"/>
          <w:spacing w:val="40"/>
        </w:rPr>
        <w:t> </w:t>
      </w:r>
      <w:r>
        <w:rPr>
          <w:color w:val="0B0B0B"/>
        </w:rPr>
        <w:t>de</w:t>
      </w:r>
      <w:r>
        <w:rPr>
          <w:color w:val="0B0B0B"/>
          <w:spacing w:val="40"/>
        </w:rPr>
        <w:t> </w:t>
      </w:r>
      <w:r>
        <w:rPr>
          <w:color w:val="0B0B0B"/>
        </w:rPr>
        <w:t>precio</w:t>
      </w:r>
      <w:r>
        <w:rPr>
          <w:color w:val="0B0B0B"/>
          <w:spacing w:val="40"/>
        </w:rPr>
        <w:t> </w:t>
      </w:r>
      <w:r>
        <w:rPr>
          <w:color w:val="0B0B0B"/>
        </w:rPr>
        <w:t>de</w:t>
      </w:r>
      <w:r>
        <w:rPr>
          <w:color w:val="0B0B0B"/>
          <w:spacing w:val="40"/>
        </w:rPr>
        <w:t> </w:t>
      </w:r>
      <w:r>
        <w:rPr>
          <w:color w:val="0B0B0B"/>
        </w:rPr>
        <w:t>reventa,</w:t>
      </w:r>
      <w:r>
        <w:rPr>
          <w:color w:val="0B0B0B"/>
          <w:spacing w:val="40"/>
        </w:rPr>
        <w:t> </w:t>
      </w:r>
      <w:r>
        <w:rPr>
          <w:color w:val="0B0B0B"/>
        </w:rPr>
        <w:t>método</w:t>
      </w:r>
      <w:r>
        <w:rPr>
          <w:color w:val="0B0B0B"/>
          <w:spacing w:val="40"/>
        </w:rPr>
        <w:t> </w:t>
      </w:r>
      <w:r>
        <w:rPr>
          <w:color w:val="0B0B0B"/>
        </w:rPr>
        <w:t>de</w:t>
      </w:r>
      <w:r>
        <w:rPr>
          <w:color w:val="0B0B0B"/>
          <w:spacing w:val="40"/>
        </w:rPr>
        <w:t> </w:t>
      </w:r>
      <w:r>
        <w:rPr>
          <w:color w:val="0B0B0B"/>
        </w:rPr>
        <w:t>costo</w:t>
      </w:r>
      <w:r>
        <w:rPr>
          <w:color w:val="0B0B0B"/>
          <w:spacing w:val="40"/>
        </w:rPr>
        <w:t> </w:t>
      </w:r>
      <w:r>
        <w:rPr>
          <w:color w:val="0B0B0B"/>
        </w:rPr>
        <w:t>adicionado,</w:t>
      </w:r>
      <w:r>
        <w:rPr>
          <w:color w:val="0B0B0B"/>
          <w:spacing w:val="40"/>
        </w:rPr>
        <w:t> </w:t>
      </w:r>
      <w:r>
        <w:rPr>
          <w:color w:val="0B0B0B"/>
        </w:rPr>
        <w:t>método</w:t>
      </w:r>
      <w:r>
        <w:rPr>
          <w:color w:val="0B0B0B"/>
          <w:spacing w:val="80"/>
        </w:rPr>
        <w:t> </w:t>
      </w:r>
      <w:r>
        <w:rPr>
          <w:color w:val="0B0B0B"/>
        </w:rPr>
        <w:t>de</w:t>
      </w:r>
      <w:r>
        <w:rPr>
          <w:color w:val="0B0B0B"/>
          <w:spacing w:val="38"/>
        </w:rPr>
        <w:t> </w:t>
      </w:r>
      <w:r>
        <w:rPr>
          <w:color w:val="0B0B0B"/>
        </w:rPr>
        <w:t>partición</w:t>
      </w:r>
      <w:r>
        <w:rPr>
          <w:color w:val="0B0B0B"/>
          <w:spacing w:val="38"/>
        </w:rPr>
        <w:t> </w:t>
      </w:r>
      <w:r>
        <w:rPr>
          <w:color w:val="0B0B0B"/>
        </w:rPr>
        <w:t>de</w:t>
      </w:r>
      <w:r>
        <w:rPr>
          <w:color w:val="0B0B0B"/>
          <w:spacing w:val="37"/>
        </w:rPr>
        <w:t> </w:t>
      </w:r>
      <w:r>
        <w:rPr>
          <w:color w:val="0B0B0B"/>
        </w:rPr>
        <w:t>utilidades,</w:t>
      </w:r>
      <w:r>
        <w:rPr>
          <w:color w:val="0B0B0B"/>
          <w:spacing w:val="38"/>
        </w:rPr>
        <w:t> </w:t>
      </w:r>
      <w:r>
        <w:rPr>
          <w:color w:val="0B0B0B"/>
        </w:rPr>
        <w:t>método</w:t>
      </w:r>
      <w:r>
        <w:rPr>
          <w:color w:val="0B0B0B"/>
          <w:spacing w:val="38"/>
        </w:rPr>
        <w:t> </w:t>
      </w:r>
      <w:r>
        <w:rPr>
          <w:color w:val="0B0B0B"/>
        </w:rPr>
        <w:t>residual</w:t>
      </w:r>
      <w:r>
        <w:rPr>
          <w:color w:val="0B0B0B"/>
          <w:spacing w:val="38"/>
        </w:rPr>
        <w:t> </w:t>
      </w:r>
      <w:r>
        <w:rPr>
          <w:color w:val="0B0B0B"/>
        </w:rPr>
        <w:t>de</w:t>
      </w:r>
      <w:r>
        <w:rPr>
          <w:color w:val="0B0B0B"/>
          <w:spacing w:val="38"/>
        </w:rPr>
        <w:t> </w:t>
      </w:r>
      <w:r>
        <w:rPr>
          <w:color w:val="0B0B0B"/>
        </w:rPr>
        <w:t>partición</w:t>
      </w:r>
      <w:r>
        <w:rPr>
          <w:color w:val="0B0B0B"/>
          <w:spacing w:val="39"/>
        </w:rPr>
        <w:t> </w:t>
      </w:r>
      <w:r>
        <w:rPr>
          <w:color w:val="0B0B0B"/>
        </w:rPr>
        <w:t>de</w:t>
      </w:r>
      <w:r>
        <w:rPr>
          <w:color w:val="0B0B0B"/>
          <w:spacing w:val="38"/>
        </w:rPr>
        <w:t> </w:t>
      </w:r>
      <w:r>
        <w:rPr>
          <w:color w:val="0B0B0B"/>
        </w:rPr>
        <w:t>utilidades</w:t>
      </w:r>
      <w:r>
        <w:rPr>
          <w:color w:val="0B0B0B"/>
          <w:spacing w:val="40"/>
        </w:rPr>
        <w:t> </w:t>
      </w:r>
      <w:r>
        <w:rPr>
          <w:color w:val="0B0B0B"/>
        </w:rPr>
        <w:t>y</w:t>
      </w:r>
      <w:r>
        <w:rPr>
          <w:color w:val="0B0B0B"/>
          <w:spacing w:val="36"/>
        </w:rPr>
        <w:t> </w:t>
      </w:r>
      <w:r>
        <w:rPr>
          <w:color w:val="0B0B0B"/>
        </w:rPr>
        <w:t>método</w:t>
      </w:r>
      <w:r>
        <w:rPr>
          <w:color w:val="0B0B0B"/>
          <w:spacing w:val="38"/>
        </w:rPr>
        <w:t> </w:t>
      </w:r>
      <w:r>
        <w:rPr>
          <w:color w:val="0B0B0B"/>
        </w:rPr>
        <w:t>de</w:t>
      </w:r>
    </w:p>
    <w:p>
      <w:pPr>
        <w:pStyle w:val="BodyText"/>
        <w:spacing w:after="0" w:line="252" w:lineRule="auto"/>
        <w:sectPr>
          <w:headerReference w:type="default" r:id="rId37"/>
          <w:pgSz w:w="12240" w:h="15840"/>
          <w:pgMar w:header="690" w:footer="0" w:top="1040" w:bottom="280" w:left="1440" w:right="1440"/>
        </w:sectPr>
      </w:pPr>
    </w:p>
    <w:p>
      <w:pPr>
        <w:pStyle w:val="BodyText"/>
        <w:spacing w:line="252" w:lineRule="auto" w:before="112"/>
        <w:ind w:right="256"/>
      </w:pPr>
      <w:r>
        <w:rPr>
          <w:color w:val="0B0B0B"/>
        </w:rPr>
        <w:t>márgenes transaccionales de utilidad de operación. El mismo artículo señala que de la aplicación de alguno de estos métodos se podrá obtener</w:t>
      </w:r>
      <w:r>
        <w:rPr>
          <w:color w:val="0B0B0B"/>
        </w:rPr>
        <w:t> un rango de precios, de montos</w:t>
      </w:r>
      <w:r>
        <w:rPr>
          <w:color w:val="0B0B0B"/>
        </w:rPr>
        <w:t> de las contraprestaciones o de márgenes de utilidad, cuando existan dos o más operaciones comparables. Estos rangos se ajustarán mediante la aplicación del método intercuartil establecido en el Reglamento de la Ley del ISR, del método acordado en el marco de un procedimiento amistoso señalado en los tratados para evitar la doble tributación de los que México es parte o del método autorizado</w:t>
      </w:r>
      <w:r>
        <w:rPr>
          <w:color w:val="0B0B0B"/>
          <w:spacing w:val="40"/>
        </w:rPr>
        <w:t> </w:t>
      </w:r>
      <w:r>
        <w:rPr>
          <w:color w:val="0B0B0B"/>
        </w:rPr>
        <w:t>conforme a las reglas de carácter general que al efecto emita el SAT.</w:t>
      </w:r>
    </w:p>
    <w:p>
      <w:pPr>
        <w:pStyle w:val="BodyText"/>
        <w:spacing w:line="261" w:lineRule="auto" w:before="105"/>
        <w:ind w:right="256"/>
      </w:pPr>
      <w:r>
        <w:rPr>
          <w:color w:val="0B0B0B"/>
        </w:rPr>
        <w:t>Por su parte, el tercer párrafo del artículo 179 de la Ley de ISR señala que, las operaciones o las empresas son comparables, cuando no existan diferencias entre estas que afecten significativamente el precio o monto de la contraprestación o el margen de utilidad a que hacen referencia los métodos establecidos en el artículo 180 de la Ley del ISR y cuando existan dichas diferencias, estas se eliminen mediante ajustes razonables; y que para determinar dichas diferencias, se tomarán en cuenta, las</w:t>
      </w:r>
      <w:r>
        <w:rPr>
          <w:color w:val="0B0B0B"/>
          <w:spacing w:val="-1"/>
        </w:rPr>
        <w:t> </w:t>
      </w:r>
      <w:r>
        <w:rPr>
          <w:color w:val="0B0B0B"/>
        </w:rPr>
        <w:t>funciones</w:t>
      </w:r>
      <w:r>
        <w:rPr>
          <w:color w:val="0B0B0B"/>
          <w:spacing w:val="-1"/>
        </w:rPr>
        <w:t> </w:t>
      </w:r>
      <w:r>
        <w:rPr>
          <w:color w:val="0B0B0B"/>
        </w:rPr>
        <w:t>o</w:t>
      </w:r>
      <w:r>
        <w:rPr>
          <w:color w:val="0B0B0B"/>
          <w:spacing w:val="-1"/>
        </w:rPr>
        <w:t> </w:t>
      </w:r>
      <w:r>
        <w:rPr>
          <w:color w:val="0B0B0B"/>
        </w:rPr>
        <w:t>actividades,</w:t>
      </w:r>
      <w:r>
        <w:rPr>
          <w:color w:val="0B0B0B"/>
          <w:spacing w:val="-1"/>
        </w:rPr>
        <w:t> </w:t>
      </w:r>
      <w:r>
        <w:rPr>
          <w:color w:val="0B0B0B"/>
        </w:rPr>
        <w:t>incluyendo los</w:t>
      </w:r>
      <w:r>
        <w:rPr>
          <w:color w:val="0B0B0B"/>
          <w:spacing w:val="-1"/>
        </w:rPr>
        <w:t> </w:t>
      </w:r>
      <w:r>
        <w:rPr>
          <w:color w:val="0B0B0B"/>
        </w:rPr>
        <w:t>activos</w:t>
      </w:r>
      <w:r>
        <w:rPr>
          <w:color w:val="0B0B0B"/>
          <w:spacing w:val="-1"/>
        </w:rPr>
        <w:t> </w:t>
      </w:r>
      <w:r>
        <w:rPr>
          <w:color w:val="0B0B0B"/>
        </w:rPr>
        <w:t>utilizados y</w:t>
      </w:r>
      <w:r>
        <w:rPr>
          <w:color w:val="0B0B0B"/>
          <w:spacing w:val="-3"/>
        </w:rPr>
        <w:t> </w:t>
      </w:r>
      <w:r>
        <w:rPr>
          <w:color w:val="0B0B0B"/>
        </w:rPr>
        <w:t>riesgos asumidos</w:t>
      </w:r>
      <w:r>
        <w:rPr>
          <w:color w:val="0B0B0B"/>
          <w:spacing w:val="-1"/>
        </w:rPr>
        <w:t> </w:t>
      </w:r>
      <w:r>
        <w:rPr>
          <w:color w:val="0B0B0B"/>
        </w:rPr>
        <w:t>en</w:t>
      </w:r>
      <w:r>
        <w:rPr>
          <w:color w:val="0B0B0B"/>
          <w:spacing w:val="-1"/>
        </w:rPr>
        <w:t> </w:t>
      </w:r>
      <w:r>
        <w:rPr>
          <w:color w:val="0B0B0B"/>
        </w:rPr>
        <w:t>las operaciones de cada una de las partes involucradas en la operación, entre otros elementos señalados en las fracciones del mencionado tercer párrafo del artículo 179.</w:t>
      </w:r>
    </w:p>
    <w:p>
      <w:pPr>
        <w:pStyle w:val="BodyText"/>
        <w:spacing w:line="261" w:lineRule="auto" w:before="96"/>
        <w:ind w:right="258"/>
      </w:pPr>
      <w:r>
        <w:rPr>
          <w:color w:val="0B0B0B"/>
        </w:rPr>
        <w:t>Asimismo, en el último párrafo del artículo 179, se establece que para la interpretación de la Ley del ISR para las empresas multinacionales, serán aplicables las Guías sobre Precios de Transferencia para las Empresas Multinacionales y las Administraciones Fiscales, aprobadas por</w:t>
      </w:r>
      <w:r>
        <w:rPr>
          <w:color w:val="0B0B0B"/>
        </w:rPr>
        <w:t> el Consejo de la Organización para la Cooperación y el Desarrollo Económico, en la medida que sean congruentes con las disposiciones de dicha Ley y de los tratados celebrados por México.</w:t>
      </w:r>
    </w:p>
    <w:p>
      <w:pPr>
        <w:pStyle w:val="BodyText"/>
        <w:spacing w:line="261" w:lineRule="auto" w:before="97"/>
        <w:ind w:right="257"/>
      </w:pPr>
      <w:r>
        <w:rPr>
          <w:color w:val="0B0B0B"/>
        </w:rPr>
        <w:t>Conforme a las disposiciones y las Guías antes referidas, en el análisis de las funciones, actividades, activos y riesgos, los contribuyentes que celebren operaciones con partes relacionadas deben identificar y considerar las contribuciones valiosas, las cuales se entienden como aquellas condiciones o atributos del negocio que generan valor de manera significativa y que implican la expectativa</w:t>
      </w:r>
      <w:r>
        <w:rPr>
          <w:color w:val="0B0B0B"/>
        </w:rPr>
        <w:t> de generar mayores beneficios económicos futuros de los que se esperaría</w:t>
      </w:r>
      <w:r>
        <w:rPr>
          <w:color w:val="0B0B0B"/>
        </w:rPr>
        <w:t> en su ausencia, tales como intangibles creados o utilizados,</w:t>
      </w:r>
      <w:r>
        <w:rPr>
          <w:color w:val="0B0B0B"/>
        </w:rPr>
        <w:t> o factores de comparabilidad que definen alguna ventaja competitiva del negocio, incluyendo las actividades de desarrollo, mejora, mantenimiento, protección y/o explotación de intangibles.</w:t>
      </w:r>
    </w:p>
    <w:p>
      <w:pPr>
        <w:pStyle w:val="BodyText"/>
        <w:spacing w:line="261" w:lineRule="auto" w:before="95"/>
        <w:ind w:right="258"/>
      </w:pPr>
      <w:r>
        <w:rPr>
          <w:color w:val="0B0B0B"/>
        </w:rPr>
        <w:t>En este sentido, si de la aplicación de los métodos a que hace mención el artículo 180 de la Ley del ISR, resultan diferencias en los elementos de comparabilidad entre la operación o la parte analizada y la(s)</w:t>
      </w:r>
      <w:r>
        <w:rPr>
          <w:color w:val="0B0B0B"/>
        </w:rPr>
        <w:t> potencial(es) operación(es) o empresa(s) propuesta(s) como comparable(s) que se determinan a partir de contribuciones únicas y valiosas,</w:t>
      </w:r>
      <w:r>
        <w:rPr>
          <w:color w:val="0B0B0B"/>
        </w:rPr>
        <w:t> tales</w:t>
      </w:r>
      <w:r>
        <w:rPr>
          <w:color w:val="0B0B0B"/>
        </w:rPr>
        <w:t> diferencias afectarán significativamente el precio, monto de la contraprestación o el margen de utilidad a que hacen referencia los citados métodos,</w:t>
      </w:r>
      <w:r>
        <w:rPr>
          <w:color w:val="0B0B0B"/>
          <w:spacing w:val="40"/>
        </w:rPr>
        <w:t> </w:t>
      </w:r>
      <w:r>
        <w:rPr>
          <w:color w:val="0B0B0B"/>
        </w:rPr>
        <w:t>al provenir de contribuciones únicas y valiosas, por</w:t>
      </w:r>
      <w:r>
        <w:rPr>
          <w:color w:val="0B0B0B"/>
        </w:rPr>
        <w:t> lo que sería técnicamente incorrecto considerar a las referidas operaciones o empresas como comparables.</w:t>
      </w:r>
    </w:p>
    <w:p>
      <w:pPr>
        <w:pStyle w:val="BodyText"/>
        <w:spacing w:line="261" w:lineRule="auto" w:before="97"/>
        <w:ind w:right="257"/>
      </w:pPr>
      <w:r>
        <w:rPr>
          <w:color w:val="0B0B0B"/>
        </w:rPr>
        <w:t>En virtud de lo anterior, para dar simetría a la comparación de las operaciones, los contribuyentes deben</w:t>
      </w:r>
      <w:r>
        <w:rPr>
          <w:color w:val="0B0B0B"/>
          <w:spacing w:val="-1"/>
        </w:rPr>
        <w:t> </w:t>
      </w:r>
      <w:r>
        <w:rPr>
          <w:color w:val="0B0B0B"/>
        </w:rPr>
        <w:t>considerar</w:t>
      </w:r>
      <w:r>
        <w:rPr>
          <w:color w:val="0B0B0B"/>
          <w:spacing w:val="-1"/>
        </w:rPr>
        <w:t> </w:t>
      </w:r>
      <w:r>
        <w:rPr>
          <w:color w:val="0B0B0B"/>
        </w:rPr>
        <w:t>sus</w:t>
      </w:r>
      <w:r>
        <w:rPr>
          <w:color w:val="0B0B0B"/>
          <w:spacing w:val="-1"/>
        </w:rPr>
        <w:t> </w:t>
      </w:r>
      <w:r>
        <w:rPr>
          <w:color w:val="0B0B0B"/>
        </w:rPr>
        <w:t>contribuciones únicas y</w:t>
      </w:r>
      <w:r>
        <w:rPr>
          <w:color w:val="0B0B0B"/>
          <w:spacing w:val="-3"/>
        </w:rPr>
        <w:t> </w:t>
      </w:r>
      <w:r>
        <w:rPr>
          <w:color w:val="0B0B0B"/>
        </w:rPr>
        <w:t>valiosas,</w:t>
      </w:r>
      <w:r>
        <w:rPr>
          <w:color w:val="0B0B0B"/>
          <w:spacing w:val="-2"/>
        </w:rPr>
        <w:t> </w:t>
      </w:r>
      <w:r>
        <w:rPr>
          <w:color w:val="0B0B0B"/>
        </w:rPr>
        <w:t>así como</w:t>
      </w:r>
      <w:r>
        <w:rPr>
          <w:color w:val="0B0B0B"/>
          <w:spacing w:val="-2"/>
        </w:rPr>
        <w:t> </w:t>
      </w:r>
      <w:r>
        <w:rPr>
          <w:color w:val="0B0B0B"/>
        </w:rPr>
        <w:t>las</w:t>
      </w:r>
      <w:r>
        <w:rPr>
          <w:color w:val="0B0B0B"/>
          <w:spacing w:val="-1"/>
        </w:rPr>
        <w:t> </w:t>
      </w:r>
      <w:r>
        <w:rPr>
          <w:color w:val="0B0B0B"/>
        </w:rPr>
        <w:t>de las empresas con las que se comparan.</w:t>
      </w:r>
    </w:p>
    <w:p>
      <w:pPr>
        <w:pStyle w:val="BodyText"/>
        <w:spacing w:line="261" w:lineRule="auto" w:before="99"/>
        <w:ind w:right="258"/>
      </w:pPr>
      <w:r>
        <w:rPr>
          <w:color w:val="0B0B0B"/>
        </w:rPr>
        <w:t>Por lo anterior, se consideran prácticas fiscales indebidas en que incurren los </w:t>
      </w:r>
      <w:r>
        <w:rPr>
          <w:color w:val="0B0B0B"/>
          <w:spacing w:val="-2"/>
        </w:rPr>
        <w:t>contribuyentes:</w:t>
      </w:r>
    </w:p>
    <w:p>
      <w:pPr>
        <w:pStyle w:val="ListParagraph"/>
        <w:numPr>
          <w:ilvl w:val="0"/>
          <w:numId w:val="38"/>
        </w:numPr>
        <w:tabs>
          <w:tab w:pos="2664" w:val="left" w:leader="none"/>
        </w:tabs>
        <w:spacing w:line="261" w:lineRule="auto" w:before="99" w:after="0"/>
        <w:ind w:left="2664" w:right="256" w:hanging="504"/>
        <w:jc w:val="both"/>
        <w:rPr>
          <w:sz w:val="18"/>
        </w:rPr>
      </w:pPr>
      <w:r>
        <w:rPr>
          <w:color w:val="0B0B0B"/>
          <w:sz w:val="18"/>
        </w:rPr>
        <w:t>Que los contribuyentes no reconozcan las contribuciones únicas y valiosas propias y de las empresas con las que se comparan, en sus análisis para efectos</w:t>
      </w:r>
      <w:r>
        <w:rPr>
          <w:color w:val="0B0B0B"/>
          <w:sz w:val="18"/>
        </w:rPr>
        <w:t> de demostrar que en sus operaciones celebradas con partes relacionadas, sus ingresos acumulables y sus deducciones autorizadas fueron determinados considerando para esas operaciones los precios, montos de contraprestaciones</w:t>
      </w:r>
      <w:r>
        <w:rPr>
          <w:color w:val="0B0B0B"/>
          <w:spacing w:val="-3"/>
          <w:sz w:val="18"/>
        </w:rPr>
        <w:t> </w:t>
      </w:r>
      <w:r>
        <w:rPr>
          <w:color w:val="0B0B0B"/>
          <w:sz w:val="18"/>
        </w:rPr>
        <w:t>o</w:t>
      </w:r>
      <w:r>
        <w:rPr>
          <w:color w:val="0B0B0B"/>
          <w:spacing w:val="-4"/>
          <w:sz w:val="18"/>
        </w:rPr>
        <w:t> </w:t>
      </w:r>
      <w:r>
        <w:rPr>
          <w:color w:val="0B0B0B"/>
          <w:sz w:val="18"/>
        </w:rPr>
        <w:t>márgenes</w:t>
      </w:r>
      <w:r>
        <w:rPr>
          <w:color w:val="0B0B0B"/>
          <w:spacing w:val="-4"/>
          <w:sz w:val="18"/>
        </w:rPr>
        <w:t> </w:t>
      </w:r>
      <w:r>
        <w:rPr>
          <w:color w:val="0B0B0B"/>
          <w:sz w:val="18"/>
        </w:rPr>
        <w:t>de</w:t>
      </w:r>
      <w:r>
        <w:rPr>
          <w:color w:val="0B0B0B"/>
          <w:spacing w:val="-4"/>
          <w:sz w:val="18"/>
        </w:rPr>
        <w:t> </w:t>
      </w:r>
      <w:r>
        <w:rPr>
          <w:color w:val="0B0B0B"/>
          <w:sz w:val="18"/>
        </w:rPr>
        <w:t>utilidad</w:t>
      </w:r>
      <w:r>
        <w:rPr>
          <w:color w:val="0B0B0B"/>
          <w:spacing w:val="-3"/>
          <w:sz w:val="18"/>
        </w:rPr>
        <w:t> </w:t>
      </w:r>
      <w:r>
        <w:rPr>
          <w:color w:val="0B0B0B"/>
          <w:sz w:val="18"/>
        </w:rPr>
        <w:t>que</w:t>
      </w:r>
      <w:r>
        <w:rPr>
          <w:color w:val="0B0B0B"/>
          <w:spacing w:val="-4"/>
          <w:sz w:val="18"/>
        </w:rPr>
        <w:t> </w:t>
      </w:r>
      <w:r>
        <w:rPr>
          <w:color w:val="0B0B0B"/>
          <w:sz w:val="18"/>
        </w:rPr>
        <w:t>hubieran</w:t>
      </w:r>
      <w:r>
        <w:rPr>
          <w:color w:val="0B0B0B"/>
          <w:spacing w:val="-4"/>
          <w:sz w:val="18"/>
        </w:rPr>
        <w:t> </w:t>
      </w:r>
      <w:r>
        <w:rPr>
          <w:color w:val="0B0B0B"/>
          <w:sz w:val="18"/>
        </w:rPr>
        <w:t>utilizado</w:t>
      </w:r>
      <w:r>
        <w:rPr>
          <w:color w:val="0B0B0B"/>
          <w:spacing w:val="-4"/>
          <w:sz w:val="18"/>
        </w:rPr>
        <w:t> </w:t>
      </w:r>
      <w:r>
        <w:rPr>
          <w:color w:val="0B0B0B"/>
          <w:sz w:val="18"/>
        </w:rPr>
        <w:t>u</w:t>
      </w:r>
      <w:r>
        <w:rPr>
          <w:color w:val="0B0B0B"/>
          <w:spacing w:val="-3"/>
          <w:sz w:val="18"/>
        </w:rPr>
        <w:t> </w:t>
      </w:r>
      <w:r>
        <w:rPr>
          <w:color w:val="0B0B0B"/>
          <w:sz w:val="18"/>
        </w:rPr>
        <w:t>obtenido</w:t>
      </w:r>
      <w:r>
        <w:rPr>
          <w:color w:val="0B0B0B"/>
          <w:spacing w:val="-4"/>
          <w:sz w:val="18"/>
        </w:rPr>
        <w:t> </w:t>
      </w:r>
      <w:r>
        <w:rPr>
          <w:color w:val="0B0B0B"/>
          <w:sz w:val="18"/>
        </w:rPr>
        <w:t>con o entre partes independientes en operaciones comparables.</w:t>
      </w:r>
    </w:p>
    <w:p>
      <w:pPr>
        <w:pStyle w:val="ListParagraph"/>
        <w:numPr>
          <w:ilvl w:val="0"/>
          <w:numId w:val="38"/>
        </w:numPr>
        <w:tabs>
          <w:tab w:pos="2664" w:val="left" w:leader="none"/>
        </w:tabs>
        <w:spacing w:line="261" w:lineRule="auto" w:before="97" w:after="0"/>
        <w:ind w:left="2664" w:right="257" w:hanging="504"/>
        <w:jc w:val="both"/>
        <w:rPr>
          <w:sz w:val="18"/>
        </w:rPr>
      </w:pPr>
      <w:r>
        <w:rPr>
          <w:color w:val="0B0B0B"/>
          <w:sz w:val="18"/>
        </w:rPr>
        <w:t>Considerar operaciones o empresas como comparables cuando existen diferencias</w:t>
      </w:r>
      <w:r>
        <w:rPr>
          <w:color w:val="0B0B0B"/>
          <w:spacing w:val="-4"/>
          <w:sz w:val="18"/>
        </w:rPr>
        <w:t> </w:t>
      </w:r>
      <w:r>
        <w:rPr>
          <w:color w:val="0B0B0B"/>
          <w:sz w:val="18"/>
        </w:rPr>
        <w:t>significativas</w:t>
      </w:r>
      <w:r>
        <w:rPr>
          <w:color w:val="0B0B0B"/>
          <w:spacing w:val="-4"/>
          <w:sz w:val="18"/>
        </w:rPr>
        <w:t> </w:t>
      </w:r>
      <w:r>
        <w:rPr>
          <w:color w:val="0B0B0B"/>
          <w:sz w:val="18"/>
        </w:rPr>
        <w:t>entre</w:t>
      </w:r>
      <w:r>
        <w:rPr>
          <w:color w:val="0B0B0B"/>
          <w:spacing w:val="-4"/>
          <w:sz w:val="18"/>
        </w:rPr>
        <w:t> </w:t>
      </w:r>
      <w:r>
        <w:rPr>
          <w:color w:val="0B0B0B"/>
          <w:sz w:val="18"/>
        </w:rPr>
        <w:t>la</w:t>
      </w:r>
      <w:r>
        <w:rPr>
          <w:color w:val="0B0B0B"/>
          <w:spacing w:val="-4"/>
          <w:sz w:val="18"/>
        </w:rPr>
        <w:t> </w:t>
      </w:r>
      <w:r>
        <w:rPr>
          <w:color w:val="0B0B0B"/>
          <w:sz w:val="18"/>
        </w:rPr>
        <w:t>operación</w:t>
      </w:r>
      <w:r>
        <w:rPr>
          <w:color w:val="0B0B0B"/>
          <w:spacing w:val="-3"/>
          <w:sz w:val="18"/>
        </w:rPr>
        <w:t> </w:t>
      </w:r>
      <w:r>
        <w:rPr>
          <w:color w:val="0B0B0B"/>
          <w:sz w:val="18"/>
        </w:rPr>
        <w:t>o</w:t>
      </w:r>
      <w:r>
        <w:rPr>
          <w:color w:val="0B0B0B"/>
          <w:spacing w:val="-4"/>
          <w:sz w:val="18"/>
        </w:rPr>
        <w:t> </w:t>
      </w:r>
      <w:r>
        <w:rPr>
          <w:color w:val="0B0B0B"/>
          <w:sz w:val="18"/>
        </w:rPr>
        <w:t>la</w:t>
      </w:r>
      <w:r>
        <w:rPr>
          <w:color w:val="0B0B0B"/>
          <w:spacing w:val="-4"/>
          <w:sz w:val="18"/>
        </w:rPr>
        <w:t> </w:t>
      </w:r>
      <w:r>
        <w:rPr>
          <w:color w:val="0B0B0B"/>
          <w:sz w:val="18"/>
        </w:rPr>
        <w:t>parte</w:t>
      </w:r>
      <w:r>
        <w:rPr>
          <w:color w:val="0B0B0B"/>
          <w:spacing w:val="-4"/>
          <w:sz w:val="18"/>
        </w:rPr>
        <w:t> </w:t>
      </w:r>
      <w:r>
        <w:rPr>
          <w:color w:val="0B0B0B"/>
          <w:sz w:val="18"/>
        </w:rPr>
        <w:t>analizada</w:t>
      </w:r>
      <w:r>
        <w:rPr>
          <w:color w:val="0B0B0B"/>
          <w:spacing w:val="-3"/>
          <w:sz w:val="18"/>
        </w:rPr>
        <w:t> </w:t>
      </w:r>
      <w:r>
        <w:rPr>
          <w:color w:val="0B0B0B"/>
          <w:sz w:val="18"/>
        </w:rPr>
        <w:t>y</w:t>
      </w:r>
      <w:r>
        <w:rPr>
          <w:color w:val="0B0B0B"/>
          <w:spacing w:val="-4"/>
          <w:sz w:val="18"/>
        </w:rPr>
        <w:t> </w:t>
      </w:r>
      <w:r>
        <w:rPr>
          <w:color w:val="0B0B0B"/>
          <w:sz w:val="18"/>
        </w:rPr>
        <w:t>las</w:t>
      </w:r>
      <w:r>
        <w:rPr>
          <w:color w:val="0B0B0B"/>
          <w:spacing w:val="-4"/>
          <w:sz w:val="18"/>
        </w:rPr>
        <w:t> </w:t>
      </w:r>
      <w:r>
        <w:rPr>
          <w:color w:val="0B0B0B"/>
          <w:sz w:val="18"/>
        </w:rPr>
        <w:t>potenciales operaciones o empresas propuestas como comparables que se determinen o generen a partir de contribuciones únicas y valiosas.</w:t>
      </w:r>
    </w:p>
    <w:p>
      <w:pPr>
        <w:pStyle w:val="ListParagraph"/>
        <w:spacing w:after="0" w:line="261" w:lineRule="auto"/>
        <w:jc w:val="both"/>
        <w:rPr>
          <w:sz w:val="18"/>
        </w:rPr>
        <w:sectPr>
          <w:headerReference w:type="default" r:id="rId38"/>
          <w:pgSz w:w="12240" w:h="15840"/>
          <w:pgMar w:header="690" w:footer="0" w:top="1040" w:bottom="280" w:left="1440" w:right="1440"/>
        </w:sectPr>
      </w:pPr>
    </w:p>
    <w:p>
      <w:pPr>
        <w:pStyle w:val="ListParagraph"/>
        <w:numPr>
          <w:ilvl w:val="0"/>
          <w:numId w:val="38"/>
        </w:numPr>
        <w:tabs>
          <w:tab w:pos="2664" w:val="left" w:leader="none"/>
        </w:tabs>
        <w:spacing w:line="249" w:lineRule="auto" w:before="112" w:after="0"/>
        <w:ind w:left="2664" w:right="258" w:hanging="504"/>
        <w:jc w:val="left"/>
        <w:rPr>
          <w:sz w:val="18"/>
        </w:rPr>
      </w:pPr>
      <w:r>
        <w:rPr>
          <w:color w:val="0B0B0B"/>
          <w:sz w:val="18"/>
        </w:rPr>
        <w:t>Asesorar,</w:t>
      </w:r>
      <w:r>
        <w:rPr>
          <w:color w:val="0B0B0B"/>
          <w:spacing w:val="75"/>
          <w:sz w:val="18"/>
        </w:rPr>
        <w:t> </w:t>
      </w:r>
      <w:r>
        <w:rPr>
          <w:color w:val="0B0B0B"/>
          <w:sz w:val="18"/>
        </w:rPr>
        <w:t>aconsejar,</w:t>
      </w:r>
      <w:r>
        <w:rPr>
          <w:color w:val="0B0B0B"/>
          <w:spacing w:val="75"/>
          <w:sz w:val="18"/>
        </w:rPr>
        <w:t> </w:t>
      </w:r>
      <w:r>
        <w:rPr>
          <w:color w:val="0B0B0B"/>
          <w:sz w:val="18"/>
        </w:rPr>
        <w:t>prestar</w:t>
      </w:r>
      <w:r>
        <w:rPr>
          <w:color w:val="0B0B0B"/>
          <w:spacing w:val="75"/>
          <w:sz w:val="18"/>
        </w:rPr>
        <w:t> </w:t>
      </w:r>
      <w:r>
        <w:rPr>
          <w:color w:val="0B0B0B"/>
          <w:sz w:val="18"/>
        </w:rPr>
        <w:t>servicios</w:t>
      </w:r>
      <w:r>
        <w:rPr>
          <w:color w:val="0B0B0B"/>
          <w:spacing w:val="76"/>
          <w:sz w:val="18"/>
        </w:rPr>
        <w:t> </w:t>
      </w:r>
      <w:r>
        <w:rPr>
          <w:color w:val="0B0B0B"/>
          <w:sz w:val="18"/>
        </w:rPr>
        <w:t>o</w:t>
      </w:r>
      <w:r>
        <w:rPr>
          <w:color w:val="0B0B0B"/>
          <w:spacing w:val="75"/>
          <w:sz w:val="18"/>
        </w:rPr>
        <w:t> </w:t>
      </w:r>
      <w:r>
        <w:rPr>
          <w:color w:val="0B0B0B"/>
          <w:sz w:val="18"/>
        </w:rPr>
        <w:t>participar</w:t>
      </w:r>
      <w:r>
        <w:rPr>
          <w:color w:val="0B0B0B"/>
          <w:spacing w:val="75"/>
          <w:sz w:val="18"/>
        </w:rPr>
        <w:t> </w:t>
      </w:r>
      <w:r>
        <w:rPr>
          <w:color w:val="0B0B0B"/>
          <w:sz w:val="18"/>
        </w:rPr>
        <w:t>en</w:t>
      </w:r>
      <w:r>
        <w:rPr>
          <w:color w:val="0B0B0B"/>
          <w:spacing w:val="75"/>
          <w:sz w:val="18"/>
        </w:rPr>
        <w:t> </w:t>
      </w:r>
      <w:r>
        <w:rPr>
          <w:color w:val="0B0B0B"/>
          <w:sz w:val="18"/>
        </w:rPr>
        <w:t>la</w:t>
      </w:r>
      <w:r>
        <w:rPr>
          <w:color w:val="0B0B0B"/>
          <w:spacing w:val="75"/>
          <w:sz w:val="18"/>
        </w:rPr>
        <w:t> </w:t>
      </w:r>
      <w:r>
        <w:rPr>
          <w:color w:val="0B0B0B"/>
          <w:sz w:val="18"/>
        </w:rPr>
        <w:t>realización</w:t>
      </w:r>
      <w:r>
        <w:rPr>
          <w:color w:val="0B0B0B"/>
          <w:spacing w:val="75"/>
          <w:sz w:val="18"/>
        </w:rPr>
        <w:t> </w:t>
      </w:r>
      <w:r>
        <w:rPr>
          <w:color w:val="0B0B0B"/>
          <w:sz w:val="18"/>
        </w:rPr>
        <w:t>o</w:t>
      </w:r>
      <w:r>
        <w:rPr>
          <w:color w:val="0B0B0B"/>
          <w:spacing w:val="75"/>
          <w:sz w:val="18"/>
        </w:rPr>
        <w:t> </w:t>
      </w:r>
      <w:r>
        <w:rPr>
          <w:color w:val="0B0B0B"/>
          <w:sz w:val="18"/>
        </w:rPr>
        <w:t>la implementación de la práctica anterior.</w:t>
      </w:r>
    </w:p>
    <w:p>
      <w:pPr>
        <w:pStyle w:val="BodyText"/>
        <w:spacing w:before="6" w:after="1"/>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06" w:hRule="atLeast"/>
        </w:trPr>
        <w:tc>
          <w:tcPr>
            <w:tcW w:w="2760"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26" w:hRule="atLeast"/>
        </w:trPr>
        <w:tc>
          <w:tcPr>
            <w:tcW w:w="2760" w:type="dxa"/>
            <w:tcBorders>
              <w:bottom w:val="nil"/>
            </w:tcBorders>
          </w:tcPr>
          <w:p>
            <w:pPr>
              <w:pStyle w:val="TableParagraph"/>
              <w:tabs>
                <w:tab w:pos="1075" w:val="left" w:leader="none"/>
                <w:tab w:pos="2449" w:val="left" w:leader="none"/>
              </w:tabs>
              <w:spacing w:line="184" w:lineRule="exact" w:before="22"/>
              <w:ind w:left="12"/>
              <w:jc w:val="center"/>
              <w:rPr>
                <w:sz w:val="16"/>
              </w:rPr>
            </w:pP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5"/>
                <w:sz w:val="16"/>
              </w:rPr>
              <w:t>de</w:t>
            </w:r>
          </w:p>
        </w:tc>
        <w:tc>
          <w:tcPr>
            <w:tcW w:w="4126" w:type="dxa"/>
            <w:tcBorders>
              <w:bottom w:val="nil"/>
            </w:tcBorders>
          </w:tcPr>
          <w:p>
            <w:pPr>
              <w:pStyle w:val="TableParagraph"/>
              <w:spacing w:line="184" w:lineRule="exact" w:before="22"/>
              <w:rPr>
                <w:sz w:val="16"/>
              </w:rPr>
            </w:pPr>
            <w:r>
              <w:rPr>
                <w:color w:val="0B0B0B"/>
                <w:sz w:val="16"/>
              </w:rPr>
              <w:t>Publicada</w:t>
            </w:r>
            <w:r>
              <w:rPr>
                <w:color w:val="0B0B0B"/>
                <w:spacing w:val="43"/>
                <w:sz w:val="16"/>
              </w:rPr>
              <w:t> </w:t>
            </w:r>
            <w:r>
              <w:rPr>
                <w:color w:val="0B0B0B"/>
                <w:sz w:val="16"/>
              </w:rPr>
              <w:t>en</w:t>
            </w:r>
            <w:r>
              <w:rPr>
                <w:color w:val="0B0B0B"/>
                <w:spacing w:val="44"/>
                <w:sz w:val="16"/>
              </w:rPr>
              <w:t> </w:t>
            </w:r>
            <w:r>
              <w:rPr>
                <w:color w:val="0B0B0B"/>
                <w:sz w:val="16"/>
              </w:rPr>
              <w:t>el</w:t>
            </w:r>
            <w:r>
              <w:rPr>
                <w:color w:val="0B0B0B"/>
                <w:spacing w:val="44"/>
                <w:sz w:val="16"/>
              </w:rPr>
              <w:t> </w:t>
            </w:r>
            <w:r>
              <w:rPr>
                <w:color w:val="0B0B0B"/>
                <w:sz w:val="16"/>
              </w:rPr>
              <w:t>DOF</w:t>
            </w:r>
            <w:r>
              <w:rPr>
                <w:color w:val="0B0B0B"/>
                <w:spacing w:val="44"/>
                <w:sz w:val="16"/>
              </w:rPr>
              <w:t> </w:t>
            </w:r>
            <w:r>
              <w:rPr>
                <w:color w:val="0B0B0B"/>
                <w:sz w:val="16"/>
              </w:rPr>
              <w:t>el</w:t>
            </w:r>
            <w:r>
              <w:rPr>
                <w:color w:val="0B0B0B"/>
                <w:spacing w:val="44"/>
                <w:sz w:val="16"/>
              </w:rPr>
              <w:t> </w:t>
            </w:r>
            <w:r>
              <w:rPr>
                <w:color w:val="0B0B0B"/>
                <w:sz w:val="16"/>
              </w:rPr>
              <w:t>30</w:t>
            </w:r>
            <w:r>
              <w:rPr>
                <w:color w:val="0B0B0B"/>
                <w:spacing w:val="44"/>
                <w:sz w:val="16"/>
              </w:rPr>
              <w:t> </w:t>
            </w:r>
            <w:r>
              <w:rPr>
                <w:color w:val="0B0B0B"/>
                <w:sz w:val="16"/>
              </w:rPr>
              <w:t>de</w:t>
            </w:r>
            <w:r>
              <w:rPr>
                <w:color w:val="0B0B0B"/>
                <w:spacing w:val="45"/>
                <w:sz w:val="16"/>
              </w:rPr>
              <w:t> </w:t>
            </w:r>
            <w:r>
              <w:rPr>
                <w:color w:val="0B0B0B"/>
                <w:sz w:val="16"/>
              </w:rPr>
              <w:t>noviembre</w:t>
            </w:r>
            <w:r>
              <w:rPr>
                <w:color w:val="0B0B0B"/>
                <w:spacing w:val="44"/>
                <w:sz w:val="16"/>
              </w:rPr>
              <w:t> </w:t>
            </w:r>
            <w:r>
              <w:rPr>
                <w:color w:val="0B0B0B"/>
                <w:sz w:val="16"/>
              </w:rPr>
              <w:t>de</w:t>
            </w:r>
            <w:r>
              <w:rPr>
                <w:color w:val="0B0B0B"/>
                <w:spacing w:val="45"/>
                <w:sz w:val="16"/>
              </w:rPr>
              <w:t> </w:t>
            </w:r>
            <w:r>
              <w:rPr>
                <w:color w:val="0B0B0B"/>
                <w:spacing w:val="-2"/>
                <w:sz w:val="16"/>
              </w:rPr>
              <w:t>2018,</w:t>
            </w:r>
          </w:p>
        </w:tc>
      </w:tr>
      <w:tr>
        <w:trPr>
          <w:trHeight w:val="216" w:hRule="atLeast"/>
        </w:trPr>
        <w:tc>
          <w:tcPr>
            <w:tcW w:w="2760" w:type="dxa"/>
            <w:tcBorders>
              <w:top w:val="nil"/>
              <w:bottom w:val="nil"/>
            </w:tcBorders>
          </w:tcPr>
          <w:p>
            <w:pPr>
              <w:pStyle w:val="TableParagraph"/>
              <w:spacing w:line="184" w:lineRule="exact" w:before="12"/>
              <w:ind w:left="13" w:right="97"/>
              <w:jc w:val="center"/>
              <w:rPr>
                <w:sz w:val="16"/>
              </w:rPr>
            </w:pPr>
            <w:r>
              <w:rPr>
                <w:color w:val="0B0B0B"/>
                <w:sz w:val="16"/>
              </w:rPr>
              <w:t>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2018</w:t>
            </w:r>
          </w:p>
        </w:tc>
        <w:tc>
          <w:tcPr>
            <w:tcW w:w="4126" w:type="dxa"/>
            <w:tcBorders>
              <w:top w:val="nil"/>
              <w:bottom w:val="nil"/>
            </w:tcBorders>
          </w:tcPr>
          <w:p>
            <w:pPr>
              <w:pStyle w:val="TableParagraph"/>
              <w:spacing w:line="184" w:lineRule="exact" w:before="12"/>
              <w:rPr>
                <w:sz w:val="16"/>
              </w:rPr>
            </w:pPr>
            <w:r>
              <w:rPr>
                <w:color w:val="0B0B0B"/>
                <w:sz w:val="16"/>
              </w:rPr>
              <w:t>Anexo</w:t>
            </w:r>
            <w:r>
              <w:rPr>
                <w:color w:val="0B0B0B"/>
                <w:spacing w:val="76"/>
                <w:sz w:val="16"/>
              </w:rPr>
              <w:t> </w:t>
            </w:r>
            <w:r>
              <w:rPr>
                <w:color w:val="0B0B0B"/>
                <w:sz w:val="16"/>
              </w:rPr>
              <w:t>3,</w:t>
            </w:r>
            <w:r>
              <w:rPr>
                <w:color w:val="0B0B0B"/>
                <w:spacing w:val="75"/>
                <w:sz w:val="16"/>
              </w:rPr>
              <w:t> </w:t>
            </w:r>
            <w:r>
              <w:rPr>
                <w:color w:val="0B0B0B"/>
                <w:sz w:val="16"/>
              </w:rPr>
              <w:t>publicado</w:t>
            </w:r>
            <w:r>
              <w:rPr>
                <w:color w:val="0B0B0B"/>
                <w:spacing w:val="75"/>
                <w:sz w:val="16"/>
              </w:rPr>
              <w:t> </w:t>
            </w:r>
            <w:r>
              <w:rPr>
                <w:color w:val="0B0B0B"/>
                <w:sz w:val="16"/>
              </w:rPr>
              <w:t>en</w:t>
            </w:r>
            <w:r>
              <w:rPr>
                <w:color w:val="0B0B0B"/>
                <w:spacing w:val="75"/>
                <w:sz w:val="16"/>
              </w:rPr>
              <w:t> </w:t>
            </w:r>
            <w:r>
              <w:rPr>
                <w:color w:val="0B0B0B"/>
                <w:sz w:val="16"/>
              </w:rPr>
              <w:t>el</w:t>
            </w:r>
            <w:r>
              <w:rPr>
                <w:color w:val="0B0B0B"/>
                <w:spacing w:val="76"/>
                <w:sz w:val="16"/>
              </w:rPr>
              <w:t> </w:t>
            </w:r>
            <w:r>
              <w:rPr>
                <w:color w:val="0B0B0B"/>
                <w:sz w:val="16"/>
              </w:rPr>
              <w:t>DOF</w:t>
            </w:r>
            <w:r>
              <w:rPr>
                <w:color w:val="0B0B0B"/>
                <w:spacing w:val="75"/>
                <w:sz w:val="16"/>
              </w:rPr>
              <w:t> </w:t>
            </w:r>
            <w:r>
              <w:rPr>
                <w:color w:val="0B0B0B"/>
                <w:sz w:val="16"/>
              </w:rPr>
              <w:t>el</w:t>
            </w:r>
            <w:r>
              <w:rPr>
                <w:color w:val="0B0B0B"/>
                <w:spacing w:val="75"/>
                <w:sz w:val="16"/>
              </w:rPr>
              <w:t> </w:t>
            </w:r>
            <w:r>
              <w:rPr>
                <w:color w:val="0B0B0B"/>
                <w:sz w:val="16"/>
              </w:rPr>
              <w:t>mismo</w:t>
            </w:r>
            <w:r>
              <w:rPr>
                <w:color w:val="0B0B0B"/>
                <w:spacing w:val="77"/>
                <w:sz w:val="16"/>
              </w:rPr>
              <w:t> </w:t>
            </w:r>
            <w:r>
              <w:rPr>
                <w:color w:val="0B0B0B"/>
                <w:sz w:val="16"/>
              </w:rPr>
              <w:t>30</w:t>
            </w:r>
            <w:r>
              <w:rPr>
                <w:color w:val="0B0B0B"/>
                <w:spacing w:val="75"/>
                <w:sz w:val="16"/>
              </w:rPr>
              <w:t> </w:t>
            </w:r>
            <w:r>
              <w:rPr>
                <w:color w:val="0B0B0B"/>
                <w:spacing w:val="-5"/>
                <w:sz w:val="16"/>
              </w:rPr>
              <w:t>de</w:t>
            </w:r>
          </w:p>
        </w:tc>
      </w:tr>
      <w:tr>
        <w:trPr>
          <w:trHeight w:val="295" w:hRule="atLeast"/>
        </w:trPr>
        <w:tc>
          <w:tcPr>
            <w:tcW w:w="2760" w:type="dxa"/>
            <w:tcBorders>
              <w:top w:val="nil"/>
            </w:tcBorders>
          </w:tcPr>
          <w:p>
            <w:pPr>
              <w:pStyle w:val="TableParagraph"/>
              <w:spacing w:before="0"/>
              <w:ind w:left="0"/>
              <w:rPr>
                <w:rFonts w:ascii="Times New Roman"/>
                <w:sz w:val="16"/>
              </w:rPr>
            </w:pPr>
          </w:p>
        </w:tc>
        <w:tc>
          <w:tcPr>
            <w:tcW w:w="4126" w:type="dxa"/>
            <w:tcBorders>
              <w:top w:val="nil"/>
            </w:tcBorders>
          </w:tcPr>
          <w:p>
            <w:pPr>
              <w:pStyle w:val="TableParagraph"/>
              <w:spacing w:before="12"/>
              <w:rPr>
                <w:sz w:val="16"/>
              </w:rPr>
            </w:pPr>
            <w:r>
              <w:rPr>
                <w:color w:val="0B0B0B"/>
                <w:sz w:val="16"/>
              </w:rPr>
              <w:t>noviembre</w:t>
            </w:r>
            <w:r>
              <w:rPr>
                <w:color w:val="0B0B0B"/>
                <w:spacing w:val="-5"/>
                <w:sz w:val="16"/>
              </w:rPr>
              <w:t> </w:t>
            </w:r>
            <w:r>
              <w:rPr>
                <w:color w:val="0B0B0B"/>
                <w:sz w:val="16"/>
              </w:rPr>
              <w:t>de</w:t>
            </w:r>
            <w:r>
              <w:rPr>
                <w:color w:val="0B0B0B"/>
                <w:spacing w:val="-5"/>
                <w:sz w:val="16"/>
              </w:rPr>
              <w:t> </w:t>
            </w:r>
            <w:r>
              <w:rPr>
                <w:color w:val="0B0B0B"/>
                <w:spacing w:val="-2"/>
                <w:sz w:val="16"/>
              </w:rPr>
              <w:t>2018.</w:t>
            </w:r>
          </w:p>
        </w:tc>
      </w:tr>
    </w:tbl>
    <w:p>
      <w:pPr>
        <w:pStyle w:val="BodyText"/>
        <w:spacing w:before="104"/>
        <w:ind w:left="0"/>
        <w:jc w:val="left"/>
      </w:pPr>
    </w:p>
    <w:p>
      <w:pPr>
        <w:pStyle w:val="Heading1"/>
        <w:tabs>
          <w:tab w:pos="2145" w:val="left" w:leader="none"/>
        </w:tabs>
        <w:spacing w:line="249" w:lineRule="auto"/>
        <w:ind w:right="257" w:hanging="1009"/>
      </w:pPr>
      <w:r>
        <w:rPr>
          <w:color w:val="0B0B0B"/>
          <w:spacing w:val="-2"/>
        </w:rPr>
        <w:t>34/ISR/PI</w:t>
      </w:r>
      <w:r>
        <w:rPr>
          <w:color w:val="0B0B0B"/>
        </w:rPr>
        <w:tab/>
        <w:t>Modificaciones al</w:t>
      </w:r>
      <w:r>
        <w:rPr>
          <w:color w:val="0B0B0B"/>
          <w:spacing w:val="25"/>
        </w:rPr>
        <w:t> </w:t>
      </w:r>
      <w:r>
        <w:rPr>
          <w:color w:val="0B0B0B"/>
        </w:rPr>
        <w:t>valor de</w:t>
      </w:r>
      <w:r>
        <w:rPr>
          <w:color w:val="0B0B0B"/>
          <w:spacing w:val="23"/>
        </w:rPr>
        <w:t> </w:t>
      </w:r>
      <w:r>
        <w:rPr>
          <w:color w:val="0B0B0B"/>
        </w:rPr>
        <w:t>las operaciones</w:t>
      </w:r>
      <w:r>
        <w:rPr>
          <w:color w:val="0B0B0B"/>
          <w:spacing w:val="24"/>
        </w:rPr>
        <w:t> </w:t>
      </w:r>
      <w:r>
        <w:rPr>
          <w:color w:val="0B0B0B"/>
        </w:rPr>
        <w:t>con partes relacionadas dentro del rango intercuartil.</w:t>
      </w:r>
    </w:p>
    <w:p>
      <w:pPr>
        <w:pStyle w:val="BodyText"/>
        <w:spacing w:line="249" w:lineRule="auto" w:before="92"/>
        <w:ind w:right="257"/>
      </w:pPr>
      <w:r>
        <w:rPr>
          <w:color w:val="0B0B0B"/>
        </w:rPr>
        <w:t>En el artículo 180, fracciones I a VI de la Ley del ISR, se establecen los métodos que los contribuyentes que celebren operaciones con partes relacionadas deberán aplicar para determinar sus ingresos acumulables, y deducciones autorizadas, considerando para esas operaciones los precios, montos de contraprestaciones o márgenes de utilidad que hubieran utilizado u obtenido con o entre partes independientes en operaciones comparables. En el segundo párrafo de dicho artículo se indica que de la aplicación de alguno de los métodos se podrá obtener un rango de precios, de montos de las contraprestaciones o de márgenes de utilidad, cuando existan dos o más operaciones comparables, los cuales se ajustarán mediante la aplicación del método intercuartil establecido en el Reglamento de Ley del ISR, del método acordado en el marco de un procedimiento amistoso señalado en los tratados para evitar la doble tributación de los que México es parte o del método autorizado conforme a las reglas de carácter general que al efecto expida el SAT y que si el precio, monto de la contraprestación o margen de utilidad del contribuyente se encuentra dentro de estos rangos, dichos precios, montos o márgenes se considerarán como pactados o utilizados entre partes independientes, pero que en caso de que el contribuyente se encuentre fuera del rango ajustado, se considerará que el precio o monto de la contraprestación que hubieran utilizado partes independientes es la mediana de dicho rango (ajuste de precios de transferencia).</w:t>
      </w:r>
    </w:p>
    <w:p>
      <w:pPr>
        <w:pStyle w:val="BodyText"/>
        <w:spacing w:line="249" w:lineRule="auto" w:before="104"/>
        <w:ind w:right="258"/>
      </w:pPr>
      <w:r>
        <w:rPr>
          <w:color w:val="0B0B0B"/>
        </w:rPr>
        <w:t>Por</w:t>
      </w:r>
      <w:r>
        <w:rPr>
          <w:color w:val="0B0B0B"/>
          <w:spacing w:val="-2"/>
        </w:rPr>
        <w:t> </w:t>
      </w:r>
      <w:r>
        <w:rPr>
          <w:color w:val="0B0B0B"/>
        </w:rPr>
        <w:t>su</w:t>
      </w:r>
      <w:r>
        <w:rPr>
          <w:color w:val="0B0B0B"/>
          <w:spacing w:val="-2"/>
        </w:rPr>
        <w:t> </w:t>
      </w:r>
      <w:r>
        <w:rPr>
          <w:color w:val="0B0B0B"/>
        </w:rPr>
        <w:t>parte,</w:t>
      </w:r>
      <w:r>
        <w:rPr>
          <w:color w:val="0B0B0B"/>
          <w:spacing w:val="-2"/>
        </w:rPr>
        <w:t> </w:t>
      </w:r>
      <w:r>
        <w:rPr>
          <w:color w:val="0B0B0B"/>
        </w:rPr>
        <w:t>el</w:t>
      </w:r>
      <w:r>
        <w:rPr>
          <w:color w:val="0B0B0B"/>
          <w:spacing w:val="-1"/>
        </w:rPr>
        <w:t> </w:t>
      </w:r>
      <w:r>
        <w:rPr>
          <w:color w:val="0B0B0B"/>
        </w:rPr>
        <w:t>artículo</w:t>
      </w:r>
      <w:r>
        <w:rPr>
          <w:color w:val="0B0B0B"/>
          <w:spacing w:val="-2"/>
        </w:rPr>
        <w:t> </w:t>
      </w:r>
      <w:r>
        <w:rPr>
          <w:color w:val="0B0B0B"/>
        </w:rPr>
        <w:t>302,</w:t>
      </w:r>
      <w:r>
        <w:rPr>
          <w:color w:val="0B0B0B"/>
          <w:spacing w:val="-2"/>
        </w:rPr>
        <w:t> </w:t>
      </w:r>
      <w:r>
        <w:rPr>
          <w:color w:val="0B0B0B"/>
        </w:rPr>
        <w:t>segundo</w:t>
      </w:r>
      <w:r>
        <w:rPr>
          <w:color w:val="0B0B0B"/>
          <w:spacing w:val="-2"/>
        </w:rPr>
        <w:t> </w:t>
      </w:r>
      <w:r>
        <w:rPr>
          <w:color w:val="0B0B0B"/>
        </w:rPr>
        <w:t>párrafo</w:t>
      </w:r>
      <w:r>
        <w:rPr>
          <w:color w:val="0B0B0B"/>
          <w:spacing w:val="-1"/>
        </w:rPr>
        <w:t> </w:t>
      </w:r>
      <w:r>
        <w:rPr>
          <w:color w:val="0B0B0B"/>
        </w:rPr>
        <w:t>del</w:t>
      </w:r>
      <w:r>
        <w:rPr>
          <w:color w:val="0B0B0B"/>
          <w:spacing w:val="-2"/>
        </w:rPr>
        <w:t> </w:t>
      </w:r>
      <w:r>
        <w:rPr>
          <w:color w:val="0B0B0B"/>
        </w:rPr>
        <w:t>Reglamento</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1"/>
        </w:rPr>
        <w:t> </w:t>
      </w:r>
      <w:r>
        <w:rPr>
          <w:color w:val="0B0B0B"/>
        </w:rPr>
        <w:t>del</w:t>
      </w:r>
      <w:r>
        <w:rPr>
          <w:color w:val="0B0B0B"/>
          <w:spacing w:val="-2"/>
        </w:rPr>
        <w:t> </w:t>
      </w:r>
      <w:r>
        <w:rPr>
          <w:color w:val="0B0B0B"/>
        </w:rPr>
        <w:t>ISR</w:t>
      </w:r>
      <w:r>
        <w:rPr>
          <w:color w:val="0B0B0B"/>
          <w:spacing w:val="-2"/>
        </w:rPr>
        <w:t> </w:t>
      </w:r>
      <w:r>
        <w:rPr>
          <w:color w:val="0B0B0B"/>
        </w:rPr>
        <w:t>señala que si los precios, montos de contraprestaciones o márgenes de utilidad del contribuyente se encuentran entre el límite inferior y superior a que se refiere el</w:t>
      </w:r>
      <w:r>
        <w:rPr>
          <w:color w:val="0B0B0B"/>
          <w:spacing w:val="40"/>
        </w:rPr>
        <w:t> </w:t>
      </w:r>
      <w:r>
        <w:rPr>
          <w:color w:val="0B0B0B"/>
        </w:rPr>
        <w:t>método intercuartil, se considerarán como pactados o utilizados entre partes </w:t>
      </w:r>
      <w:r>
        <w:rPr>
          <w:color w:val="0B0B0B"/>
          <w:spacing w:val="-2"/>
        </w:rPr>
        <w:t>independientes.</w:t>
      </w:r>
    </w:p>
    <w:p>
      <w:pPr>
        <w:pStyle w:val="BodyText"/>
        <w:spacing w:line="249" w:lineRule="auto" w:before="93"/>
        <w:ind w:right="257"/>
      </w:pPr>
      <w:r>
        <w:rPr>
          <w:color w:val="0B0B0B"/>
        </w:rPr>
        <w:t>Conforme a lo anterior se desprende que, cuando existan dos o más operaciones comparables, un ajuste de precios de transferencia es procedente solamente para modificar los precios, montos</w:t>
      </w:r>
      <w:r>
        <w:rPr>
          <w:color w:val="0B0B0B"/>
        </w:rPr>
        <w:t> de contraprestaciones o márgenes de utilidad en operaciones celebradas por el contribuyente con sus partes relacionadas, cuando dichos precios, montos de contraprestaciones o márgenes de utilidad, se encuentren fuera</w:t>
      </w:r>
      <w:r>
        <w:rPr>
          <w:color w:val="0B0B0B"/>
          <w:spacing w:val="-2"/>
        </w:rPr>
        <w:t> </w:t>
      </w:r>
      <w:r>
        <w:rPr>
          <w:color w:val="0B0B0B"/>
        </w:rPr>
        <w:t>del</w:t>
      </w:r>
      <w:r>
        <w:rPr>
          <w:color w:val="0B0B0B"/>
          <w:spacing w:val="-3"/>
        </w:rPr>
        <w:t> </w:t>
      </w:r>
      <w:r>
        <w:rPr>
          <w:color w:val="0B0B0B"/>
        </w:rPr>
        <w:t>rango</w:t>
      </w:r>
      <w:r>
        <w:rPr>
          <w:color w:val="0B0B0B"/>
          <w:spacing w:val="-2"/>
        </w:rPr>
        <w:t> </w:t>
      </w:r>
      <w:r>
        <w:rPr>
          <w:color w:val="0B0B0B"/>
        </w:rPr>
        <w:t>ajustado</w:t>
      </w:r>
      <w:r>
        <w:rPr>
          <w:color w:val="0B0B0B"/>
          <w:spacing w:val="-3"/>
        </w:rPr>
        <w:t> </w:t>
      </w:r>
      <w:r>
        <w:rPr>
          <w:color w:val="0B0B0B"/>
        </w:rPr>
        <w:t>mediante</w:t>
      </w:r>
      <w:r>
        <w:rPr>
          <w:color w:val="0B0B0B"/>
          <w:spacing w:val="-2"/>
        </w:rPr>
        <w:t> </w:t>
      </w:r>
      <w:r>
        <w:rPr>
          <w:color w:val="0B0B0B"/>
        </w:rPr>
        <w:t>la</w:t>
      </w:r>
      <w:r>
        <w:rPr>
          <w:color w:val="0B0B0B"/>
          <w:spacing w:val="-2"/>
        </w:rPr>
        <w:t> </w:t>
      </w:r>
      <w:r>
        <w:rPr>
          <w:color w:val="0B0B0B"/>
        </w:rPr>
        <w:t>aplicación</w:t>
      </w:r>
      <w:r>
        <w:rPr>
          <w:color w:val="0B0B0B"/>
          <w:spacing w:val="-2"/>
        </w:rPr>
        <w:t> </w:t>
      </w:r>
      <w:r>
        <w:rPr>
          <w:color w:val="0B0B0B"/>
        </w:rPr>
        <w:t>del</w:t>
      </w:r>
      <w:r>
        <w:rPr>
          <w:color w:val="0B0B0B"/>
          <w:spacing w:val="-2"/>
        </w:rPr>
        <w:t> </w:t>
      </w:r>
      <w:r>
        <w:rPr>
          <w:color w:val="0B0B0B"/>
        </w:rPr>
        <w:t>método</w:t>
      </w:r>
      <w:r>
        <w:rPr>
          <w:color w:val="0B0B0B"/>
          <w:spacing w:val="-1"/>
        </w:rPr>
        <w:t> </w:t>
      </w:r>
      <w:r>
        <w:rPr>
          <w:color w:val="0B0B0B"/>
        </w:rPr>
        <w:t>intercuartil</w:t>
      </w:r>
      <w:r>
        <w:rPr>
          <w:color w:val="0B0B0B"/>
          <w:spacing w:val="-3"/>
        </w:rPr>
        <w:t> </w:t>
      </w:r>
      <w:r>
        <w:rPr>
          <w:color w:val="0B0B0B"/>
        </w:rPr>
        <w:t>correspondiente a operaciones comparables, realizando el ajuste a la mediana de dicho rango; por lo que no es procedente modificar dichos precios,</w:t>
      </w:r>
      <w:r>
        <w:rPr>
          <w:color w:val="0B0B0B"/>
        </w:rPr>
        <w:t> montos</w:t>
      </w:r>
      <w:r>
        <w:rPr>
          <w:color w:val="0B0B0B"/>
        </w:rPr>
        <w:t> de contraprestaciones o márgenes de utilidad, cuando estos ya se encuentren dentro del rango ajustado con el método intercuartil correspondiente a operaciones comparables, ya que dicha modificación no tiene por finalidad dar cumplimiento a las disposiciones fiscales aplicables, sino obtener un beneficio fiscal indebido al aumentar</w:t>
      </w:r>
      <w:r>
        <w:rPr>
          <w:color w:val="0B0B0B"/>
        </w:rPr>
        <w:t> deducciones o disminuir ingresos del contribuyente residente en territorio nacional.</w:t>
      </w:r>
    </w:p>
    <w:p>
      <w:pPr>
        <w:pStyle w:val="BodyText"/>
        <w:spacing w:line="249" w:lineRule="auto" w:before="100"/>
        <w:ind w:right="255"/>
      </w:pPr>
      <w:r>
        <w:rPr>
          <w:color w:val="0B0B0B"/>
        </w:rPr>
        <w:t>De lo anterior, se desprende que no existe fundamento legal para llevar a cabo alguna modificación adicional a los precios, montos de las contraprestaciones o márgenes de utilidad que genere un beneficio fiscal indebido, cuando se encuentren dentro del</w:t>
      </w:r>
      <w:r>
        <w:rPr>
          <w:color w:val="0B0B0B"/>
          <w:spacing w:val="40"/>
        </w:rPr>
        <w:t> </w:t>
      </w:r>
      <w:r>
        <w:rPr>
          <w:color w:val="0B0B0B"/>
        </w:rPr>
        <w:t>rango ajustado obtenido con el método intercuartil, es decir, dentro del límite inferior y superior a que se refiere el método antes señalado.</w:t>
      </w:r>
    </w:p>
    <w:p>
      <w:pPr>
        <w:pStyle w:val="BodyText"/>
        <w:spacing w:line="249" w:lineRule="auto" w:before="94"/>
        <w:ind w:right="258"/>
      </w:pPr>
      <w:r>
        <w:rPr>
          <w:color w:val="0B0B0B"/>
        </w:rPr>
        <w:t>Por contraparte, el ajuste a los precios de transferencia a que se refiere la regla 3.9.1.1., únicamente es aplicable cuando los precios, montos de contraprestaciones o márgenes de utilidad ya ajustados mediante la aplicación del método intercuartil,</w:t>
      </w:r>
      <w:r>
        <w:rPr>
          <w:color w:val="0B0B0B"/>
        </w:rPr>
        <w:t> se encuentren fuera del rango a que se refiere el artículo 180, segundo párrafo de la Ley del ISR o, lo que es lo mismo, fuera del límite inferior y superior a que se refiere el método intercuartil, establecido en el artículo 180 de la Ley del ISR, en relación con el 302 de su Reglamento.</w:t>
      </w:r>
    </w:p>
    <w:p>
      <w:pPr>
        <w:pStyle w:val="BodyText"/>
        <w:spacing w:after="0" w:line="249" w:lineRule="auto"/>
        <w:sectPr>
          <w:headerReference w:type="default" r:id="rId39"/>
          <w:pgSz w:w="12240" w:h="15840"/>
          <w:pgMar w:header="690" w:footer="0" w:top="1040" w:bottom="280" w:left="1440" w:right="1440"/>
        </w:sectPr>
      </w:pPr>
    </w:p>
    <w:p>
      <w:pPr>
        <w:pStyle w:val="BodyText"/>
        <w:spacing w:line="252" w:lineRule="auto" w:before="113"/>
        <w:ind w:right="256"/>
      </w:pPr>
      <w:r>
        <w:rPr>
          <w:color w:val="0B0B0B"/>
        </w:rPr>
        <w:t>El ajuste de precios de trasferencia también se considera procedente cuando es reconocido por las autoridades fiscales como el resultado de una consulta relativa a la metodología utilizada en la determinación de los precios o montos de las contraprestaciones en operaciones con partes relacionadas conforme al artículo 34-A del CFF o de acuerdos entre autoridades competentes bajo el marco de los tratados internacionales aplicables, es decir, en términos de resoluciones particulares.</w:t>
      </w:r>
    </w:p>
    <w:p>
      <w:pPr>
        <w:pStyle w:val="BodyText"/>
        <w:spacing w:before="105"/>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5"/>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8"/>
        </w:rPr>
        <w:t> </w:t>
      </w:r>
      <w:r>
        <w:rPr>
          <w:color w:val="0B0B0B"/>
        </w:rPr>
        <w:t>indebida</w:t>
      </w:r>
      <w:r>
        <w:rPr>
          <w:color w:val="0B0B0B"/>
          <w:spacing w:val="-7"/>
        </w:rPr>
        <w:t> </w:t>
      </w:r>
      <w:r>
        <w:rPr>
          <w:color w:val="0B0B0B"/>
        </w:rPr>
        <w:t>para</w:t>
      </w:r>
      <w:r>
        <w:rPr>
          <w:color w:val="0B0B0B"/>
          <w:spacing w:val="-8"/>
        </w:rPr>
        <w:t> </w:t>
      </w:r>
      <w:r>
        <w:rPr>
          <w:color w:val="0B0B0B"/>
        </w:rPr>
        <w:t>los</w:t>
      </w:r>
      <w:r>
        <w:rPr>
          <w:color w:val="0B0B0B"/>
          <w:spacing w:val="-7"/>
        </w:rPr>
        <w:t> </w:t>
      </w:r>
      <w:r>
        <w:rPr>
          <w:color w:val="0B0B0B"/>
          <w:spacing w:val="-2"/>
        </w:rPr>
        <w:t>contribuyentes:</w:t>
      </w:r>
    </w:p>
    <w:p>
      <w:pPr>
        <w:pStyle w:val="ListParagraph"/>
        <w:numPr>
          <w:ilvl w:val="0"/>
          <w:numId w:val="39"/>
        </w:numPr>
        <w:tabs>
          <w:tab w:pos="2664" w:val="left" w:leader="none"/>
        </w:tabs>
        <w:spacing w:line="252" w:lineRule="auto" w:before="112" w:after="0"/>
        <w:ind w:left="2664" w:right="257" w:hanging="504"/>
        <w:jc w:val="both"/>
        <w:rPr>
          <w:sz w:val="18"/>
        </w:rPr>
      </w:pPr>
      <w:r>
        <w:rPr>
          <w:color w:val="0B0B0B"/>
          <w:sz w:val="18"/>
        </w:rPr>
        <w:t>Realizar cualquier modificación a los precios, montos</w:t>
      </w:r>
      <w:r>
        <w:rPr>
          <w:color w:val="0B0B0B"/>
          <w:sz w:val="18"/>
        </w:rPr>
        <w:t> de contraprestaciones o márgenes de utilidad correspondientes</w:t>
      </w:r>
      <w:r>
        <w:rPr>
          <w:color w:val="0B0B0B"/>
          <w:sz w:val="18"/>
        </w:rPr>
        <w:t> a las operaciones celebradas por el contribuyente con partes relacionadas, cuando estos ya se encuentran dentro del rango ajustado con el método intercuartil correspondiente a operaciones comparables, es decir, cuando se encuentren entre el límite inferior y superior del rango referido, ya que dicha modificación no tiene por</w:t>
      </w:r>
      <w:r>
        <w:rPr>
          <w:color w:val="0B0B0B"/>
          <w:sz w:val="18"/>
        </w:rPr>
        <w:t> finalidad dar cumplimiento a las disposiciones fiscales aplicables, sino obtener un beneficio fiscal indebido al aumentar deducciones o disminuir ingresos del contribuyente.</w:t>
      </w:r>
    </w:p>
    <w:p>
      <w:pPr>
        <w:pStyle w:val="ListParagraph"/>
        <w:numPr>
          <w:ilvl w:val="0"/>
          <w:numId w:val="39"/>
        </w:numPr>
        <w:tabs>
          <w:tab w:pos="2664" w:val="left" w:leader="none"/>
        </w:tabs>
        <w:spacing w:line="254" w:lineRule="auto" w:before="105" w:after="0"/>
        <w:ind w:left="2664" w:right="258" w:hanging="504"/>
        <w:jc w:val="both"/>
        <w:rPr>
          <w:sz w:val="18"/>
        </w:rPr>
      </w:pPr>
      <w:r>
        <w:rPr>
          <w:color w:val="0B0B0B"/>
          <w:sz w:val="18"/>
        </w:rPr>
        <w:t>Asesorar, aconsejar, prestar servicios o participar en la realización o la implementación de la práctica anterior.</w:t>
      </w:r>
    </w:p>
    <w:p>
      <w:pPr>
        <w:pStyle w:val="BodyText"/>
        <w:spacing w:before="2"/>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912"/>
      </w:tblGrid>
      <w:tr>
        <w:trPr>
          <w:trHeight w:val="318" w:hRule="atLeast"/>
        </w:trPr>
        <w:tc>
          <w:tcPr>
            <w:tcW w:w="2974" w:type="dxa"/>
            <w:shd w:val="clear" w:color="auto" w:fill="BDBDBD"/>
          </w:tcPr>
          <w:p>
            <w:pPr>
              <w:pStyle w:val="TableParagraph"/>
              <w:ind w:left="12"/>
              <w:jc w:val="center"/>
              <w:rPr>
                <w:rFonts w:ascii="Arial"/>
                <w:b/>
                <w:sz w:val="16"/>
              </w:rPr>
            </w:pPr>
            <w:r>
              <w:rPr>
                <w:rFonts w:ascii="Arial"/>
                <w:b/>
                <w:color w:val="0B0B0B"/>
                <w:spacing w:val="-2"/>
                <w:sz w:val="16"/>
              </w:rPr>
              <w:t>Origen</w:t>
            </w:r>
          </w:p>
        </w:tc>
        <w:tc>
          <w:tcPr>
            <w:tcW w:w="3912" w:type="dxa"/>
            <w:shd w:val="clear" w:color="auto" w:fill="BDBDBD"/>
          </w:tcPr>
          <w:p>
            <w:pPr>
              <w:pStyle w:val="TableParagraph"/>
              <w:ind w:left="12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54" w:hRule="atLeast"/>
        </w:trPr>
        <w:tc>
          <w:tcPr>
            <w:tcW w:w="2974" w:type="dxa"/>
          </w:tcPr>
          <w:p>
            <w:pPr>
              <w:pStyle w:val="TableParagraph"/>
              <w:spacing w:line="283" w:lineRule="auto" w:before="25"/>
              <w:ind w:right="29"/>
              <w:rPr>
                <w:sz w:val="16"/>
              </w:rPr>
            </w:pPr>
            <w:r>
              <w:rPr>
                <w:color w:val="0B0B0B"/>
                <w:sz w:val="16"/>
              </w:rPr>
              <w:t>Cuarta Resolución de Modificaciones </w:t>
            </w:r>
            <w:r>
              <w:rPr>
                <w:color w:val="0B0B0B"/>
                <w:sz w:val="16"/>
              </w:rPr>
              <w:t>a la RMF para 2018</w:t>
            </w:r>
          </w:p>
        </w:tc>
        <w:tc>
          <w:tcPr>
            <w:tcW w:w="3912" w:type="dxa"/>
          </w:tcPr>
          <w:p>
            <w:pPr>
              <w:pStyle w:val="TableParagraph"/>
              <w:spacing w:line="283" w:lineRule="auto" w:before="25"/>
              <w:ind w:right="57"/>
              <w:jc w:val="both"/>
              <w:rPr>
                <w:sz w:val="16"/>
              </w:rPr>
            </w:pPr>
            <w:r>
              <w:rPr>
                <w:color w:val="0B0B0B"/>
                <w:sz w:val="16"/>
              </w:rPr>
              <w:t>Publicada en el DOF el 30 de noviembre de 2018, Anexo 3, publicado en el DOF el mismo 30 </w:t>
            </w:r>
            <w:r>
              <w:rPr>
                <w:color w:val="0B0B0B"/>
                <w:sz w:val="16"/>
              </w:rPr>
              <w:t>de noviembre de 2018.</w:t>
            </w:r>
          </w:p>
        </w:tc>
      </w:tr>
    </w:tbl>
    <w:p>
      <w:pPr>
        <w:pStyle w:val="BodyText"/>
        <w:spacing w:before="118"/>
        <w:ind w:left="0"/>
        <w:jc w:val="left"/>
      </w:pPr>
    </w:p>
    <w:p>
      <w:pPr>
        <w:pStyle w:val="Heading1"/>
        <w:tabs>
          <w:tab w:pos="2144" w:val="left" w:leader="none"/>
        </w:tabs>
        <w:spacing w:line="254" w:lineRule="auto"/>
        <w:ind w:right="259"/>
      </w:pPr>
      <w:r>
        <w:rPr>
          <w:color w:val="0B0B0B"/>
          <w:spacing w:val="-2"/>
        </w:rPr>
        <w:t>35/ISR/PI</w:t>
      </w:r>
      <w:r>
        <w:rPr>
          <w:color w:val="0B0B0B"/>
        </w:rPr>
        <w:tab/>
        <w:t>Servicios</w:t>
      </w:r>
      <w:r>
        <w:rPr>
          <w:color w:val="0B0B0B"/>
          <w:spacing w:val="40"/>
        </w:rPr>
        <w:t> </w:t>
      </w:r>
      <w:r>
        <w:rPr>
          <w:color w:val="0B0B0B"/>
        </w:rPr>
        <w:t>de</w:t>
      </w:r>
      <w:r>
        <w:rPr>
          <w:color w:val="0B0B0B"/>
          <w:spacing w:val="40"/>
        </w:rPr>
        <w:t> </w:t>
      </w:r>
      <w:r>
        <w:rPr>
          <w:color w:val="0B0B0B"/>
        </w:rPr>
        <w:t>hospedaje</w:t>
      </w:r>
      <w:r>
        <w:rPr>
          <w:color w:val="0B0B0B"/>
          <w:spacing w:val="40"/>
        </w:rPr>
        <w:t> </w:t>
      </w:r>
      <w:r>
        <w:rPr>
          <w:color w:val="0B0B0B"/>
        </w:rPr>
        <w:t>a</w:t>
      </w:r>
      <w:r>
        <w:rPr>
          <w:color w:val="0B0B0B"/>
          <w:spacing w:val="40"/>
        </w:rPr>
        <w:t> </w:t>
      </w:r>
      <w:r>
        <w:rPr>
          <w:color w:val="0B0B0B"/>
        </w:rPr>
        <w:t>través</w:t>
      </w:r>
      <w:r>
        <w:rPr>
          <w:color w:val="0B0B0B"/>
          <w:spacing w:val="40"/>
        </w:rPr>
        <w:t> </w:t>
      </w:r>
      <w:r>
        <w:rPr>
          <w:color w:val="0B0B0B"/>
        </w:rPr>
        <w:t>de</w:t>
      </w:r>
      <w:r>
        <w:rPr>
          <w:color w:val="0B0B0B"/>
          <w:spacing w:val="40"/>
        </w:rPr>
        <w:t> </w:t>
      </w:r>
      <w:r>
        <w:rPr>
          <w:color w:val="0B0B0B"/>
        </w:rPr>
        <w:t>plataformas</w:t>
      </w:r>
      <w:r>
        <w:rPr>
          <w:color w:val="0B0B0B"/>
          <w:spacing w:val="40"/>
        </w:rPr>
        <w:t> </w:t>
      </w:r>
      <w:r>
        <w:rPr>
          <w:color w:val="0B0B0B"/>
        </w:rPr>
        <w:t>tecnológicas.</w:t>
      </w:r>
      <w:r>
        <w:rPr>
          <w:color w:val="0B0B0B"/>
          <w:spacing w:val="40"/>
        </w:rPr>
        <w:t> </w:t>
      </w:r>
      <w:r>
        <w:rPr>
          <w:color w:val="0B0B0B"/>
        </w:rPr>
        <w:t>Se</w:t>
      </w:r>
      <w:r>
        <w:rPr>
          <w:color w:val="0B0B0B"/>
          <w:spacing w:val="40"/>
        </w:rPr>
        <w:t> </w:t>
      </w:r>
      <w:r>
        <w:rPr>
          <w:color w:val="0B0B0B"/>
        </w:rPr>
        <w:t>encuentran sujetos al pago de ISR.</w:t>
      </w:r>
    </w:p>
    <w:p>
      <w:pPr>
        <w:pStyle w:val="BodyText"/>
        <w:spacing w:line="252" w:lineRule="auto" w:before="99"/>
        <w:ind w:right="259"/>
      </w:pPr>
      <w:r>
        <w:rPr>
          <w:color w:val="0B0B0B"/>
        </w:rPr>
        <w:t>La Ley del ISR en sus artículos 16 y 90, señala que las personas físicas y morales residentes en México se encuentran obligadas al pago del ISR por los ingresos que obtengan en efectivo, en bienes, devengado, en crédito, en servicios o de cualquier otro tipo.</w:t>
      </w:r>
    </w:p>
    <w:p>
      <w:pPr>
        <w:pStyle w:val="BodyText"/>
        <w:spacing w:line="252" w:lineRule="auto" w:before="104"/>
        <w:ind w:right="257"/>
      </w:pPr>
      <w:r>
        <w:rPr>
          <w:color w:val="0B0B0B"/>
        </w:rPr>
        <w:t>Asimismo, el artículo 100, párrafos primero y segundo, de la Ley del ISR, establece que están obligadas al pago del ISR las personas físicas residentes en el país o en el extranjero con establecimiento permanente en el país, que perciban ingresos</w:t>
      </w:r>
      <w:r>
        <w:rPr>
          <w:color w:val="0B0B0B"/>
          <w:spacing w:val="40"/>
        </w:rPr>
        <w:t> </w:t>
      </w:r>
      <w:r>
        <w:rPr>
          <w:color w:val="0B0B0B"/>
        </w:rPr>
        <w:t>derivados de la realización de actividades empresariales. La fracción I del citado artículo,</w:t>
      </w:r>
      <w:r>
        <w:rPr>
          <w:color w:val="0B0B0B"/>
        </w:rPr>
        <w:t> señala que se consideran ingresos por actividades empresariales, los provenientes de la realización de actividades comerciales.</w:t>
      </w:r>
    </w:p>
    <w:p>
      <w:pPr>
        <w:pStyle w:val="BodyText"/>
        <w:spacing w:line="252" w:lineRule="auto" w:before="105"/>
        <w:ind w:right="256"/>
      </w:pPr>
      <w:r>
        <w:rPr>
          <w:color w:val="0B0B0B"/>
        </w:rPr>
        <w:t>En relación con lo anterior, el artículo 16, fracción I del CFF señala que se entenderá por actividades empresariales, entre otras, las comerciales que son las que de conformidad con las leyes federales tienen ese carácter.</w:t>
      </w:r>
    </w:p>
    <w:p>
      <w:pPr>
        <w:pStyle w:val="BodyText"/>
        <w:spacing w:line="252" w:lineRule="auto" w:before="103"/>
        <w:ind w:right="257"/>
      </w:pPr>
      <w:r>
        <w:rPr>
          <w:color w:val="0B0B0B"/>
        </w:rPr>
        <w:t>Se ha observado que existen plataformas</w:t>
      </w:r>
      <w:r>
        <w:rPr>
          <w:color w:val="0B0B0B"/>
        </w:rPr>
        <w:t> tecnológicas que permiten enlazar a los denominados anfitriones (dueños de inmuebles o representantes de ellos) con los huéspedes</w:t>
      </w:r>
      <w:r>
        <w:rPr>
          <w:color w:val="0B0B0B"/>
          <w:spacing w:val="-1"/>
        </w:rPr>
        <w:t> </w:t>
      </w:r>
      <w:r>
        <w:rPr>
          <w:color w:val="0B0B0B"/>
        </w:rPr>
        <w:t>(usuarios</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plataforma,</w:t>
      </w:r>
      <w:r>
        <w:rPr>
          <w:color w:val="0B0B0B"/>
          <w:spacing w:val="-1"/>
        </w:rPr>
        <w:t> </w:t>
      </w:r>
      <w:r>
        <w:rPr>
          <w:color w:val="0B0B0B"/>
        </w:rPr>
        <w:t>es</w:t>
      </w:r>
      <w:r>
        <w:rPr>
          <w:color w:val="0B0B0B"/>
          <w:spacing w:val="-1"/>
        </w:rPr>
        <w:t> </w:t>
      </w:r>
      <w:r>
        <w:rPr>
          <w:color w:val="0B0B0B"/>
        </w:rPr>
        <w:t>decir,</w:t>
      </w:r>
      <w:r>
        <w:rPr>
          <w:color w:val="0B0B0B"/>
          <w:spacing w:val="-1"/>
        </w:rPr>
        <w:t> </w:t>
      </w:r>
      <w:r>
        <w:rPr>
          <w:color w:val="0B0B0B"/>
        </w:rPr>
        <w:t>los</w:t>
      </w:r>
      <w:r>
        <w:rPr>
          <w:color w:val="0B0B0B"/>
          <w:spacing w:val="-1"/>
        </w:rPr>
        <w:t> </w:t>
      </w:r>
      <w:r>
        <w:rPr>
          <w:color w:val="0B0B0B"/>
        </w:rPr>
        <w:t>clientes)</w:t>
      </w:r>
      <w:r>
        <w:rPr>
          <w:color w:val="0B0B0B"/>
          <w:spacing w:val="-1"/>
        </w:rPr>
        <w:t> </w:t>
      </w:r>
      <w:r>
        <w:rPr>
          <w:color w:val="0B0B0B"/>
        </w:rPr>
        <w:t>con</w:t>
      </w:r>
      <w:r>
        <w:rPr>
          <w:color w:val="0B0B0B"/>
          <w:spacing w:val="-1"/>
        </w:rPr>
        <w:t> </w:t>
      </w:r>
      <w:r>
        <w:rPr>
          <w:color w:val="0B0B0B"/>
        </w:rPr>
        <w:t>la</w:t>
      </w:r>
      <w:r>
        <w:rPr>
          <w:color w:val="0B0B0B"/>
          <w:spacing w:val="-1"/>
        </w:rPr>
        <w:t> </w:t>
      </w:r>
      <w:r>
        <w:rPr>
          <w:color w:val="0B0B0B"/>
        </w:rPr>
        <w:t>finalidad</w:t>
      </w:r>
      <w:r>
        <w:rPr>
          <w:color w:val="0B0B0B"/>
          <w:spacing w:val="-1"/>
        </w:rPr>
        <w:t> </w:t>
      </w:r>
      <w:r>
        <w:rPr>
          <w:color w:val="0B0B0B"/>
        </w:rPr>
        <w:t>de</w:t>
      </w:r>
      <w:r>
        <w:rPr>
          <w:color w:val="0B0B0B"/>
          <w:spacing w:val="-1"/>
        </w:rPr>
        <w:t> </w:t>
      </w:r>
      <w:r>
        <w:rPr>
          <w:color w:val="0B0B0B"/>
        </w:rPr>
        <w:t>que</w:t>
      </w:r>
      <w:r>
        <w:rPr>
          <w:color w:val="0B0B0B"/>
          <w:spacing w:val="-1"/>
        </w:rPr>
        <w:t> </w:t>
      </w:r>
      <w:r>
        <w:rPr>
          <w:color w:val="0B0B0B"/>
        </w:rPr>
        <w:t>los anfitriones les presten servicios, principalmente de hospedaje en el país.</w:t>
      </w:r>
    </w:p>
    <w:p>
      <w:pPr>
        <w:pStyle w:val="BodyText"/>
        <w:spacing w:line="252" w:lineRule="auto" w:before="104"/>
        <w:ind w:right="257"/>
      </w:pPr>
      <w:r>
        <w:rPr>
          <w:color w:val="0B0B0B"/>
        </w:rPr>
        <w:t>Al</w:t>
      </w:r>
      <w:r>
        <w:rPr>
          <w:color w:val="0B0B0B"/>
          <w:spacing w:val="-1"/>
        </w:rPr>
        <w:t> </w:t>
      </w:r>
      <w:r>
        <w:rPr>
          <w:color w:val="0B0B0B"/>
        </w:rPr>
        <w:t>respecto,</w:t>
      </w:r>
      <w:r>
        <w:rPr>
          <w:color w:val="0B0B0B"/>
          <w:spacing w:val="-1"/>
        </w:rPr>
        <w:t> </w:t>
      </w:r>
      <w:r>
        <w:rPr>
          <w:color w:val="0B0B0B"/>
        </w:rPr>
        <w:t>se considera que los</w:t>
      </w:r>
      <w:r>
        <w:rPr>
          <w:color w:val="0B0B0B"/>
          <w:spacing w:val="-1"/>
        </w:rPr>
        <w:t> </w:t>
      </w:r>
      <w:r>
        <w:rPr>
          <w:color w:val="0B0B0B"/>
        </w:rPr>
        <w:t>servicios</w:t>
      </w:r>
      <w:r>
        <w:rPr>
          <w:color w:val="0B0B0B"/>
          <w:spacing w:val="-1"/>
        </w:rPr>
        <w:t> </w:t>
      </w:r>
      <w:r>
        <w:rPr>
          <w:color w:val="0B0B0B"/>
        </w:rPr>
        <w:t>que</w:t>
      </w:r>
      <w:r>
        <w:rPr>
          <w:color w:val="0B0B0B"/>
          <w:spacing w:val="-1"/>
        </w:rPr>
        <w:t> </w:t>
      </w:r>
      <w:r>
        <w:rPr>
          <w:color w:val="0B0B0B"/>
        </w:rPr>
        <w:t>los anfitriones</w:t>
      </w:r>
      <w:r>
        <w:rPr>
          <w:color w:val="0B0B0B"/>
          <w:spacing w:val="-1"/>
        </w:rPr>
        <w:t> </w:t>
      </w:r>
      <w:r>
        <w:rPr>
          <w:color w:val="0B0B0B"/>
        </w:rPr>
        <w:t>ofrecen</w:t>
      </w:r>
      <w:r>
        <w:rPr>
          <w:color w:val="0B0B0B"/>
          <w:spacing w:val="-1"/>
        </w:rPr>
        <w:t> </w:t>
      </w:r>
      <w:r>
        <w:rPr>
          <w:color w:val="0B0B0B"/>
        </w:rPr>
        <w:t>mediante</w:t>
      </w:r>
      <w:r>
        <w:rPr>
          <w:color w:val="0B0B0B"/>
          <w:spacing w:val="-1"/>
        </w:rPr>
        <w:t> </w:t>
      </w:r>
      <w:r>
        <w:rPr>
          <w:color w:val="0B0B0B"/>
        </w:rPr>
        <w:t>dichas plataformas, son servicios de hospedaje, y por ende empresariales, por las siguientes </w:t>
      </w:r>
      <w:r>
        <w:rPr>
          <w:color w:val="0B0B0B"/>
          <w:spacing w:val="-2"/>
        </w:rPr>
        <w:t>razones:</w:t>
      </w:r>
    </w:p>
    <w:p>
      <w:pPr>
        <w:pStyle w:val="ListParagraph"/>
        <w:numPr>
          <w:ilvl w:val="0"/>
          <w:numId w:val="40"/>
        </w:numPr>
        <w:tabs>
          <w:tab w:pos="2664" w:val="left" w:leader="none"/>
        </w:tabs>
        <w:spacing w:line="252" w:lineRule="auto" w:before="102" w:after="0"/>
        <w:ind w:left="2664" w:right="257" w:hanging="504"/>
        <w:jc w:val="both"/>
        <w:rPr>
          <w:sz w:val="18"/>
        </w:rPr>
      </w:pPr>
      <w:r>
        <w:rPr>
          <w:color w:val="0B0B0B"/>
          <w:sz w:val="18"/>
        </w:rPr>
        <w:t>Conforme al artículo 2666 del Código Civil Federal, el contrato de hospedaje se da cuando alguno presta a otro el albergue mediante la retribución convenida, comprometiéndose o no, a proporcionar además otros servicios complementarios (alimentos y demás gastos que origine el hospedaje).</w:t>
      </w:r>
    </w:p>
    <w:p>
      <w:pPr>
        <w:pStyle w:val="ListParagraph"/>
        <w:numPr>
          <w:ilvl w:val="0"/>
          <w:numId w:val="40"/>
        </w:numPr>
        <w:tabs>
          <w:tab w:pos="2664" w:val="left" w:leader="none"/>
        </w:tabs>
        <w:spacing w:line="252" w:lineRule="auto" w:before="104" w:after="0"/>
        <w:ind w:left="2664" w:right="258" w:hanging="504"/>
        <w:jc w:val="both"/>
        <w:rPr>
          <w:sz w:val="18"/>
        </w:rPr>
      </w:pPr>
      <w:r>
        <w:rPr>
          <w:color w:val="0B0B0B"/>
          <w:sz w:val="18"/>
        </w:rPr>
        <w:t>El contrato de hospedaje puede ser tácito, como se estipula en el artículo 2667 del Código Civil Federal, aunque los anfitriones pueden solicitar que los huéspedes firmen un contrato.</w:t>
      </w:r>
    </w:p>
    <w:p>
      <w:pPr>
        <w:pStyle w:val="ListParagraph"/>
        <w:numPr>
          <w:ilvl w:val="0"/>
          <w:numId w:val="40"/>
        </w:numPr>
        <w:tabs>
          <w:tab w:pos="2662" w:val="left" w:leader="none"/>
          <w:tab w:pos="2664" w:val="left" w:leader="none"/>
        </w:tabs>
        <w:spacing w:line="252" w:lineRule="auto" w:before="103" w:after="0"/>
        <w:ind w:left="2664" w:right="258" w:hanging="504"/>
        <w:jc w:val="both"/>
        <w:rPr>
          <w:sz w:val="18"/>
        </w:rPr>
      </w:pPr>
      <w:r>
        <w:rPr>
          <w:color w:val="0B0B0B"/>
          <w:sz w:val="18"/>
        </w:rPr>
        <w:t>En el caso de las plataformas tecnológicas, el servicio de hospedaje se contrata por días determinados,</w:t>
      </w:r>
      <w:r>
        <w:rPr>
          <w:color w:val="0B0B0B"/>
          <w:sz w:val="18"/>
        </w:rPr>
        <w:t> la tarifa se paga por</w:t>
      </w:r>
      <w:r>
        <w:rPr>
          <w:color w:val="0B0B0B"/>
          <w:sz w:val="18"/>
        </w:rPr>
        <w:t> día</w:t>
      </w:r>
      <w:r>
        <w:rPr>
          <w:color w:val="0B0B0B"/>
          <w:sz w:val="18"/>
        </w:rPr>
        <w:t> y</w:t>
      </w:r>
      <w:r>
        <w:rPr>
          <w:color w:val="0B0B0B"/>
          <w:sz w:val="18"/>
        </w:rPr>
        <w:t> no se establece un plazo mínimo para que se otorgue el servicio.</w:t>
      </w:r>
    </w:p>
    <w:p>
      <w:pPr>
        <w:pStyle w:val="ListParagraph"/>
        <w:spacing w:after="0" w:line="252" w:lineRule="auto"/>
        <w:jc w:val="both"/>
        <w:rPr>
          <w:sz w:val="18"/>
        </w:rPr>
        <w:sectPr>
          <w:headerReference w:type="default" r:id="rId40"/>
          <w:pgSz w:w="12240" w:h="15840"/>
          <w:pgMar w:header="690" w:footer="0" w:top="1040" w:bottom="280" w:left="1440" w:right="1440"/>
        </w:sectPr>
      </w:pPr>
    </w:p>
    <w:p>
      <w:pPr>
        <w:pStyle w:val="BodyText"/>
        <w:spacing w:line="266" w:lineRule="auto" w:before="122"/>
        <w:ind w:right="258"/>
      </w:pPr>
      <w:r>
        <w:rPr>
          <w:color w:val="0B0B0B"/>
        </w:rPr>
        <w:t>Se ha detectado que algunos contribuyentes que prestan servicios de hospedaje a través de plataformas tecnológicas, no efectúan el pago del ISR que les corresponde por</w:t>
      </w:r>
      <w:r>
        <w:rPr>
          <w:color w:val="0B0B0B"/>
          <w:spacing w:val="-1"/>
        </w:rPr>
        <w:t> </w:t>
      </w:r>
      <w:r>
        <w:rPr>
          <w:color w:val="0B0B0B"/>
        </w:rPr>
        <w:t>los</w:t>
      </w:r>
      <w:r>
        <w:rPr>
          <w:color w:val="0B0B0B"/>
          <w:spacing w:val="-1"/>
        </w:rPr>
        <w:t> </w:t>
      </w:r>
      <w:r>
        <w:rPr>
          <w:color w:val="0B0B0B"/>
        </w:rPr>
        <w:t>ingresos</w:t>
      </w:r>
      <w:r>
        <w:rPr>
          <w:color w:val="0B0B0B"/>
          <w:spacing w:val="-1"/>
        </w:rPr>
        <w:t> </w:t>
      </w:r>
      <w:r>
        <w:rPr>
          <w:color w:val="0B0B0B"/>
        </w:rPr>
        <w:t>que perciben conforme a</w:t>
      </w:r>
      <w:r>
        <w:rPr>
          <w:color w:val="0B0B0B"/>
          <w:spacing w:val="-1"/>
        </w:rPr>
        <w:t> </w:t>
      </w:r>
      <w:r>
        <w:rPr>
          <w:color w:val="0B0B0B"/>
        </w:rPr>
        <w:t>lo señalado</w:t>
      </w:r>
      <w:r>
        <w:rPr>
          <w:color w:val="0B0B0B"/>
          <w:spacing w:val="-1"/>
        </w:rPr>
        <w:t> </w:t>
      </w:r>
      <w:r>
        <w:rPr>
          <w:color w:val="0B0B0B"/>
        </w:rPr>
        <w:t>en</w:t>
      </w:r>
      <w:r>
        <w:rPr>
          <w:color w:val="0B0B0B"/>
          <w:spacing w:val="-1"/>
        </w:rPr>
        <w:t> </w:t>
      </w:r>
      <w:r>
        <w:rPr>
          <w:color w:val="0B0B0B"/>
        </w:rPr>
        <w:t>los</w:t>
      </w:r>
      <w:r>
        <w:rPr>
          <w:color w:val="0B0B0B"/>
          <w:spacing w:val="-1"/>
        </w:rPr>
        <w:t> </w:t>
      </w:r>
      <w:r>
        <w:rPr>
          <w:color w:val="0B0B0B"/>
        </w:rPr>
        <w:t>párrafos anteriores,</w:t>
      </w:r>
      <w:r>
        <w:rPr>
          <w:color w:val="0B0B0B"/>
          <w:spacing w:val="-1"/>
        </w:rPr>
        <w:t> </w:t>
      </w:r>
      <w:r>
        <w:rPr>
          <w:color w:val="0B0B0B"/>
        </w:rPr>
        <w:t>aún y cuando conforme a los artículos 16, 90, 100, 106 y 109 de la Ley del ISR, tienen la obligación de hacerlo.</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1"/>
        </w:numPr>
        <w:tabs>
          <w:tab w:pos="2664" w:val="left" w:leader="none"/>
        </w:tabs>
        <w:spacing w:line="266" w:lineRule="auto" w:before="123" w:after="0"/>
        <w:ind w:left="2664" w:right="258" w:hanging="504"/>
        <w:jc w:val="both"/>
        <w:rPr>
          <w:sz w:val="18"/>
        </w:rPr>
      </w:pPr>
      <w:r>
        <w:rPr>
          <w:color w:val="0B0B0B"/>
          <w:sz w:val="18"/>
        </w:rPr>
        <w:t>Aquellos contribuyentes</w:t>
      </w:r>
      <w:r>
        <w:rPr>
          <w:color w:val="0B0B0B"/>
          <w:sz w:val="18"/>
        </w:rPr>
        <w:t> que no acumulen para fines del ISR, el ingreso percibido por actividades empresariales consistentes en la prestación de servicios de hospedaje, cuando utilicen plataformas tecnológicas y no efectúen el pago del impuesto correspondiente.</w:t>
      </w:r>
    </w:p>
    <w:p>
      <w:pPr>
        <w:pStyle w:val="ListParagraph"/>
        <w:numPr>
          <w:ilvl w:val="0"/>
          <w:numId w:val="41"/>
        </w:numPr>
        <w:tabs>
          <w:tab w:pos="2664" w:val="left" w:leader="none"/>
        </w:tabs>
        <w:spacing w:line="266" w:lineRule="auto" w:before="102" w:after="0"/>
        <w:ind w:left="2664" w:right="258" w:hanging="504"/>
        <w:jc w:val="both"/>
        <w:rPr>
          <w:sz w:val="18"/>
        </w:rPr>
      </w:pPr>
      <w:r>
        <w:rPr>
          <w:color w:val="0B0B0B"/>
          <w:sz w:val="18"/>
        </w:rPr>
        <w:t>Quien asesore, aconseje, preste servicios o participe en la realización o implementación de la práctica anterior.</w:t>
      </w:r>
    </w:p>
    <w:p>
      <w:pPr>
        <w:pStyle w:val="BodyText"/>
        <w:spacing w:before="7"/>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894"/>
      </w:tblGrid>
      <w:tr>
        <w:trPr>
          <w:trHeight w:val="330" w:hRule="atLeast"/>
        </w:trPr>
        <w:tc>
          <w:tcPr>
            <w:tcW w:w="2974" w:type="dxa"/>
            <w:shd w:val="clear" w:color="auto" w:fill="BDBDBD"/>
          </w:tcPr>
          <w:p>
            <w:pPr>
              <w:pStyle w:val="TableParagraph"/>
              <w:spacing w:before="33"/>
              <w:ind w:left="12"/>
              <w:jc w:val="center"/>
              <w:rPr>
                <w:rFonts w:ascii="Arial"/>
                <w:b/>
                <w:sz w:val="16"/>
              </w:rPr>
            </w:pPr>
            <w:r>
              <w:rPr>
                <w:rFonts w:ascii="Arial"/>
                <w:b/>
                <w:color w:val="0B0B0B"/>
                <w:spacing w:val="-2"/>
                <w:sz w:val="16"/>
              </w:rPr>
              <w:t>Origen</w:t>
            </w:r>
          </w:p>
        </w:tc>
        <w:tc>
          <w:tcPr>
            <w:tcW w:w="3894" w:type="dxa"/>
            <w:shd w:val="clear" w:color="auto" w:fill="BDBDBD"/>
          </w:tcPr>
          <w:p>
            <w:pPr>
              <w:pStyle w:val="TableParagraph"/>
              <w:spacing w:before="33"/>
              <w:ind w:left="12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0" w:hRule="atLeast"/>
        </w:trPr>
        <w:tc>
          <w:tcPr>
            <w:tcW w:w="2974" w:type="dxa"/>
          </w:tcPr>
          <w:p>
            <w:pPr>
              <w:pStyle w:val="TableParagraph"/>
              <w:spacing w:line="300" w:lineRule="auto" w:before="34"/>
              <w:ind w:right="29"/>
              <w:rPr>
                <w:sz w:val="16"/>
              </w:rPr>
            </w:pPr>
            <w:r>
              <w:rPr>
                <w:color w:val="0B0B0B"/>
                <w:sz w:val="16"/>
              </w:rPr>
              <w:t>Primera</w:t>
            </w:r>
            <w:r>
              <w:rPr>
                <w:color w:val="0B0B0B"/>
                <w:spacing w:val="23"/>
                <w:sz w:val="16"/>
              </w:rPr>
              <w:t> </w:t>
            </w:r>
            <w:r>
              <w:rPr>
                <w:color w:val="0B0B0B"/>
                <w:sz w:val="16"/>
              </w:rPr>
              <w:t>Resolución</w:t>
            </w:r>
            <w:r>
              <w:rPr>
                <w:color w:val="0B0B0B"/>
                <w:spacing w:val="23"/>
                <w:sz w:val="16"/>
              </w:rPr>
              <w:t> </w:t>
            </w:r>
            <w:r>
              <w:rPr>
                <w:color w:val="0B0B0B"/>
                <w:sz w:val="16"/>
              </w:rPr>
              <w:t>de</w:t>
            </w:r>
            <w:r>
              <w:rPr>
                <w:color w:val="0B0B0B"/>
                <w:spacing w:val="23"/>
                <w:sz w:val="16"/>
              </w:rPr>
              <w:t> </w:t>
            </w:r>
            <w:r>
              <w:rPr>
                <w:color w:val="0B0B0B"/>
                <w:sz w:val="16"/>
              </w:rPr>
              <w:t>Modificaciones a la RMF para 2019</w:t>
            </w:r>
          </w:p>
        </w:tc>
        <w:tc>
          <w:tcPr>
            <w:tcW w:w="3894" w:type="dxa"/>
          </w:tcPr>
          <w:p>
            <w:pPr>
              <w:pStyle w:val="TableParagraph"/>
              <w:spacing w:line="300" w:lineRule="auto" w:before="34"/>
              <w:ind w:right="57"/>
              <w:jc w:val="both"/>
              <w:rPr>
                <w:sz w:val="16"/>
              </w:rPr>
            </w:pPr>
            <w:r>
              <w:rPr>
                <w:color w:val="0B0B0B"/>
                <w:sz w:val="16"/>
              </w:rPr>
              <w:t>Publicada en el DOF el 20 de agosto de </w:t>
            </w:r>
            <w:r>
              <w:rPr>
                <w:color w:val="0B0B0B"/>
                <w:sz w:val="16"/>
              </w:rPr>
              <w:t>2019,</w:t>
            </w:r>
            <w:r>
              <w:rPr>
                <w:color w:val="0B0B0B"/>
                <w:spacing w:val="40"/>
                <w:sz w:val="16"/>
              </w:rPr>
              <w:t> </w:t>
            </w:r>
            <w:r>
              <w:rPr>
                <w:color w:val="0B0B0B"/>
                <w:sz w:val="16"/>
              </w:rPr>
              <w:t>Anexo 3, publicado en el DOF el 21 de agosto de </w:t>
            </w:r>
            <w:r>
              <w:rPr>
                <w:color w:val="0B0B0B"/>
                <w:spacing w:val="-2"/>
                <w:sz w:val="16"/>
              </w:rPr>
              <w:t>2019.</w:t>
            </w:r>
          </w:p>
        </w:tc>
      </w:tr>
    </w:tbl>
    <w:p>
      <w:pPr>
        <w:pStyle w:val="BodyText"/>
        <w:spacing w:before="140"/>
        <w:ind w:left="0"/>
        <w:jc w:val="left"/>
      </w:pPr>
    </w:p>
    <w:p>
      <w:pPr>
        <w:pStyle w:val="Heading1"/>
        <w:tabs>
          <w:tab w:pos="2146" w:val="left" w:leader="none"/>
        </w:tabs>
        <w:spacing w:line="266" w:lineRule="auto"/>
        <w:ind w:right="257"/>
      </w:pPr>
      <w:r>
        <w:rPr>
          <w:color w:val="0B0B0B"/>
          <w:spacing w:val="-2"/>
        </w:rPr>
        <w:t>36/ISR/PI</w:t>
      </w:r>
      <w:r>
        <w:rPr>
          <w:color w:val="0B0B0B"/>
        </w:rPr>
        <w:tab/>
        <w:t>Pago</w:t>
      </w:r>
      <w:r>
        <w:rPr>
          <w:color w:val="0B0B0B"/>
          <w:spacing w:val="40"/>
        </w:rPr>
        <w:t> </w:t>
      </w:r>
      <w:r>
        <w:rPr>
          <w:color w:val="0B0B0B"/>
        </w:rPr>
        <w:t>del</w:t>
      </w:r>
      <w:r>
        <w:rPr>
          <w:color w:val="0B0B0B"/>
          <w:spacing w:val="40"/>
        </w:rPr>
        <w:t> </w:t>
      </w:r>
      <w:r>
        <w:rPr>
          <w:color w:val="0B0B0B"/>
        </w:rPr>
        <w:t>impuesto</w:t>
      </w:r>
      <w:r>
        <w:rPr>
          <w:color w:val="0B0B0B"/>
          <w:spacing w:val="40"/>
        </w:rPr>
        <w:t> </w:t>
      </w:r>
      <w:r>
        <w:rPr>
          <w:color w:val="0B0B0B"/>
        </w:rPr>
        <w:t>sobre</w:t>
      </w:r>
      <w:r>
        <w:rPr>
          <w:color w:val="0B0B0B"/>
          <w:spacing w:val="40"/>
        </w:rPr>
        <w:t> </w:t>
      </w:r>
      <w:r>
        <w:rPr>
          <w:color w:val="0B0B0B"/>
        </w:rPr>
        <w:t>dividendos</w:t>
      </w:r>
      <w:r>
        <w:rPr>
          <w:color w:val="0B0B0B"/>
          <w:spacing w:val="40"/>
        </w:rPr>
        <w:t> </w:t>
      </w:r>
      <w:r>
        <w:rPr>
          <w:color w:val="0B0B0B"/>
        </w:rPr>
        <w:t>distribuidos</w:t>
      </w:r>
      <w:r>
        <w:rPr>
          <w:color w:val="0B0B0B"/>
          <w:spacing w:val="40"/>
        </w:rPr>
        <w:t> </w:t>
      </w:r>
      <w:r>
        <w:rPr>
          <w:color w:val="0B0B0B"/>
        </w:rPr>
        <w:t>en</w:t>
      </w:r>
      <w:r>
        <w:rPr>
          <w:color w:val="0B0B0B"/>
          <w:spacing w:val="40"/>
        </w:rPr>
        <w:t> </w:t>
      </w:r>
      <w:r>
        <w:rPr>
          <w:color w:val="0B0B0B"/>
        </w:rPr>
        <w:t>mercados</w:t>
      </w:r>
      <w:r>
        <w:rPr>
          <w:color w:val="0B0B0B"/>
          <w:spacing w:val="40"/>
        </w:rPr>
        <w:t> </w:t>
      </w:r>
      <w:r>
        <w:rPr>
          <w:color w:val="0B0B0B"/>
        </w:rPr>
        <w:t>reconocidos </w:t>
      </w:r>
      <w:r>
        <w:rPr>
          <w:color w:val="0B0B0B"/>
          <w:spacing w:val="-2"/>
        </w:rPr>
        <w:t>extranjeros.</w:t>
      </w:r>
    </w:p>
    <w:p>
      <w:pPr>
        <w:pStyle w:val="BodyText"/>
        <w:spacing w:line="266" w:lineRule="auto" w:before="102"/>
        <w:ind w:right="256"/>
      </w:pPr>
      <w:r>
        <w:rPr>
          <w:color w:val="0B0B0B"/>
        </w:rPr>
        <w:t>El Artículo Noveno, fracción XXX de las Disposiciones Transitorias de la Ley del ISR para el 2014, dispone que el impuesto adicional establecido en los artículos 140, segundo párrafo y 164, fracciones I y IV de la Ley del ISR es aplicable a las utilidades generadas a partir del ejercicio 2014; y que para tal efecto, la persona moral o establecimiento permanente que realizará la distribución correspondiente estará obligada a mantener la cuenta de utilidad fiscal neta con las utilidades generadas</w:t>
      </w:r>
      <w:r>
        <w:rPr>
          <w:color w:val="0B0B0B"/>
          <w:spacing w:val="40"/>
        </w:rPr>
        <w:t> </w:t>
      </w:r>
      <w:r>
        <w:rPr>
          <w:color w:val="0B0B0B"/>
        </w:rPr>
        <w:t>hasta el 31 de diciembre de 2013 e iniciar otra cuenta de utilidad fiscal neta con las utilidades generadas a partir del 1o. de enero de 2014 en los términos del artículo 77 de la Ley del ISR. Asimismo, se establece que cuando los obligados no lleven las dos cuentas referidas por</w:t>
      </w:r>
      <w:r>
        <w:rPr>
          <w:color w:val="0B0B0B"/>
        </w:rPr>
        <w:t> separado o cuando estas no identifiquen las utilidades mencionadas, se entenderá que las mismas fueron generadas a partir del año 2014, y por tanto están sujetas al impuesto adicional.</w:t>
      </w:r>
    </w:p>
    <w:p>
      <w:pPr>
        <w:pStyle w:val="BodyText"/>
        <w:spacing w:line="266" w:lineRule="auto" w:before="104"/>
        <w:ind w:right="257"/>
      </w:pPr>
      <w:r>
        <w:rPr>
          <w:color w:val="0B0B0B"/>
        </w:rPr>
        <w:t>El artículo 140, segundo párrafo de la Ley del ISR establece que las personas físicas residentes en México, estarán sujetas a una tasa adicional del 10% sobre los dividendos o utilidades distribuidas por las personas morales residentes en México, quienes estarán obligadas a retener el impuesto cuando distribuyan dichos dividendos o utilidades y lo enterarán conjuntamente con el pago provisional del período que </w:t>
      </w:r>
      <w:r>
        <w:rPr>
          <w:color w:val="0B0B0B"/>
          <w:spacing w:val="-2"/>
        </w:rPr>
        <w:t>corresponda.</w:t>
      </w:r>
    </w:p>
    <w:p>
      <w:pPr>
        <w:pStyle w:val="BodyText"/>
        <w:spacing w:line="266" w:lineRule="auto" w:before="102"/>
        <w:ind w:right="258"/>
      </w:pPr>
      <w:r>
        <w:rPr>
          <w:color w:val="0B0B0B"/>
        </w:rPr>
        <w:t>El artículo 164, fracción I, quinto párrafo de la Ley</w:t>
      </w:r>
      <w:r>
        <w:rPr>
          <w:color w:val="0B0B0B"/>
          <w:spacing w:val="-1"/>
        </w:rPr>
        <w:t> </w:t>
      </w:r>
      <w:r>
        <w:rPr>
          <w:color w:val="0B0B0B"/>
        </w:rPr>
        <w:t>del ISR establece que, las personas morales residentes en México que distribuyan dividendos o utilidades a personas físicas o morales residentes</w:t>
      </w:r>
      <w:r>
        <w:rPr>
          <w:color w:val="0B0B0B"/>
        </w:rPr>
        <w:t> en el extranjero, deberán retener el impuesto que se obtenga de aplicar la tasa del 10% sobre dichos dividendos o utilidades y proporcionar a las personas a quienes efectúen los pagos, constancia en la que señalen el monto del dividendo o utilidad distribuidos y el impuesto retenido, debiendo enterar</w:t>
      </w:r>
      <w:r>
        <w:rPr>
          <w:color w:val="0B0B0B"/>
        </w:rPr>
        <w:t> el impuesto conjuntamente con el pago provisional del mes que corresponda.</w:t>
      </w:r>
    </w:p>
    <w:p>
      <w:pPr>
        <w:pStyle w:val="BodyText"/>
        <w:spacing w:line="266" w:lineRule="auto" w:before="103"/>
        <w:ind w:right="257"/>
      </w:pPr>
      <w:r>
        <w:rPr>
          <w:color w:val="0B0B0B"/>
        </w:rPr>
        <w:t>El artículo 29, primer párrafo del CFF señala que las personas a las que se les hubieren retenido contribuciones, deberán solicitar el CFDI respectivo; mientras que, conforme al artículo 76, fracción XI, inciso b) de la Ley del ISR, las personas morales residentes en México tienen la obligación de proporcionar</w:t>
      </w:r>
      <w:r>
        <w:rPr>
          <w:color w:val="0B0B0B"/>
        </w:rPr>
        <w:t> a las personas físicas o morales cuando se pague el dividendo o la utilidad, comprobante fiscal en el que señale el monto pagado, el ISR retenido en términos de los artículos 140 y 164 de la Ley del ISR, así como si los pagos provienen de las cuentas establecidas en los artículos</w:t>
      </w:r>
      <w:r>
        <w:rPr>
          <w:color w:val="0B0B0B"/>
        </w:rPr>
        <w:t> 77 y 85 de la Ley del ISR, respectivamente, o si se trata de dividendos o utilidades a que se refiere el artículo 10, primer párrafo de la misma.</w:t>
      </w:r>
    </w:p>
    <w:p>
      <w:pPr>
        <w:pStyle w:val="BodyText"/>
        <w:spacing w:after="0" w:line="266" w:lineRule="auto"/>
        <w:sectPr>
          <w:headerReference w:type="default" r:id="rId41"/>
          <w:pgSz w:w="12240" w:h="15840"/>
          <w:pgMar w:header="690" w:footer="0" w:top="1040" w:bottom="280" w:left="1440" w:right="1440"/>
        </w:sectPr>
      </w:pPr>
    </w:p>
    <w:p>
      <w:pPr>
        <w:pStyle w:val="BodyText"/>
        <w:spacing w:line="276" w:lineRule="auto" w:before="131"/>
        <w:ind w:right="256"/>
      </w:pPr>
      <w:r>
        <w:rPr>
          <w:color w:val="0B0B0B"/>
        </w:rPr>
        <w:t>En este sentido, atendiendo las disposiciones antes señaladas, las personas morales residentes en México, incluso aquéllas cuyas acciones coticen en mercados reconocidos extranjeros en términos del artículo 16-C, fracción II del CFF, se encuentran</w:t>
      </w:r>
      <w:r>
        <w:rPr>
          <w:color w:val="0B0B0B"/>
          <w:spacing w:val="-1"/>
        </w:rPr>
        <w:t> </w:t>
      </w:r>
      <w:r>
        <w:rPr>
          <w:color w:val="0B0B0B"/>
        </w:rPr>
        <w:t>obligadas</w:t>
      </w:r>
      <w:r>
        <w:rPr>
          <w:color w:val="0B0B0B"/>
          <w:spacing w:val="-1"/>
        </w:rPr>
        <w:t> </w:t>
      </w:r>
      <w:r>
        <w:rPr>
          <w:color w:val="0B0B0B"/>
        </w:rPr>
        <w:t>a</w:t>
      </w:r>
      <w:r>
        <w:rPr>
          <w:color w:val="0B0B0B"/>
          <w:spacing w:val="-1"/>
        </w:rPr>
        <w:t> </w:t>
      </w:r>
      <w:r>
        <w:rPr>
          <w:color w:val="0B0B0B"/>
        </w:rPr>
        <w:t>retener y</w:t>
      </w:r>
      <w:r>
        <w:rPr>
          <w:color w:val="0B0B0B"/>
          <w:spacing w:val="-3"/>
        </w:rPr>
        <w:t> </w:t>
      </w:r>
      <w:r>
        <w:rPr>
          <w:color w:val="0B0B0B"/>
        </w:rPr>
        <w:t>enterar</w:t>
      </w:r>
      <w:r>
        <w:rPr>
          <w:color w:val="0B0B0B"/>
          <w:spacing w:val="-1"/>
        </w:rPr>
        <w:t> </w:t>
      </w:r>
      <w:r>
        <w:rPr>
          <w:color w:val="0B0B0B"/>
        </w:rPr>
        <w:t>el</w:t>
      </w:r>
      <w:r>
        <w:rPr>
          <w:color w:val="0B0B0B"/>
          <w:spacing w:val="-1"/>
        </w:rPr>
        <w:t> </w:t>
      </w:r>
      <w:r>
        <w:rPr>
          <w:color w:val="0B0B0B"/>
        </w:rPr>
        <w:t>impuesto</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obtenga</w:t>
      </w:r>
      <w:r>
        <w:rPr>
          <w:color w:val="0B0B0B"/>
          <w:spacing w:val="-1"/>
        </w:rPr>
        <w:t> </w:t>
      </w:r>
      <w:r>
        <w:rPr>
          <w:color w:val="0B0B0B"/>
        </w:rPr>
        <w:t>de</w:t>
      </w:r>
      <w:r>
        <w:rPr>
          <w:color w:val="0B0B0B"/>
          <w:spacing w:val="-1"/>
        </w:rPr>
        <w:t> </w:t>
      </w:r>
      <w:r>
        <w:rPr>
          <w:color w:val="0B0B0B"/>
        </w:rPr>
        <w:t>aplicar</w:t>
      </w:r>
      <w:r>
        <w:rPr>
          <w:color w:val="0B0B0B"/>
          <w:spacing w:val="-1"/>
        </w:rPr>
        <w:t> </w:t>
      </w:r>
      <w:r>
        <w:rPr>
          <w:color w:val="0B0B0B"/>
        </w:rPr>
        <w:t>la</w:t>
      </w:r>
      <w:r>
        <w:rPr>
          <w:color w:val="0B0B0B"/>
          <w:spacing w:val="-1"/>
        </w:rPr>
        <w:t> </w:t>
      </w:r>
      <w:r>
        <w:rPr>
          <w:color w:val="0B0B0B"/>
        </w:rPr>
        <w:t>tasa del 10% sobre los dividendos o utilidades distribuidos; y a emitir y proporcionar el comprobante</w:t>
      </w:r>
      <w:r>
        <w:rPr>
          <w:color w:val="0B0B0B"/>
          <w:spacing w:val="40"/>
        </w:rPr>
        <w:t> </w:t>
      </w:r>
      <w:r>
        <w:rPr>
          <w:color w:val="0B0B0B"/>
        </w:rPr>
        <w:t>fiscal</w:t>
      </w:r>
      <w:r>
        <w:rPr>
          <w:color w:val="0B0B0B"/>
          <w:spacing w:val="40"/>
        </w:rPr>
        <w:t> </w:t>
      </w:r>
      <w:r>
        <w:rPr>
          <w:color w:val="0B0B0B"/>
        </w:rPr>
        <w:t>a</w:t>
      </w:r>
      <w:r>
        <w:rPr>
          <w:color w:val="0B0B0B"/>
          <w:spacing w:val="40"/>
        </w:rPr>
        <w:t> </w:t>
      </w:r>
      <w:r>
        <w:rPr>
          <w:color w:val="0B0B0B"/>
        </w:rPr>
        <w:t>que</w:t>
      </w:r>
      <w:r>
        <w:rPr>
          <w:color w:val="0B0B0B"/>
          <w:spacing w:val="40"/>
        </w:rPr>
        <w:t> </w:t>
      </w:r>
      <w:r>
        <w:rPr>
          <w:color w:val="0B0B0B"/>
        </w:rPr>
        <w:t>se</w:t>
      </w:r>
      <w:r>
        <w:rPr>
          <w:color w:val="0B0B0B"/>
          <w:spacing w:val="40"/>
        </w:rPr>
        <w:t> </w:t>
      </w:r>
      <w:r>
        <w:rPr>
          <w:color w:val="0B0B0B"/>
        </w:rPr>
        <w:t>refieren</w:t>
      </w:r>
      <w:r>
        <w:rPr>
          <w:color w:val="0B0B0B"/>
          <w:spacing w:val="40"/>
        </w:rPr>
        <w:t> </w:t>
      </w:r>
      <w:r>
        <w:rPr>
          <w:color w:val="0B0B0B"/>
        </w:rPr>
        <w:t>los</w:t>
      </w:r>
      <w:r>
        <w:rPr>
          <w:color w:val="0B0B0B"/>
          <w:spacing w:val="40"/>
        </w:rPr>
        <w:t> </w:t>
      </w:r>
      <w:r>
        <w:rPr>
          <w:color w:val="0B0B0B"/>
        </w:rPr>
        <w:t>artículos</w:t>
      </w:r>
      <w:r>
        <w:rPr>
          <w:color w:val="0B0B0B"/>
          <w:spacing w:val="40"/>
        </w:rPr>
        <w:t> </w:t>
      </w:r>
      <w:r>
        <w:rPr>
          <w:color w:val="0B0B0B"/>
        </w:rPr>
        <w:t>140,</w:t>
      </w:r>
      <w:r>
        <w:rPr>
          <w:color w:val="0B0B0B"/>
          <w:spacing w:val="40"/>
        </w:rPr>
        <w:t> </w:t>
      </w:r>
      <w:r>
        <w:rPr>
          <w:color w:val="0B0B0B"/>
        </w:rPr>
        <w:t>segundo</w:t>
      </w:r>
      <w:r>
        <w:rPr>
          <w:color w:val="0B0B0B"/>
          <w:spacing w:val="40"/>
        </w:rPr>
        <w:t> </w:t>
      </w:r>
      <w:r>
        <w:rPr>
          <w:color w:val="0B0B0B"/>
        </w:rPr>
        <w:t>párrafo</w:t>
      </w:r>
      <w:r>
        <w:rPr>
          <w:color w:val="0B0B0B"/>
          <w:spacing w:val="40"/>
        </w:rPr>
        <w:t> </w:t>
      </w:r>
      <w:r>
        <w:rPr>
          <w:color w:val="0B0B0B"/>
        </w:rPr>
        <w:t>y</w:t>
      </w:r>
      <w:r>
        <w:rPr>
          <w:color w:val="0B0B0B"/>
        </w:rPr>
        <w:t> 164, fracción I, quinto párrafo de la Ley del ISR.</w:t>
      </w:r>
    </w:p>
    <w:p>
      <w:pPr>
        <w:pStyle w:val="BodyText"/>
        <w:spacing w:line="278" w:lineRule="auto" w:before="107"/>
        <w:ind w:right="258"/>
      </w:pPr>
      <w:r>
        <w:rPr>
          <w:color w:val="0B0B0B"/>
        </w:rPr>
        <w:t>No obstante lo anterior,</w:t>
      </w:r>
      <w:r>
        <w:rPr>
          <w:color w:val="0B0B0B"/>
        </w:rPr>
        <w:t> se ha detectado que algunos contribuyentes</w:t>
      </w:r>
      <w:r>
        <w:rPr>
          <w:color w:val="0B0B0B"/>
        </w:rPr>
        <w:t> que realizan pagos por concepto de dividendos cuyas acciones cotizan en mercados reconocidos extranjeros, no efectúan la retención y entero del impuesto correspondiente ni la emisión del comprobante fiscal. Por lo anterior, se considera que realizan una práctica fiscal indebida:</w:t>
      </w:r>
    </w:p>
    <w:p>
      <w:pPr>
        <w:pStyle w:val="ListParagraph"/>
        <w:numPr>
          <w:ilvl w:val="0"/>
          <w:numId w:val="42"/>
        </w:numPr>
        <w:tabs>
          <w:tab w:pos="2664" w:val="left" w:leader="none"/>
        </w:tabs>
        <w:spacing w:line="276" w:lineRule="auto" w:before="96" w:after="0"/>
        <w:ind w:left="2664" w:right="258" w:hanging="504"/>
        <w:jc w:val="both"/>
        <w:rPr>
          <w:sz w:val="18"/>
        </w:rPr>
      </w:pPr>
      <w:r>
        <w:rPr>
          <w:color w:val="0B0B0B"/>
          <w:sz w:val="18"/>
        </w:rPr>
        <w:t>Las personas morales que distribuyan dividendos y omitan la retención, el</w:t>
      </w:r>
      <w:r>
        <w:rPr>
          <w:color w:val="0B0B0B"/>
          <w:spacing w:val="40"/>
          <w:sz w:val="18"/>
        </w:rPr>
        <w:t> </w:t>
      </w:r>
      <w:r>
        <w:rPr>
          <w:color w:val="0B0B0B"/>
          <w:sz w:val="18"/>
        </w:rPr>
        <w:t>entero del impuesto y la emisión del comprobante fiscal a que se refieren los artículos 140, segundo párrafo y 164, fracción I, quinto párrafo</w:t>
      </w:r>
      <w:r>
        <w:rPr>
          <w:color w:val="0B0B0B"/>
          <w:sz w:val="18"/>
        </w:rPr>
        <w:t> de la Ley del</w:t>
      </w:r>
      <w:r>
        <w:rPr>
          <w:color w:val="0B0B0B"/>
          <w:spacing w:val="40"/>
          <w:sz w:val="18"/>
        </w:rPr>
        <w:t> </w:t>
      </w:r>
      <w:r>
        <w:rPr>
          <w:color w:val="0B0B0B"/>
          <w:sz w:val="18"/>
        </w:rPr>
        <w:t>ISR, cuando los dividendos provengan de acciones que cotizan en mercados reconocidos extranjeros y desconocen el estatus o carácter legal y fiscal de los </w:t>
      </w:r>
      <w:r>
        <w:rPr>
          <w:color w:val="0B0B0B"/>
          <w:spacing w:val="-2"/>
          <w:sz w:val="18"/>
        </w:rPr>
        <w:t>accionistas.</w:t>
      </w:r>
    </w:p>
    <w:p>
      <w:pPr>
        <w:pStyle w:val="ListParagraph"/>
        <w:numPr>
          <w:ilvl w:val="0"/>
          <w:numId w:val="42"/>
        </w:numPr>
        <w:tabs>
          <w:tab w:pos="2664" w:val="left" w:leader="none"/>
        </w:tabs>
        <w:spacing w:line="278" w:lineRule="auto" w:before="106"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7"/>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08"/>
      </w:tblGrid>
      <w:tr>
        <w:trPr>
          <w:trHeight w:val="340" w:hRule="atLeast"/>
        </w:trPr>
        <w:tc>
          <w:tcPr>
            <w:tcW w:w="2778" w:type="dxa"/>
            <w:shd w:val="clear" w:color="auto" w:fill="BDBDBD"/>
          </w:tcPr>
          <w:p>
            <w:pPr>
              <w:pStyle w:val="TableParagraph"/>
              <w:spacing w:before="41"/>
              <w:ind w:left="12"/>
              <w:jc w:val="center"/>
              <w:rPr>
                <w:rFonts w:ascii="Arial"/>
                <w:b/>
                <w:sz w:val="16"/>
              </w:rPr>
            </w:pPr>
            <w:r>
              <w:rPr>
                <w:rFonts w:ascii="Arial"/>
                <w:b/>
                <w:color w:val="0B0B0B"/>
                <w:spacing w:val="-2"/>
                <w:sz w:val="16"/>
              </w:rPr>
              <w:t>Origen</w:t>
            </w:r>
          </w:p>
        </w:tc>
        <w:tc>
          <w:tcPr>
            <w:tcW w:w="4108" w:type="dxa"/>
            <w:shd w:val="clear" w:color="auto" w:fill="BDBDBD"/>
          </w:tcPr>
          <w:p>
            <w:pPr>
              <w:pStyle w:val="TableParagraph"/>
              <w:spacing w:before="41"/>
              <w:ind w:left="131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77" w:hRule="atLeast"/>
        </w:trPr>
        <w:tc>
          <w:tcPr>
            <w:tcW w:w="2778" w:type="dxa"/>
          </w:tcPr>
          <w:p>
            <w:pPr>
              <w:pStyle w:val="TableParagraph"/>
              <w:tabs>
                <w:tab w:pos="1183" w:val="left" w:leader="none"/>
                <w:tab w:pos="2526" w:val="left" w:leader="none"/>
              </w:tabs>
              <w:spacing w:line="312" w:lineRule="auto" w:before="41"/>
              <w:ind w:right="57"/>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2019</w:t>
            </w:r>
          </w:p>
        </w:tc>
        <w:tc>
          <w:tcPr>
            <w:tcW w:w="4108" w:type="dxa"/>
          </w:tcPr>
          <w:p>
            <w:pPr>
              <w:pStyle w:val="TableParagraph"/>
              <w:spacing w:line="312" w:lineRule="auto" w:before="41"/>
              <w:rPr>
                <w:sz w:val="16"/>
              </w:rPr>
            </w:pPr>
            <w:r>
              <w:rPr>
                <w:color w:val="0B0B0B"/>
                <w:sz w:val="16"/>
              </w:rPr>
              <w:t>Publicada</w:t>
            </w:r>
            <w:r>
              <w:rPr>
                <w:color w:val="0B0B0B"/>
                <w:spacing w:val="-4"/>
                <w:sz w:val="16"/>
              </w:rPr>
              <w:t> </w:t>
            </w:r>
            <w:r>
              <w:rPr>
                <w:color w:val="0B0B0B"/>
                <w:sz w:val="16"/>
              </w:rPr>
              <w:t>en</w:t>
            </w:r>
            <w:r>
              <w:rPr>
                <w:color w:val="0B0B0B"/>
                <w:spacing w:val="-4"/>
                <w:sz w:val="16"/>
              </w:rPr>
              <w:t> </w:t>
            </w:r>
            <w:r>
              <w:rPr>
                <w:color w:val="0B0B0B"/>
                <w:sz w:val="16"/>
              </w:rPr>
              <w:t>el</w:t>
            </w:r>
            <w:r>
              <w:rPr>
                <w:color w:val="0B0B0B"/>
                <w:spacing w:val="-3"/>
                <w:sz w:val="16"/>
              </w:rPr>
              <w:t> </w:t>
            </w:r>
            <w:r>
              <w:rPr>
                <w:color w:val="0B0B0B"/>
                <w:sz w:val="16"/>
              </w:rPr>
              <w:t>DOF</w:t>
            </w:r>
            <w:r>
              <w:rPr>
                <w:color w:val="0B0B0B"/>
                <w:spacing w:val="-4"/>
                <w:sz w:val="16"/>
              </w:rPr>
              <w:t> </w:t>
            </w:r>
            <w:r>
              <w:rPr>
                <w:color w:val="0B0B0B"/>
                <w:sz w:val="16"/>
              </w:rPr>
              <w:t>el</w:t>
            </w:r>
            <w:r>
              <w:rPr>
                <w:color w:val="0B0B0B"/>
                <w:spacing w:val="-4"/>
                <w:sz w:val="16"/>
              </w:rPr>
              <w:t> </w:t>
            </w:r>
            <w:r>
              <w:rPr>
                <w:color w:val="0B0B0B"/>
                <w:sz w:val="16"/>
              </w:rPr>
              <w:t>20</w:t>
            </w:r>
            <w:r>
              <w:rPr>
                <w:color w:val="0B0B0B"/>
                <w:spacing w:val="-3"/>
                <w:sz w:val="16"/>
              </w:rPr>
              <w:t> </w:t>
            </w:r>
            <w:r>
              <w:rPr>
                <w:color w:val="0B0B0B"/>
                <w:sz w:val="16"/>
              </w:rPr>
              <w:t>de</w:t>
            </w:r>
            <w:r>
              <w:rPr>
                <w:color w:val="0B0B0B"/>
                <w:spacing w:val="-3"/>
                <w:sz w:val="16"/>
              </w:rPr>
              <w:t> </w:t>
            </w:r>
            <w:r>
              <w:rPr>
                <w:color w:val="0B0B0B"/>
                <w:sz w:val="16"/>
              </w:rPr>
              <w:t>agosto</w:t>
            </w:r>
            <w:r>
              <w:rPr>
                <w:color w:val="0B0B0B"/>
                <w:spacing w:val="-4"/>
                <w:sz w:val="16"/>
              </w:rPr>
              <w:t> </w:t>
            </w:r>
            <w:r>
              <w:rPr>
                <w:color w:val="0B0B0B"/>
                <w:sz w:val="16"/>
              </w:rPr>
              <w:t>de</w:t>
            </w:r>
            <w:r>
              <w:rPr>
                <w:color w:val="0B0B0B"/>
                <w:spacing w:val="-4"/>
                <w:sz w:val="16"/>
              </w:rPr>
              <w:t> </w:t>
            </w:r>
            <w:r>
              <w:rPr>
                <w:color w:val="0B0B0B"/>
                <w:sz w:val="16"/>
              </w:rPr>
              <w:t>2019,</w:t>
            </w:r>
            <w:r>
              <w:rPr>
                <w:color w:val="0B0B0B"/>
                <w:spacing w:val="-4"/>
                <w:sz w:val="16"/>
              </w:rPr>
              <w:t> </w:t>
            </w:r>
            <w:r>
              <w:rPr>
                <w:color w:val="0B0B0B"/>
                <w:sz w:val="16"/>
              </w:rPr>
              <w:t>Anexo</w:t>
            </w:r>
            <w:r>
              <w:rPr>
                <w:color w:val="0B0B0B"/>
                <w:spacing w:val="-3"/>
                <w:sz w:val="16"/>
              </w:rPr>
              <w:t> </w:t>
            </w:r>
            <w:r>
              <w:rPr>
                <w:color w:val="0B0B0B"/>
                <w:sz w:val="16"/>
              </w:rPr>
              <w:t>3, publicado en el DOF el 21 de agosto de 2019.</w:t>
            </w:r>
          </w:p>
        </w:tc>
      </w:tr>
    </w:tbl>
    <w:p>
      <w:pPr>
        <w:pStyle w:val="BodyText"/>
        <w:spacing w:before="159"/>
        <w:ind w:left="0"/>
        <w:jc w:val="left"/>
      </w:pPr>
    </w:p>
    <w:p>
      <w:pPr>
        <w:pStyle w:val="Heading1"/>
        <w:spacing w:line="276" w:lineRule="auto"/>
        <w:ind w:right="256"/>
        <w:jc w:val="both"/>
      </w:pPr>
      <w:r>
        <w:rPr>
          <w:color w:val="0B0B0B"/>
        </w:rPr>
        <w:t>37/ISR/PI</w:t>
      </w:r>
      <w:r>
        <w:rPr>
          <w:color w:val="0B0B0B"/>
          <w:spacing w:val="80"/>
          <w:w w:val="150"/>
        </w:rPr>
        <w:t> </w:t>
      </w:r>
      <w:r>
        <w:rPr>
          <w:color w:val="0B0B0B"/>
        </w:rPr>
        <w:t>Resultado</w:t>
      </w:r>
      <w:r>
        <w:rPr>
          <w:color w:val="0B0B0B"/>
          <w:spacing w:val="-2"/>
        </w:rPr>
        <w:t> </w:t>
      </w:r>
      <w:r>
        <w:rPr>
          <w:color w:val="0B0B0B"/>
        </w:rPr>
        <w:t>fiscal</w:t>
      </w:r>
      <w:r>
        <w:rPr>
          <w:color w:val="0B0B0B"/>
          <w:spacing w:val="-2"/>
        </w:rPr>
        <w:t> </w:t>
      </w:r>
      <w:r>
        <w:rPr>
          <w:color w:val="0B0B0B"/>
        </w:rPr>
        <w:t>distribuido</w:t>
      </w:r>
      <w:r>
        <w:rPr>
          <w:color w:val="0B0B0B"/>
          <w:spacing w:val="-2"/>
        </w:rPr>
        <w:t> </w:t>
      </w:r>
      <w:r>
        <w:rPr>
          <w:color w:val="0B0B0B"/>
        </w:rPr>
        <w:t>a</w:t>
      </w:r>
      <w:r>
        <w:rPr>
          <w:color w:val="0B0B0B"/>
          <w:spacing w:val="-2"/>
        </w:rPr>
        <w:t> </w:t>
      </w:r>
      <w:r>
        <w:rPr>
          <w:color w:val="0B0B0B"/>
        </w:rPr>
        <w:t>los</w:t>
      </w:r>
      <w:r>
        <w:rPr>
          <w:color w:val="0B0B0B"/>
          <w:spacing w:val="-2"/>
        </w:rPr>
        <w:t> </w:t>
      </w:r>
      <w:r>
        <w:rPr>
          <w:color w:val="0B0B0B"/>
        </w:rPr>
        <w:t>tenedores</w:t>
      </w:r>
      <w:r>
        <w:rPr>
          <w:color w:val="0B0B0B"/>
          <w:spacing w:val="-2"/>
        </w:rPr>
        <w:t> </w:t>
      </w:r>
      <w:r>
        <w:rPr>
          <w:color w:val="0B0B0B"/>
        </w:rPr>
        <w:t>de</w:t>
      </w:r>
      <w:r>
        <w:rPr>
          <w:color w:val="0B0B0B"/>
          <w:spacing w:val="-2"/>
        </w:rPr>
        <w:t> </w:t>
      </w:r>
      <w:r>
        <w:rPr>
          <w:color w:val="0B0B0B"/>
        </w:rPr>
        <w:t>los</w:t>
      </w:r>
      <w:r>
        <w:rPr>
          <w:color w:val="0B0B0B"/>
          <w:spacing w:val="-2"/>
        </w:rPr>
        <w:t> </w:t>
      </w:r>
      <w:r>
        <w:rPr>
          <w:color w:val="0B0B0B"/>
        </w:rPr>
        <w:t>certificados</w:t>
      </w:r>
      <w:r>
        <w:rPr>
          <w:color w:val="0B0B0B"/>
          <w:spacing w:val="-2"/>
        </w:rPr>
        <w:t> </w:t>
      </w:r>
      <w:r>
        <w:rPr>
          <w:color w:val="0B0B0B"/>
        </w:rPr>
        <w:t>de</w:t>
      </w:r>
      <w:r>
        <w:rPr>
          <w:color w:val="0B0B0B"/>
          <w:spacing w:val="-2"/>
        </w:rPr>
        <w:t> </w:t>
      </w:r>
      <w:r>
        <w:rPr>
          <w:color w:val="0B0B0B"/>
        </w:rPr>
        <w:t>un</w:t>
      </w:r>
      <w:r>
        <w:rPr>
          <w:color w:val="0B0B0B"/>
          <w:spacing w:val="-2"/>
        </w:rPr>
        <w:t> </w:t>
      </w:r>
      <w:r>
        <w:rPr>
          <w:color w:val="0B0B0B"/>
        </w:rPr>
        <w:t>fideicomiso dedicado a la adquisición o construcción de inmuebles. La deducción a que se refiere el artículo 115, segundo párrafo de la Ley del ISR no le es aplicable.</w:t>
      </w:r>
    </w:p>
    <w:p>
      <w:pPr>
        <w:pStyle w:val="BodyText"/>
        <w:spacing w:line="278" w:lineRule="auto" w:before="103"/>
        <w:ind w:right="256"/>
      </w:pPr>
      <w:r>
        <w:rPr>
          <w:color w:val="0B0B0B"/>
        </w:rPr>
        <w:t>El artículo 188, fracción V, primer párrafo de la Ley del ISR establece que los tenedores de los certificados de participación que sean residentes en México o residentes en el extranjero con establecimiento permanente en el país acumularán el resultado</w:t>
      </w:r>
      <w:r>
        <w:rPr>
          <w:color w:val="0B0B0B"/>
          <w:spacing w:val="-4"/>
        </w:rPr>
        <w:t> </w:t>
      </w:r>
      <w:r>
        <w:rPr>
          <w:color w:val="0B0B0B"/>
        </w:rPr>
        <w:t>fiscal</w:t>
      </w:r>
      <w:r>
        <w:rPr>
          <w:color w:val="0B0B0B"/>
          <w:spacing w:val="-3"/>
        </w:rPr>
        <w:t> </w:t>
      </w:r>
      <w:r>
        <w:rPr>
          <w:color w:val="0B0B0B"/>
        </w:rPr>
        <w:t>que</w:t>
      </w:r>
      <w:r>
        <w:rPr>
          <w:color w:val="0B0B0B"/>
          <w:spacing w:val="-4"/>
        </w:rPr>
        <w:t> </w:t>
      </w:r>
      <w:r>
        <w:rPr>
          <w:color w:val="0B0B0B"/>
        </w:rPr>
        <w:t>les</w:t>
      </w:r>
      <w:r>
        <w:rPr>
          <w:color w:val="0B0B0B"/>
          <w:spacing w:val="-4"/>
        </w:rPr>
        <w:t> </w:t>
      </w:r>
      <w:r>
        <w:rPr>
          <w:color w:val="0B0B0B"/>
        </w:rPr>
        <w:t>distribuya</w:t>
      </w:r>
      <w:r>
        <w:rPr>
          <w:color w:val="0B0B0B"/>
          <w:spacing w:val="-4"/>
        </w:rPr>
        <w:t> </w:t>
      </w:r>
      <w:r>
        <w:rPr>
          <w:color w:val="0B0B0B"/>
        </w:rPr>
        <w:t>el</w:t>
      </w:r>
      <w:r>
        <w:rPr>
          <w:color w:val="0B0B0B"/>
          <w:spacing w:val="-4"/>
        </w:rPr>
        <w:t> </w:t>
      </w:r>
      <w:r>
        <w:rPr>
          <w:color w:val="0B0B0B"/>
        </w:rPr>
        <w:t>fiduciario</w:t>
      </w:r>
      <w:r>
        <w:rPr>
          <w:color w:val="0B0B0B"/>
          <w:spacing w:val="-4"/>
        </w:rPr>
        <w:t> </w:t>
      </w:r>
      <w:r>
        <w:rPr>
          <w:color w:val="0B0B0B"/>
        </w:rPr>
        <w:t>o</w:t>
      </w:r>
      <w:r>
        <w:rPr>
          <w:color w:val="0B0B0B"/>
          <w:spacing w:val="-4"/>
        </w:rPr>
        <w:t> </w:t>
      </w:r>
      <w:r>
        <w:rPr>
          <w:color w:val="0B0B0B"/>
        </w:rPr>
        <w:t>el</w:t>
      </w:r>
      <w:r>
        <w:rPr>
          <w:color w:val="0B0B0B"/>
          <w:spacing w:val="-4"/>
        </w:rPr>
        <w:t> </w:t>
      </w:r>
      <w:r>
        <w:rPr>
          <w:color w:val="0B0B0B"/>
        </w:rPr>
        <w:t>intermediario</w:t>
      </w:r>
      <w:r>
        <w:rPr>
          <w:color w:val="0B0B0B"/>
          <w:spacing w:val="-4"/>
        </w:rPr>
        <w:t> </w:t>
      </w:r>
      <w:r>
        <w:rPr>
          <w:color w:val="0B0B0B"/>
        </w:rPr>
        <w:t>financiero</w:t>
      </w:r>
      <w:r>
        <w:rPr>
          <w:color w:val="0B0B0B"/>
          <w:spacing w:val="-4"/>
        </w:rPr>
        <w:t> </w:t>
      </w:r>
      <w:r>
        <w:rPr>
          <w:color w:val="0B0B0B"/>
        </w:rPr>
        <w:t>provenientes de los bienes, derechos, créditos o valores que integren el patrimonio del fideicomiso emisor de dichos certificados, sin deducir el impuesto retenido, y las ganancias que obtengan por la enajenación de los citados certificados, salvo que estén exentos de pago del impuesto</w:t>
      </w:r>
      <w:r>
        <w:rPr>
          <w:color w:val="0B0B0B"/>
        </w:rPr>
        <w:t> por dichas ganancias, y podrán acreditar el impuesto que se les retenga por dicho resultado y ganancias, contra el ISR que causen en el ejercicio en que se les distribuya o las obtengan.</w:t>
      </w:r>
    </w:p>
    <w:p>
      <w:pPr>
        <w:pStyle w:val="BodyText"/>
        <w:spacing w:line="276" w:lineRule="auto" w:before="90"/>
        <w:ind w:right="259"/>
      </w:pPr>
      <w:r>
        <w:rPr>
          <w:color w:val="0B0B0B"/>
        </w:rPr>
        <w:t>El segundo párrafo de la fracción referida señala que las personas físicas residentes</w:t>
      </w:r>
      <w:r>
        <w:rPr>
          <w:color w:val="0B0B0B"/>
          <w:spacing w:val="40"/>
        </w:rPr>
        <w:t> </w:t>
      </w:r>
      <w:r>
        <w:rPr>
          <w:color w:val="0B0B0B"/>
        </w:rPr>
        <w:t>en</w:t>
      </w:r>
      <w:r>
        <w:rPr>
          <w:color w:val="0B0B0B"/>
          <w:spacing w:val="-2"/>
        </w:rPr>
        <w:t> </w:t>
      </w:r>
      <w:r>
        <w:rPr>
          <w:color w:val="0B0B0B"/>
        </w:rPr>
        <w:t>México</w:t>
      </w:r>
      <w:r>
        <w:rPr>
          <w:color w:val="0B0B0B"/>
          <w:spacing w:val="-2"/>
        </w:rPr>
        <w:t> </w:t>
      </w:r>
      <w:r>
        <w:rPr>
          <w:color w:val="0B0B0B"/>
        </w:rPr>
        <w:t>considerarán</w:t>
      </w:r>
      <w:r>
        <w:rPr>
          <w:color w:val="0B0B0B"/>
          <w:spacing w:val="-1"/>
        </w:rPr>
        <w:t> </w:t>
      </w:r>
      <w:r>
        <w:rPr>
          <w:color w:val="0B0B0B"/>
        </w:rPr>
        <w:t>el</w:t>
      </w:r>
      <w:r>
        <w:rPr>
          <w:color w:val="0B0B0B"/>
          <w:spacing w:val="-2"/>
        </w:rPr>
        <w:t> </w:t>
      </w:r>
      <w:r>
        <w:rPr>
          <w:color w:val="0B0B0B"/>
        </w:rPr>
        <w:t>resultado</w:t>
      </w:r>
      <w:r>
        <w:rPr>
          <w:color w:val="0B0B0B"/>
          <w:spacing w:val="-2"/>
        </w:rPr>
        <w:t> </w:t>
      </w:r>
      <w:r>
        <w:rPr>
          <w:color w:val="0B0B0B"/>
        </w:rPr>
        <w:t>fiscal</w:t>
      </w:r>
      <w:r>
        <w:rPr>
          <w:color w:val="0B0B0B"/>
          <w:spacing w:val="-2"/>
        </w:rPr>
        <w:t> </w:t>
      </w:r>
      <w:r>
        <w:rPr>
          <w:color w:val="0B0B0B"/>
        </w:rPr>
        <w:t>distribuido</w:t>
      </w:r>
      <w:r>
        <w:rPr>
          <w:color w:val="0B0B0B"/>
          <w:spacing w:val="-2"/>
        </w:rPr>
        <w:t> </w:t>
      </w:r>
      <w:r>
        <w:rPr>
          <w:color w:val="0B0B0B"/>
        </w:rPr>
        <w:t>como</w:t>
      </w:r>
      <w:r>
        <w:rPr>
          <w:color w:val="0B0B0B"/>
          <w:spacing w:val="-1"/>
        </w:rPr>
        <w:t> </w:t>
      </w:r>
      <w:r>
        <w:rPr>
          <w:color w:val="0B0B0B"/>
        </w:rPr>
        <w:t>ingresos</w:t>
      </w:r>
      <w:r>
        <w:rPr>
          <w:color w:val="0B0B0B"/>
          <w:spacing w:val="-1"/>
        </w:rPr>
        <w:t> </w:t>
      </w:r>
      <w:r>
        <w:rPr>
          <w:color w:val="0B0B0B"/>
        </w:rPr>
        <w:t>a</w:t>
      </w:r>
      <w:r>
        <w:rPr>
          <w:color w:val="0B0B0B"/>
          <w:spacing w:val="-2"/>
        </w:rPr>
        <w:t> </w:t>
      </w:r>
      <w:r>
        <w:rPr>
          <w:color w:val="0B0B0B"/>
        </w:rPr>
        <w:t>que</w:t>
      </w:r>
      <w:r>
        <w:rPr>
          <w:color w:val="0B0B0B"/>
          <w:spacing w:val="-2"/>
        </w:rPr>
        <w:t> </w:t>
      </w:r>
      <w:r>
        <w:rPr>
          <w:color w:val="0B0B0B"/>
        </w:rPr>
        <w:t>se</w:t>
      </w:r>
      <w:r>
        <w:rPr>
          <w:color w:val="0B0B0B"/>
          <w:spacing w:val="-2"/>
        </w:rPr>
        <w:t> </w:t>
      </w:r>
      <w:r>
        <w:rPr>
          <w:color w:val="0B0B0B"/>
        </w:rPr>
        <w:t>refiere</w:t>
      </w:r>
      <w:r>
        <w:rPr>
          <w:color w:val="0B0B0B"/>
          <w:spacing w:val="-1"/>
        </w:rPr>
        <w:t> </w:t>
      </w:r>
      <w:r>
        <w:rPr>
          <w:color w:val="0B0B0B"/>
        </w:rPr>
        <w:t>el artículo 114, fracción II de esa Ley.</w:t>
      </w:r>
    </w:p>
    <w:p>
      <w:pPr>
        <w:pStyle w:val="BodyText"/>
        <w:spacing w:line="276" w:lineRule="auto" w:before="105"/>
        <w:ind w:right="257"/>
      </w:pPr>
      <w:r>
        <w:rPr>
          <w:color w:val="0B0B0B"/>
        </w:rPr>
        <w:t>El artículo 114, fracción II de la Ley del ISR indica que se consideran ingresos por otorgar el uso o goce temporal de bienes inmuebles los rendimientos de certificados</w:t>
      </w:r>
      <w:r>
        <w:rPr>
          <w:color w:val="0B0B0B"/>
          <w:spacing w:val="40"/>
        </w:rPr>
        <w:t> </w:t>
      </w:r>
      <w:r>
        <w:rPr>
          <w:color w:val="0B0B0B"/>
        </w:rPr>
        <w:t>de participación inmobiliaria no amortizables; por otra parte, la fracción I de dicho artículo</w:t>
      </w:r>
      <w:r>
        <w:rPr>
          <w:color w:val="0B0B0B"/>
        </w:rPr>
        <w:t> considera los provenientes del arrendamiento o subarrendamiento y en</w:t>
      </w:r>
      <w:r>
        <w:rPr>
          <w:color w:val="0B0B0B"/>
          <w:spacing w:val="40"/>
        </w:rPr>
        <w:t> </w:t>
      </w:r>
      <w:r>
        <w:rPr>
          <w:color w:val="0B0B0B"/>
        </w:rPr>
        <w:t>general por otorgar a título oneroso el uso o goce temporal de bienes inmuebles, en cualquier otra forma.</w:t>
      </w:r>
    </w:p>
    <w:p>
      <w:pPr>
        <w:pStyle w:val="BodyText"/>
        <w:spacing w:line="278" w:lineRule="auto" w:before="106"/>
        <w:ind w:right="258"/>
      </w:pPr>
      <w:r>
        <w:rPr>
          <w:color w:val="0B0B0B"/>
        </w:rPr>
        <w:t>Por su parte, el artículo 115, segundo párrafo de la Ley del ISR establece expresamente que los contribuyentes que otorguen el uso o goce temporal de bienes inmuebles</w:t>
      </w:r>
      <w:r>
        <w:rPr>
          <w:color w:val="0B0B0B"/>
          <w:spacing w:val="40"/>
        </w:rPr>
        <w:t> </w:t>
      </w:r>
      <w:r>
        <w:rPr>
          <w:color w:val="0B0B0B"/>
        </w:rPr>
        <w:t>podrán</w:t>
      </w:r>
      <w:r>
        <w:rPr>
          <w:color w:val="0B0B0B"/>
          <w:spacing w:val="40"/>
        </w:rPr>
        <w:t> </w:t>
      </w:r>
      <w:r>
        <w:rPr>
          <w:color w:val="0B0B0B"/>
        </w:rPr>
        <w:t>optar</w:t>
      </w:r>
      <w:r>
        <w:rPr>
          <w:color w:val="0B0B0B"/>
          <w:spacing w:val="40"/>
        </w:rPr>
        <w:t> </w:t>
      </w:r>
      <w:r>
        <w:rPr>
          <w:color w:val="0B0B0B"/>
        </w:rPr>
        <w:t>por</w:t>
      </w:r>
      <w:r>
        <w:rPr>
          <w:color w:val="0B0B0B"/>
        </w:rPr>
        <w:t> deducir</w:t>
      </w:r>
      <w:r>
        <w:rPr>
          <w:color w:val="0B0B0B"/>
          <w:spacing w:val="40"/>
        </w:rPr>
        <w:t> </w:t>
      </w:r>
      <w:r>
        <w:rPr>
          <w:color w:val="0B0B0B"/>
        </w:rPr>
        <w:t>el</w:t>
      </w:r>
      <w:r>
        <w:rPr>
          <w:color w:val="0B0B0B"/>
          <w:spacing w:val="40"/>
        </w:rPr>
        <w:t> </w:t>
      </w:r>
      <w:r>
        <w:rPr>
          <w:color w:val="0B0B0B"/>
        </w:rPr>
        <w:t>35%</w:t>
      </w:r>
      <w:r>
        <w:rPr>
          <w:color w:val="0B0B0B"/>
          <w:spacing w:val="40"/>
        </w:rPr>
        <w:t> </w:t>
      </w:r>
      <w:r>
        <w:rPr>
          <w:color w:val="0B0B0B"/>
        </w:rPr>
        <w:t>de los</w:t>
      </w:r>
      <w:r>
        <w:rPr>
          <w:color w:val="0B0B0B"/>
          <w:spacing w:val="40"/>
        </w:rPr>
        <w:t> </w:t>
      </w:r>
      <w:r>
        <w:rPr>
          <w:color w:val="0B0B0B"/>
        </w:rPr>
        <w:t>ingresos</w:t>
      </w:r>
      <w:r>
        <w:rPr>
          <w:color w:val="0B0B0B"/>
          <w:spacing w:val="40"/>
        </w:rPr>
        <w:t> </w:t>
      </w:r>
      <w:r>
        <w:rPr>
          <w:color w:val="0B0B0B"/>
        </w:rPr>
        <w:t>a</w:t>
      </w:r>
      <w:r>
        <w:rPr>
          <w:color w:val="0B0B0B"/>
          <w:spacing w:val="40"/>
        </w:rPr>
        <w:t> </w:t>
      </w:r>
      <w:r>
        <w:rPr>
          <w:color w:val="0B0B0B"/>
        </w:rPr>
        <w:t>que</w:t>
      </w:r>
      <w:r>
        <w:rPr>
          <w:color w:val="0B0B0B"/>
          <w:spacing w:val="40"/>
        </w:rPr>
        <w:t> </w:t>
      </w:r>
      <w:r>
        <w:rPr>
          <w:color w:val="0B0B0B"/>
        </w:rPr>
        <w:t>se</w:t>
      </w:r>
      <w:r>
        <w:rPr>
          <w:color w:val="0B0B0B"/>
          <w:spacing w:val="40"/>
        </w:rPr>
        <w:t> </w:t>
      </w:r>
      <w:r>
        <w:rPr>
          <w:color w:val="0B0B0B"/>
        </w:rPr>
        <w:t>refiere</w:t>
      </w:r>
      <w:r>
        <w:rPr>
          <w:color w:val="0B0B0B"/>
          <w:spacing w:val="40"/>
        </w:rPr>
        <w:t> </w:t>
      </w:r>
      <w:r>
        <w:rPr>
          <w:color w:val="0B0B0B"/>
        </w:rPr>
        <w:t>el Capítulo III del Título IV de la Ley del ISR, en sustitución de las deducciones a que se refiere dicho artículo.</w:t>
      </w:r>
    </w:p>
    <w:p>
      <w:pPr>
        <w:pStyle w:val="BodyText"/>
        <w:spacing w:after="0" w:line="278" w:lineRule="auto"/>
        <w:sectPr>
          <w:headerReference w:type="default" r:id="rId42"/>
          <w:pgSz w:w="12240" w:h="15840"/>
          <w:pgMar w:header="690" w:footer="0" w:top="1040" w:bottom="280" w:left="1440" w:right="1440"/>
        </w:sectPr>
      </w:pPr>
    </w:p>
    <w:p>
      <w:pPr>
        <w:pStyle w:val="BodyText"/>
        <w:spacing w:line="266" w:lineRule="auto" w:before="121"/>
        <w:ind w:right="258"/>
      </w:pPr>
      <w:r>
        <w:rPr>
          <w:color w:val="0B0B0B"/>
        </w:rPr>
        <w:t>De la interpretación armónica y sistemática de las disposiciones analizadas,</w:t>
      </w:r>
      <w:r>
        <w:rPr>
          <w:color w:val="0B0B0B"/>
        </w:rPr>
        <w:t> se considera que al resultado fiscal distribuido, a que se refiere el artículo 188, fracción V de la Ley del ISR, no le es aplicable la deducción establecida en el artículo 115, segundo párrafo del mismo ordenamiento, toda vez que aplicar dicha deducción constituiría un doble beneficio indebido, en virtud de que tal resultado fue determinado por el fiduciario en los términos del Título II de la Ley del ISR, es decir,</w:t>
      </w:r>
      <w:r>
        <w:rPr>
          <w:color w:val="0B0B0B"/>
        </w:rPr>
        <w:t> este</w:t>
      </w:r>
      <w:r>
        <w:rPr>
          <w:color w:val="0B0B0B"/>
        </w:rPr>
        <w:t> ya disminuyó las deducciones autorizadas por la Ley referida.</w:t>
      </w:r>
    </w:p>
    <w:p>
      <w:pPr>
        <w:pStyle w:val="BodyText"/>
        <w:spacing w:line="266" w:lineRule="auto" w:before="96"/>
        <w:ind w:right="254"/>
      </w:pPr>
      <w:r>
        <w:rPr>
          <w:color w:val="0B0B0B"/>
        </w:rPr>
        <w:t>Al efecto, se ha detectado que algunos de los tenedores de certificados de participación</w:t>
      </w:r>
      <w:r>
        <w:rPr>
          <w:color w:val="0B0B0B"/>
          <w:spacing w:val="39"/>
        </w:rPr>
        <w:t> </w:t>
      </w:r>
      <w:r>
        <w:rPr>
          <w:color w:val="0B0B0B"/>
        </w:rPr>
        <w:t>emitidos</w:t>
      </w:r>
      <w:r>
        <w:rPr>
          <w:color w:val="0B0B0B"/>
          <w:spacing w:val="39"/>
        </w:rPr>
        <w:t> </w:t>
      </w:r>
      <w:r>
        <w:rPr>
          <w:color w:val="0B0B0B"/>
        </w:rPr>
        <w:t>por</w:t>
      </w:r>
      <w:r>
        <w:rPr>
          <w:color w:val="0B0B0B"/>
          <w:spacing w:val="38"/>
        </w:rPr>
        <w:t> </w:t>
      </w:r>
      <w:r>
        <w:rPr>
          <w:color w:val="0B0B0B"/>
        </w:rPr>
        <w:t>un</w:t>
      </w:r>
      <w:r>
        <w:rPr>
          <w:color w:val="0B0B0B"/>
          <w:spacing w:val="40"/>
        </w:rPr>
        <w:t> </w:t>
      </w:r>
      <w:r>
        <w:rPr>
          <w:color w:val="0B0B0B"/>
        </w:rPr>
        <w:t>fideicomiso</w:t>
      </w:r>
      <w:r>
        <w:rPr>
          <w:color w:val="0B0B0B"/>
          <w:spacing w:val="39"/>
        </w:rPr>
        <w:t> </w:t>
      </w:r>
      <w:r>
        <w:rPr>
          <w:color w:val="0B0B0B"/>
        </w:rPr>
        <w:t>dedicado</w:t>
      </w:r>
      <w:r>
        <w:rPr>
          <w:color w:val="0B0B0B"/>
          <w:spacing w:val="40"/>
        </w:rPr>
        <w:t> </w:t>
      </w:r>
      <w:r>
        <w:rPr>
          <w:color w:val="0B0B0B"/>
        </w:rPr>
        <w:t>a</w:t>
      </w:r>
      <w:r>
        <w:rPr>
          <w:color w:val="0B0B0B"/>
          <w:spacing w:val="39"/>
        </w:rPr>
        <w:t> </w:t>
      </w:r>
      <w:r>
        <w:rPr>
          <w:color w:val="0B0B0B"/>
        </w:rPr>
        <w:t>la</w:t>
      </w:r>
      <w:r>
        <w:rPr>
          <w:color w:val="0B0B0B"/>
          <w:spacing w:val="40"/>
        </w:rPr>
        <w:t> </w:t>
      </w:r>
      <w:r>
        <w:rPr>
          <w:color w:val="0B0B0B"/>
        </w:rPr>
        <w:t>adquisición</w:t>
      </w:r>
      <w:r>
        <w:rPr>
          <w:color w:val="0B0B0B"/>
          <w:spacing w:val="40"/>
        </w:rPr>
        <w:t> </w:t>
      </w:r>
      <w:r>
        <w:rPr>
          <w:color w:val="0B0B0B"/>
        </w:rPr>
        <w:t>o</w:t>
      </w:r>
      <w:r>
        <w:rPr>
          <w:color w:val="0B0B0B"/>
          <w:spacing w:val="39"/>
        </w:rPr>
        <w:t> </w:t>
      </w:r>
      <w:r>
        <w:rPr>
          <w:color w:val="0B0B0B"/>
        </w:rPr>
        <w:t>construcción de inmuebles, al resultado fiscal que les distribuye el fiduciario o el intermediario financiero,</w:t>
      </w:r>
      <w:r>
        <w:rPr>
          <w:color w:val="0B0B0B"/>
          <w:spacing w:val="-2"/>
        </w:rPr>
        <w:t> </w:t>
      </w:r>
      <w:r>
        <w:rPr>
          <w:color w:val="0B0B0B"/>
        </w:rPr>
        <w:t>le</w:t>
      </w:r>
      <w:r>
        <w:rPr>
          <w:color w:val="0B0B0B"/>
          <w:spacing w:val="-3"/>
        </w:rPr>
        <w:t> </w:t>
      </w:r>
      <w:r>
        <w:rPr>
          <w:color w:val="0B0B0B"/>
        </w:rPr>
        <w:t>aplican</w:t>
      </w:r>
      <w:r>
        <w:rPr>
          <w:color w:val="0B0B0B"/>
          <w:spacing w:val="-2"/>
        </w:rPr>
        <w:t> </w:t>
      </w:r>
      <w:r>
        <w:rPr>
          <w:color w:val="0B0B0B"/>
        </w:rPr>
        <w:t>la</w:t>
      </w:r>
      <w:r>
        <w:rPr>
          <w:color w:val="0B0B0B"/>
          <w:spacing w:val="-2"/>
        </w:rPr>
        <w:t> </w:t>
      </w:r>
      <w:r>
        <w:rPr>
          <w:color w:val="0B0B0B"/>
        </w:rPr>
        <w:t>deducción</w:t>
      </w:r>
      <w:r>
        <w:rPr>
          <w:color w:val="0B0B0B"/>
          <w:spacing w:val="-3"/>
        </w:rPr>
        <w:t> </w:t>
      </w:r>
      <w:r>
        <w:rPr>
          <w:color w:val="0B0B0B"/>
        </w:rPr>
        <w:t>establecida</w:t>
      </w:r>
      <w:r>
        <w:rPr>
          <w:color w:val="0B0B0B"/>
          <w:spacing w:val="-3"/>
        </w:rPr>
        <w:t> </w:t>
      </w:r>
      <w:r>
        <w:rPr>
          <w:color w:val="0B0B0B"/>
        </w:rPr>
        <w:t>en</w:t>
      </w:r>
      <w:r>
        <w:rPr>
          <w:color w:val="0B0B0B"/>
          <w:spacing w:val="-4"/>
        </w:rPr>
        <w:t> </w:t>
      </w:r>
      <w:r>
        <w:rPr>
          <w:color w:val="0B0B0B"/>
        </w:rPr>
        <w:t>el</w:t>
      </w:r>
      <w:r>
        <w:rPr>
          <w:color w:val="0B0B0B"/>
          <w:spacing w:val="-2"/>
        </w:rPr>
        <w:t> </w:t>
      </w:r>
      <w:r>
        <w:rPr>
          <w:color w:val="0B0B0B"/>
        </w:rPr>
        <w:t>artículo</w:t>
      </w:r>
      <w:r>
        <w:rPr>
          <w:color w:val="0B0B0B"/>
          <w:spacing w:val="-3"/>
        </w:rPr>
        <w:t> </w:t>
      </w:r>
      <w:r>
        <w:rPr>
          <w:color w:val="0B0B0B"/>
        </w:rPr>
        <w:t>115,</w:t>
      </w:r>
      <w:r>
        <w:rPr>
          <w:color w:val="0B0B0B"/>
          <w:spacing w:val="-3"/>
        </w:rPr>
        <w:t> </w:t>
      </w:r>
      <w:r>
        <w:rPr>
          <w:color w:val="0B0B0B"/>
        </w:rPr>
        <w:t>segundo</w:t>
      </w:r>
      <w:r>
        <w:rPr>
          <w:color w:val="0B0B0B"/>
          <w:spacing w:val="-2"/>
        </w:rPr>
        <w:t> </w:t>
      </w:r>
      <w:r>
        <w:rPr>
          <w:color w:val="0B0B0B"/>
        </w:rPr>
        <w:t>párrafo</w:t>
      </w:r>
      <w:r>
        <w:rPr>
          <w:color w:val="0B0B0B"/>
          <w:spacing w:val="-3"/>
        </w:rPr>
        <w:t> </w:t>
      </w:r>
      <w:r>
        <w:rPr>
          <w:color w:val="0B0B0B"/>
        </w:rPr>
        <w:t>de</w:t>
      </w:r>
      <w:r>
        <w:rPr>
          <w:color w:val="0B0B0B"/>
          <w:spacing w:val="-3"/>
        </w:rPr>
        <w:t> </w:t>
      </w:r>
      <w:r>
        <w:rPr>
          <w:color w:val="0B0B0B"/>
        </w:rPr>
        <w:t>la Ley del ISR.</w:t>
      </w:r>
    </w:p>
    <w:p>
      <w:pPr>
        <w:pStyle w:val="BodyText"/>
        <w:spacing w:before="98"/>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3"/>
        </w:numPr>
        <w:tabs>
          <w:tab w:pos="2664" w:val="left" w:leader="none"/>
        </w:tabs>
        <w:spacing w:line="266" w:lineRule="auto" w:before="122" w:after="0"/>
        <w:ind w:left="2664" w:right="257" w:hanging="504"/>
        <w:jc w:val="both"/>
        <w:rPr>
          <w:sz w:val="18"/>
        </w:rPr>
      </w:pPr>
      <w:r>
        <w:rPr>
          <w:color w:val="0B0B0B"/>
          <w:sz w:val="18"/>
        </w:rPr>
        <w:t>Los</w:t>
      </w:r>
      <w:r>
        <w:rPr>
          <w:color w:val="0B0B0B"/>
          <w:spacing w:val="-3"/>
          <w:sz w:val="18"/>
        </w:rPr>
        <w:t> </w:t>
      </w:r>
      <w:r>
        <w:rPr>
          <w:color w:val="0B0B0B"/>
          <w:sz w:val="18"/>
        </w:rPr>
        <w:t>tenedores</w:t>
      </w:r>
      <w:r>
        <w:rPr>
          <w:color w:val="0B0B0B"/>
          <w:spacing w:val="-2"/>
          <w:sz w:val="18"/>
        </w:rPr>
        <w:t> </w:t>
      </w:r>
      <w:r>
        <w:rPr>
          <w:color w:val="0B0B0B"/>
          <w:sz w:val="18"/>
        </w:rPr>
        <w:t>de</w:t>
      </w:r>
      <w:r>
        <w:rPr>
          <w:color w:val="0B0B0B"/>
          <w:spacing w:val="-3"/>
          <w:sz w:val="18"/>
        </w:rPr>
        <w:t> </w:t>
      </w:r>
      <w:r>
        <w:rPr>
          <w:color w:val="0B0B0B"/>
          <w:sz w:val="18"/>
        </w:rPr>
        <w:t>los</w:t>
      </w:r>
      <w:r>
        <w:rPr>
          <w:color w:val="0B0B0B"/>
          <w:spacing w:val="-3"/>
          <w:sz w:val="18"/>
        </w:rPr>
        <w:t> </w:t>
      </w:r>
      <w:r>
        <w:rPr>
          <w:color w:val="0B0B0B"/>
          <w:sz w:val="18"/>
        </w:rPr>
        <w:t>certificados</w:t>
      </w:r>
      <w:r>
        <w:rPr>
          <w:color w:val="0B0B0B"/>
          <w:spacing w:val="-3"/>
          <w:sz w:val="18"/>
        </w:rPr>
        <w:t> </w:t>
      </w:r>
      <w:r>
        <w:rPr>
          <w:color w:val="0B0B0B"/>
          <w:sz w:val="18"/>
        </w:rPr>
        <w:t>de</w:t>
      </w:r>
      <w:r>
        <w:rPr>
          <w:color w:val="0B0B0B"/>
          <w:spacing w:val="-4"/>
          <w:sz w:val="18"/>
        </w:rPr>
        <w:t> </w:t>
      </w:r>
      <w:r>
        <w:rPr>
          <w:color w:val="0B0B0B"/>
          <w:sz w:val="18"/>
        </w:rPr>
        <w:t>participación</w:t>
      </w:r>
      <w:r>
        <w:rPr>
          <w:color w:val="0B0B0B"/>
          <w:spacing w:val="-3"/>
          <w:sz w:val="18"/>
        </w:rPr>
        <w:t> </w:t>
      </w:r>
      <w:r>
        <w:rPr>
          <w:color w:val="0B0B0B"/>
          <w:sz w:val="18"/>
        </w:rPr>
        <w:t>que</w:t>
      </w:r>
      <w:r>
        <w:rPr>
          <w:color w:val="0B0B0B"/>
          <w:spacing w:val="-3"/>
          <w:sz w:val="18"/>
        </w:rPr>
        <w:t> </w:t>
      </w:r>
      <w:r>
        <w:rPr>
          <w:color w:val="0B0B0B"/>
          <w:sz w:val="18"/>
        </w:rPr>
        <w:t>apliquen</w:t>
      </w:r>
      <w:r>
        <w:rPr>
          <w:color w:val="0B0B0B"/>
          <w:spacing w:val="-3"/>
          <w:sz w:val="18"/>
        </w:rPr>
        <w:t> </w:t>
      </w:r>
      <w:r>
        <w:rPr>
          <w:color w:val="0B0B0B"/>
          <w:sz w:val="18"/>
        </w:rPr>
        <w:t>lo</w:t>
      </w:r>
      <w:r>
        <w:rPr>
          <w:color w:val="0B0B0B"/>
          <w:spacing w:val="-4"/>
          <w:sz w:val="18"/>
        </w:rPr>
        <w:t> </w:t>
      </w:r>
      <w:r>
        <w:rPr>
          <w:color w:val="0B0B0B"/>
          <w:sz w:val="18"/>
        </w:rPr>
        <w:t>señalado</w:t>
      </w:r>
      <w:r>
        <w:rPr>
          <w:color w:val="0B0B0B"/>
          <w:spacing w:val="-3"/>
          <w:sz w:val="18"/>
        </w:rPr>
        <w:t> </w:t>
      </w:r>
      <w:r>
        <w:rPr>
          <w:color w:val="0B0B0B"/>
          <w:sz w:val="18"/>
        </w:rPr>
        <w:t>en</w:t>
      </w:r>
      <w:r>
        <w:rPr>
          <w:color w:val="0B0B0B"/>
          <w:spacing w:val="-3"/>
          <w:sz w:val="18"/>
        </w:rPr>
        <w:t> </w:t>
      </w:r>
      <w:r>
        <w:rPr>
          <w:color w:val="0B0B0B"/>
          <w:sz w:val="18"/>
        </w:rPr>
        <w:t>el artículo</w:t>
      </w:r>
      <w:r>
        <w:rPr>
          <w:color w:val="0B0B0B"/>
          <w:sz w:val="18"/>
        </w:rPr>
        <w:t> 115,</w:t>
      </w:r>
      <w:r>
        <w:rPr>
          <w:color w:val="0B0B0B"/>
          <w:sz w:val="18"/>
        </w:rPr>
        <w:t> segundo párrafo de la Ley del ISR respecto al resultado fiscal distribuido a que se refiere el artículo 188, fracción V de la Ley del ISR.</w:t>
      </w:r>
    </w:p>
    <w:p>
      <w:pPr>
        <w:pStyle w:val="ListParagraph"/>
        <w:numPr>
          <w:ilvl w:val="0"/>
          <w:numId w:val="43"/>
        </w:numPr>
        <w:tabs>
          <w:tab w:pos="2664" w:val="left" w:leader="none"/>
        </w:tabs>
        <w:spacing w:line="266" w:lineRule="auto" w:before="99"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5" w:after="1"/>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329" w:hRule="atLeast"/>
        </w:trPr>
        <w:tc>
          <w:tcPr>
            <w:tcW w:w="2694" w:type="dxa"/>
            <w:shd w:val="clear" w:color="auto" w:fill="BDBDBD"/>
          </w:tcPr>
          <w:p>
            <w:pPr>
              <w:pStyle w:val="TableParagraph"/>
              <w:spacing w:before="33"/>
              <w:ind w:left="12" w:right="1"/>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33"/>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8" w:hRule="atLeast"/>
        </w:trPr>
        <w:tc>
          <w:tcPr>
            <w:tcW w:w="2694" w:type="dxa"/>
          </w:tcPr>
          <w:p>
            <w:pPr>
              <w:pStyle w:val="TableParagraph"/>
              <w:spacing w:before="34"/>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2020</w:t>
            </w:r>
          </w:p>
        </w:tc>
        <w:tc>
          <w:tcPr>
            <w:tcW w:w="4210" w:type="dxa"/>
          </w:tcPr>
          <w:p>
            <w:pPr>
              <w:pStyle w:val="TableParagraph"/>
              <w:spacing w:line="300" w:lineRule="auto" w:before="33"/>
              <w:ind w:right="16"/>
              <w:rPr>
                <w:sz w:val="16"/>
              </w:rPr>
            </w:pPr>
            <w:r>
              <w:rPr>
                <w:color w:val="0B0B0B"/>
                <w:sz w:val="16"/>
              </w:rPr>
              <w:t>Publicada en el DOF el 29 de diciembre de 2019, </w:t>
            </w:r>
            <w:r>
              <w:rPr>
                <w:color w:val="0B0B0B"/>
                <w:sz w:val="16"/>
              </w:rPr>
              <w:t>Anexo 3, publicado el 9 de enero de 2020.</w:t>
            </w:r>
          </w:p>
        </w:tc>
      </w:tr>
    </w:tbl>
    <w:p>
      <w:pPr>
        <w:pStyle w:val="BodyText"/>
        <w:spacing w:before="138"/>
        <w:ind w:left="0"/>
        <w:jc w:val="left"/>
      </w:pPr>
    </w:p>
    <w:p>
      <w:pPr>
        <w:pStyle w:val="Heading1"/>
        <w:spacing w:line="266" w:lineRule="auto"/>
        <w:ind w:right="255"/>
        <w:jc w:val="both"/>
      </w:pPr>
      <w:r>
        <w:rPr>
          <w:color w:val="0B0B0B"/>
        </w:rPr>
        <w:t>38/ISR/PI</w:t>
      </w:r>
      <w:r>
        <w:rPr>
          <w:color w:val="0B0B0B"/>
          <w:spacing w:val="80"/>
        </w:rPr>
        <w:t> </w:t>
      </w:r>
      <w:r>
        <w:rPr>
          <w:color w:val="0B0B0B"/>
        </w:rPr>
        <w:t>Entero del ISR diferido por los fideicomitentes de un fideicomiso dedicado a la adquisición o construcción de inmuebles. La donación de los certificados de participación obtenidos por la aportación de bienes inmuebles actualiza el supuesto de enajenación.</w:t>
      </w:r>
    </w:p>
    <w:p>
      <w:pPr>
        <w:pStyle w:val="BodyText"/>
        <w:spacing w:line="266" w:lineRule="auto" w:before="98"/>
        <w:ind w:right="255"/>
      </w:pPr>
      <w:r>
        <w:rPr>
          <w:color w:val="0B0B0B"/>
        </w:rPr>
        <w:t>El</w:t>
      </w:r>
      <w:r>
        <w:rPr>
          <w:color w:val="0B0B0B"/>
          <w:spacing w:val="-3"/>
        </w:rPr>
        <w:t> </w:t>
      </w:r>
      <w:r>
        <w:rPr>
          <w:color w:val="0B0B0B"/>
        </w:rPr>
        <w:t>artículo</w:t>
      </w:r>
      <w:r>
        <w:rPr>
          <w:color w:val="0B0B0B"/>
          <w:spacing w:val="-3"/>
        </w:rPr>
        <w:t> </w:t>
      </w:r>
      <w:r>
        <w:rPr>
          <w:color w:val="0B0B0B"/>
        </w:rPr>
        <w:t>188,</w:t>
      </w:r>
      <w:r>
        <w:rPr>
          <w:color w:val="0B0B0B"/>
          <w:spacing w:val="-1"/>
        </w:rPr>
        <w:t> </w:t>
      </w:r>
      <w:r>
        <w:rPr>
          <w:color w:val="0B0B0B"/>
        </w:rPr>
        <w:t>fracción</w:t>
      </w:r>
      <w:r>
        <w:rPr>
          <w:color w:val="0B0B0B"/>
          <w:spacing w:val="-2"/>
        </w:rPr>
        <w:t> </w:t>
      </w:r>
      <w:r>
        <w:rPr>
          <w:color w:val="0B0B0B"/>
        </w:rPr>
        <w:t>XI</w:t>
      </w:r>
      <w:r>
        <w:rPr>
          <w:color w:val="0B0B0B"/>
          <w:spacing w:val="-3"/>
        </w:rPr>
        <w:t> </w:t>
      </w:r>
      <w:r>
        <w:rPr>
          <w:color w:val="0B0B0B"/>
        </w:rPr>
        <w:t>de</w:t>
      </w:r>
      <w:r>
        <w:rPr>
          <w:color w:val="0B0B0B"/>
          <w:spacing w:val="-2"/>
        </w:rPr>
        <w:t> </w:t>
      </w:r>
      <w:r>
        <w:rPr>
          <w:color w:val="0B0B0B"/>
        </w:rPr>
        <w:t>la</w:t>
      </w:r>
      <w:r>
        <w:rPr>
          <w:color w:val="0B0B0B"/>
          <w:spacing w:val="-3"/>
        </w:rPr>
        <w:t> </w:t>
      </w:r>
      <w:r>
        <w:rPr>
          <w:color w:val="0B0B0B"/>
        </w:rPr>
        <w:t>Ley</w:t>
      </w:r>
      <w:r>
        <w:rPr>
          <w:color w:val="0B0B0B"/>
          <w:spacing w:val="-2"/>
        </w:rPr>
        <w:t> </w:t>
      </w:r>
      <w:r>
        <w:rPr>
          <w:color w:val="0B0B0B"/>
        </w:rPr>
        <w:t>del</w:t>
      </w:r>
      <w:r>
        <w:rPr>
          <w:color w:val="0B0B0B"/>
          <w:spacing w:val="-5"/>
        </w:rPr>
        <w:t> </w:t>
      </w:r>
      <w:r>
        <w:rPr>
          <w:color w:val="0B0B0B"/>
        </w:rPr>
        <w:t>ISR</w:t>
      </w:r>
      <w:r>
        <w:rPr>
          <w:color w:val="0B0B0B"/>
          <w:spacing w:val="-2"/>
        </w:rPr>
        <w:t> </w:t>
      </w:r>
      <w:r>
        <w:rPr>
          <w:color w:val="0B0B0B"/>
        </w:rPr>
        <w:t>establece</w:t>
      </w:r>
      <w:r>
        <w:rPr>
          <w:color w:val="0B0B0B"/>
          <w:spacing w:val="-3"/>
        </w:rPr>
        <w:t> </w:t>
      </w:r>
      <w:r>
        <w:rPr>
          <w:color w:val="0B0B0B"/>
        </w:rPr>
        <w:t>que,</w:t>
      </w:r>
      <w:r>
        <w:rPr>
          <w:color w:val="0B0B0B"/>
          <w:spacing w:val="-2"/>
        </w:rPr>
        <w:t> </w:t>
      </w:r>
      <w:r>
        <w:rPr>
          <w:color w:val="0B0B0B"/>
        </w:rPr>
        <w:t>las</w:t>
      </w:r>
      <w:r>
        <w:rPr>
          <w:color w:val="0B0B0B"/>
          <w:spacing w:val="-3"/>
        </w:rPr>
        <w:t> </w:t>
      </w:r>
      <w:r>
        <w:rPr>
          <w:color w:val="0B0B0B"/>
        </w:rPr>
        <w:t>personas</w:t>
      </w:r>
      <w:r>
        <w:rPr>
          <w:color w:val="0B0B0B"/>
          <w:spacing w:val="-3"/>
        </w:rPr>
        <w:t> </w:t>
      </w:r>
      <w:r>
        <w:rPr>
          <w:color w:val="0B0B0B"/>
        </w:rPr>
        <w:t>que</w:t>
      </w:r>
      <w:r>
        <w:rPr>
          <w:color w:val="0B0B0B"/>
          <w:spacing w:val="-3"/>
        </w:rPr>
        <w:t> </w:t>
      </w:r>
      <w:r>
        <w:rPr>
          <w:color w:val="0B0B0B"/>
        </w:rPr>
        <w:t>actuando como fideicomitentes</w:t>
      </w:r>
      <w:r>
        <w:rPr>
          <w:color w:val="0B0B0B"/>
        </w:rPr>
        <w:t> aporten bienes inmuebles al fideicomiso a que se refiere el artículo</w:t>
      </w:r>
      <w:r>
        <w:rPr>
          <w:color w:val="0B0B0B"/>
        </w:rPr>
        <w:t> 187 de dicha Ley y reciban certificados de participación por el valor total o parcial de dichos bienes,</w:t>
      </w:r>
      <w:r>
        <w:rPr>
          <w:color w:val="0B0B0B"/>
        </w:rPr>
        <w:t> podrán diferir el pago del ISR causado por</w:t>
      </w:r>
      <w:r>
        <w:rPr>
          <w:color w:val="0B0B0B"/>
        </w:rPr>
        <w:t> la ganancia obtenida en la enajenación de esos bienes, hasta el momento en que enajenen cada uno de dichos certificados.</w:t>
      </w:r>
    </w:p>
    <w:p>
      <w:pPr>
        <w:pStyle w:val="BodyText"/>
        <w:spacing w:line="266" w:lineRule="auto" w:before="97"/>
        <w:ind w:right="256"/>
      </w:pPr>
      <w:r>
        <w:rPr>
          <w:color w:val="0B0B0B"/>
        </w:rPr>
        <w:t>En los términos del artículo 14, fracción I del CFF, se entiende por</w:t>
      </w:r>
      <w:r>
        <w:rPr>
          <w:color w:val="0B0B0B"/>
        </w:rPr>
        <w:t> enajenación de bienes,</w:t>
      </w:r>
      <w:r>
        <w:rPr>
          <w:color w:val="0B0B0B"/>
        </w:rPr>
        <w:t> toda</w:t>
      </w:r>
      <w:r>
        <w:rPr>
          <w:color w:val="0B0B0B"/>
        </w:rPr>
        <w:t> transmisión de propiedad, aún en la que el enajenante se reserve el dominio del bien enajenado. En este sentido, la donación constituye la enajenación de bienes al ser un contrato por el que una persona transfiere a otra su propiedad.</w:t>
      </w:r>
    </w:p>
    <w:p>
      <w:pPr>
        <w:pStyle w:val="BodyText"/>
        <w:spacing w:line="266" w:lineRule="auto" w:before="97"/>
        <w:ind w:right="257"/>
      </w:pPr>
      <w:r>
        <w:rPr>
          <w:color w:val="0B0B0B"/>
        </w:rPr>
        <w:t>En</w:t>
      </w:r>
      <w:r>
        <w:rPr>
          <w:color w:val="0B0B0B"/>
          <w:spacing w:val="-2"/>
        </w:rPr>
        <w:t> </w:t>
      </w:r>
      <w:r>
        <w:rPr>
          <w:color w:val="0B0B0B"/>
        </w:rPr>
        <w:t>tales</w:t>
      </w:r>
      <w:r>
        <w:rPr>
          <w:color w:val="0B0B0B"/>
          <w:spacing w:val="-1"/>
        </w:rPr>
        <w:t> </w:t>
      </w:r>
      <w:r>
        <w:rPr>
          <w:color w:val="0B0B0B"/>
        </w:rPr>
        <w:t>consideraciones,</w:t>
      </w:r>
      <w:r>
        <w:rPr>
          <w:color w:val="0B0B0B"/>
          <w:spacing w:val="-2"/>
        </w:rPr>
        <w:t> </w:t>
      </w:r>
      <w:r>
        <w:rPr>
          <w:color w:val="0B0B0B"/>
        </w:rPr>
        <w:t>si</w:t>
      </w:r>
      <w:r>
        <w:rPr>
          <w:color w:val="0B0B0B"/>
          <w:spacing w:val="-2"/>
        </w:rPr>
        <w:t> </w:t>
      </w:r>
      <w:r>
        <w:rPr>
          <w:color w:val="0B0B0B"/>
        </w:rPr>
        <w:t>el</w:t>
      </w:r>
      <w:r>
        <w:rPr>
          <w:color w:val="0B0B0B"/>
          <w:spacing w:val="-1"/>
        </w:rPr>
        <w:t> </w:t>
      </w:r>
      <w:r>
        <w:rPr>
          <w:color w:val="0B0B0B"/>
        </w:rPr>
        <w:t>fideicomitente</w:t>
      </w:r>
      <w:r>
        <w:rPr>
          <w:color w:val="0B0B0B"/>
          <w:spacing w:val="-1"/>
        </w:rPr>
        <w:t> </w:t>
      </w:r>
      <w:r>
        <w:rPr>
          <w:color w:val="0B0B0B"/>
        </w:rPr>
        <w:t>efectúa</w:t>
      </w:r>
      <w:r>
        <w:rPr>
          <w:color w:val="0B0B0B"/>
          <w:spacing w:val="-1"/>
        </w:rPr>
        <w:t> </w:t>
      </w:r>
      <w:r>
        <w:rPr>
          <w:color w:val="0B0B0B"/>
        </w:rPr>
        <w:t>la</w:t>
      </w:r>
      <w:r>
        <w:rPr>
          <w:color w:val="0B0B0B"/>
          <w:spacing w:val="-1"/>
        </w:rPr>
        <w:t> </w:t>
      </w:r>
      <w:r>
        <w:rPr>
          <w:color w:val="0B0B0B"/>
        </w:rPr>
        <w:t>donación</w:t>
      </w:r>
      <w:r>
        <w:rPr>
          <w:color w:val="0B0B0B"/>
          <w:spacing w:val="-2"/>
        </w:rPr>
        <w:t> </w:t>
      </w:r>
      <w:r>
        <w:rPr>
          <w:color w:val="0B0B0B"/>
        </w:rPr>
        <w:t>de</w:t>
      </w:r>
      <w:r>
        <w:rPr>
          <w:color w:val="0B0B0B"/>
          <w:spacing w:val="-1"/>
        </w:rPr>
        <w:t> </w:t>
      </w:r>
      <w:r>
        <w:rPr>
          <w:color w:val="0B0B0B"/>
        </w:rPr>
        <w:t>los</w:t>
      </w:r>
      <w:r>
        <w:rPr>
          <w:color w:val="0B0B0B"/>
          <w:spacing w:val="-2"/>
        </w:rPr>
        <w:t> </w:t>
      </w:r>
      <w:r>
        <w:rPr>
          <w:color w:val="0B0B0B"/>
        </w:rPr>
        <w:t>certificados</w:t>
      </w:r>
      <w:r>
        <w:rPr>
          <w:color w:val="0B0B0B"/>
          <w:spacing w:val="-1"/>
        </w:rPr>
        <w:t> </w:t>
      </w:r>
      <w:r>
        <w:rPr>
          <w:color w:val="0B0B0B"/>
        </w:rPr>
        <w:t>de participación que recibió por el valor total o parcial de los bienes inmuebles aportados al fideicomiso, al haber enajenado dichos certificados de conformidad con el artículo 14, fracción I del CFF, deberá efectuar el pago del ISR que hasta ese momento se encontraba diferido y que se causó desde la aportación de los bienes inmuebles al fideicomiso de acuerdo con lo previsto en el</w:t>
      </w:r>
      <w:r>
        <w:rPr>
          <w:color w:val="0B0B0B"/>
          <w:spacing w:val="-1"/>
        </w:rPr>
        <w:t> </w:t>
      </w:r>
      <w:r>
        <w:rPr>
          <w:color w:val="0B0B0B"/>
        </w:rPr>
        <w:t>artículo 188, fracción XI de la Ley</w:t>
      </w:r>
      <w:r>
        <w:rPr>
          <w:color w:val="0B0B0B"/>
          <w:spacing w:val="-1"/>
        </w:rPr>
        <w:t> </w:t>
      </w:r>
      <w:r>
        <w:rPr>
          <w:color w:val="0B0B0B"/>
        </w:rPr>
        <w:t>del ISR.</w:t>
      </w:r>
    </w:p>
    <w:p>
      <w:pPr>
        <w:pStyle w:val="BodyText"/>
        <w:spacing w:line="266" w:lineRule="auto" w:before="96"/>
        <w:ind w:right="257"/>
      </w:pPr>
      <w:r>
        <w:rPr>
          <w:color w:val="0B0B0B"/>
        </w:rPr>
        <w:t>Al efecto, se ha detectado que algunos contribuyentes efectúan la donación de los certificados de participación que recibieron por el valor total o parcial de los bienes aportados al fideicomiso, sin realizar el entero del ISR diferido de conformidad con el artículo 188, fracción XI de la Ley del ISR, al considerar que la donación no implica la enajenación de los certificados, o bien, debido a que la donación se considera exenta cuando así lo establece la Ley del ISR.</w:t>
      </w:r>
    </w:p>
    <w:p>
      <w:pPr>
        <w:pStyle w:val="BodyText"/>
        <w:spacing w:before="99"/>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4"/>
        </w:numPr>
        <w:tabs>
          <w:tab w:pos="2663" w:val="left" w:leader="none"/>
        </w:tabs>
        <w:spacing w:line="266" w:lineRule="auto" w:before="122" w:after="0"/>
        <w:ind w:left="2663" w:right="259" w:hanging="504"/>
        <w:jc w:val="both"/>
        <w:rPr>
          <w:sz w:val="18"/>
        </w:rPr>
      </w:pPr>
      <w:r>
        <w:rPr>
          <w:color w:val="0B0B0B"/>
          <w:sz w:val="18"/>
        </w:rPr>
        <w:t>El fideicomitente que no efectúe el pago del ISR diferido derivado de la aportación de los inmuebles al fideicomiso en los términos del artículo 188, fracción XI de la Ley del ISR, cuando done sus certificados de participación.</w:t>
      </w:r>
    </w:p>
    <w:p>
      <w:pPr>
        <w:pStyle w:val="ListParagraph"/>
        <w:spacing w:after="0" w:line="266" w:lineRule="auto"/>
        <w:jc w:val="both"/>
        <w:rPr>
          <w:sz w:val="18"/>
        </w:rPr>
        <w:sectPr>
          <w:headerReference w:type="default" r:id="rId43"/>
          <w:pgSz w:w="12240" w:h="15840"/>
          <w:pgMar w:header="690" w:footer="0" w:top="1040" w:bottom="280" w:left="1440" w:right="1440"/>
        </w:sectPr>
      </w:pPr>
    </w:p>
    <w:p>
      <w:pPr>
        <w:pStyle w:val="ListParagraph"/>
        <w:numPr>
          <w:ilvl w:val="0"/>
          <w:numId w:val="44"/>
        </w:numPr>
        <w:tabs>
          <w:tab w:pos="2664" w:val="left" w:leader="none"/>
        </w:tabs>
        <w:spacing w:line="268" w:lineRule="auto" w:before="126"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4"/>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174"/>
      </w:tblGrid>
      <w:tr>
        <w:trPr>
          <w:trHeight w:val="334" w:hRule="atLeast"/>
        </w:trPr>
        <w:tc>
          <w:tcPr>
            <w:tcW w:w="2694" w:type="dxa"/>
            <w:shd w:val="clear" w:color="auto" w:fill="BDBDBD"/>
          </w:tcPr>
          <w:p>
            <w:pPr>
              <w:pStyle w:val="TableParagraph"/>
              <w:spacing w:before="38"/>
              <w:ind w:left="12" w:right="1"/>
              <w:jc w:val="center"/>
              <w:rPr>
                <w:rFonts w:ascii="Arial"/>
                <w:b/>
                <w:sz w:val="16"/>
              </w:rPr>
            </w:pPr>
            <w:r>
              <w:rPr>
                <w:rFonts w:ascii="Arial"/>
                <w:b/>
                <w:color w:val="0B0B0B"/>
                <w:spacing w:val="-2"/>
                <w:sz w:val="16"/>
              </w:rPr>
              <w:t>Origen</w:t>
            </w:r>
          </w:p>
        </w:tc>
        <w:tc>
          <w:tcPr>
            <w:tcW w:w="4174" w:type="dxa"/>
            <w:shd w:val="clear" w:color="auto" w:fill="BDBDBD"/>
          </w:tcPr>
          <w:p>
            <w:pPr>
              <w:pStyle w:val="TableParagraph"/>
              <w:spacing w:before="38"/>
              <w:ind w:left="134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7" w:hRule="atLeast"/>
        </w:trPr>
        <w:tc>
          <w:tcPr>
            <w:tcW w:w="2694"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174" w:type="dxa"/>
          </w:tcPr>
          <w:p>
            <w:pPr>
              <w:pStyle w:val="TableParagraph"/>
              <w:spacing w:line="304" w:lineRule="auto" w:before="38"/>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1"/>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diciembre</w:t>
            </w:r>
            <w:r>
              <w:rPr>
                <w:color w:val="0B0B0B"/>
                <w:spacing w:val="-1"/>
                <w:sz w:val="16"/>
              </w:rPr>
              <w:t> </w:t>
            </w:r>
            <w:r>
              <w:rPr>
                <w:color w:val="0B0B0B"/>
                <w:sz w:val="16"/>
              </w:rPr>
              <w:t>de</w:t>
            </w:r>
            <w:r>
              <w:rPr>
                <w:color w:val="0B0B0B"/>
                <w:spacing w:val="-1"/>
                <w:sz w:val="16"/>
              </w:rPr>
              <w:t> </w:t>
            </w:r>
            <w:r>
              <w:rPr>
                <w:color w:val="0B0B0B"/>
                <w:sz w:val="16"/>
              </w:rPr>
              <w:t>2019, Anexo 3, publicado el 9 de enero de 2020.</w:t>
            </w:r>
          </w:p>
        </w:tc>
      </w:tr>
    </w:tbl>
    <w:p>
      <w:pPr>
        <w:pStyle w:val="BodyText"/>
        <w:spacing w:before="145"/>
        <w:ind w:left="0"/>
        <w:jc w:val="left"/>
      </w:pPr>
    </w:p>
    <w:p>
      <w:pPr>
        <w:pStyle w:val="Heading1"/>
        <w:tabs>
          <w:tab w:pos="2145" w:val="left" w:leader="none"/>
        </w:tabs>
        <w:spacing w:line="268" w:lineRule="auto"/>
        <w:ind w:right="257"/>
      </w:pPr>
      <w:r>
        <w:rPr>
          <w:color w:val="0B0B0B"/>
          <w:spacing w:val="-2"/>
        </w:rPr>
        <w:t>39/ISR/PI</w:t>
      </w:r>
      <w:r>
        <w:rPr>
          <w:color w:val="0B0B0B"/>
        </w:rPr>
        <w:tab/>
        <w:t>Donataria</w:t>
      </w:r>
      <w:r>
        <w:rPr>
          <w:color w:val="0B0B0B"/>
          <w:spacing w:val="24"/>
        </w:rPr>
        <w:t> </w:t>
      </w:r>
      <w:r>
        <w:rPr>
          <w:color w:val="0B0B0B"/>
        </w:rPr>
        <w:t>Autorizada. Modificación de los estatutos sociales o del contrato de </w:t>
      </w:r>
      <w:r>
        <w:rPr>
          <w:color w:val="0B0B0B"/>
          <w:spacing w:val="-2"/>
        </w:rPr>
        <w:t>fideicomiso.</w:t>
      </w:r>
    </w:p>
    <w:p>
      <w:pPr>
        <w:pStyle w:val="BodyText"/>
        <w:spacing w:line="268" w:lineRule="auto" w:before="104"/>
        <w:ind w:right="257"/>
      </w:pPr>
      <w:r>
        <w:rPr>
          <w:color w:val="0B0B0B"/>
        </w:rPr>
        <w:t>El artículo 82, fracción I de la Ley del ISR dispone que, para ser consideradas como instituciones autorizadas para recibir donativos deducibles, las personas morales con fines no lucrativos deberán realizar como actividad exclusivamente la que fue autorizada para recibir donativos deducibles.</w:t>
      </w:r>
    </w:p>
    <w:p>
      <w:pPr>
        <w:pStyle w:val="BodyText"/>
        <w:spacing w:line="271" w:lineRule="auto" w:before="105"/>
        <w:ind w:right="255"/>
      </w:pPr>
      <w:r>
        <w:rPr>
          <w:color w:val="0B0B0B"/>
        </w:rPr>
        <w:t>Por su parte, el mismo artículo 82, en su fracción IV señala que las personas morales con fines no lucrativos</w:t>
      </w:r>
      <w:r>
        <w:rPr>
          <w:color w:val="0B0B0B"/>
          <w:spacing w:val="-1"/>
        </w:rPr>
        <w:t> </w:t>
      </w:r>
      <w:r>
        <w:rPr>
          <w:color w:val="0B0B0B"/>
        </w:rPr>
        <w:t>deberán destinar sus activos exclusivamente a los fines propios de su objeto social, por el cual hayan sido autorizadas para recibir donativos deducibles del ISR, no pudiendo otorgar beneficios sobre el remanente distribuible a ninguna persona física ni a ninguno de sus integrantes personas físicas o morales, salvo que se trate, en este último caso, de alguna de las personas morales o fideicomisos autorizados para recibir donativos deducibles de impuestos o se trate de la remuneración de servicios efectivamente recibidos.</w:t>
      </w:r>
    </w:p>
    <w:p>
      <w:pPr>
        <w:pStyle w:val="BodyText"/>
        <w:spacing w:line="271" w:lineRule="auto" w:before="94"/>
        <w:ind w:right="257"/>
      </w:pPr>
      <w:r>
        <w:rPr>
          <w:color w:val="0B0B0B"/>
        </w:rPr>
        <w:t>Asimismo, en su fracción V el citado artículo determina que las personas morales con fines no lucrativos al momento de su liquidación o cambio de residencia para efectos fiscales, deberán destinar la totalidad de su patrimonio a otras entidades autorizadas para recibir donativos deducibles, lo cual también será aplicable en los supuestos de revocación, pérdida de vigencia o cancelación de la autorización, siempre que no se haya obtenido nuevamente o renovado la misma, dentro de los doce meses siguientes a la fecha en que ocurran dichos eventos.</w:t>
      </w:r>
    </w:p>
    <w:p>
      <w:pPr>
        <w:pStyle w:val="BodyText"/>
        <w:spacing w:line="271" w:lineRule="auto" w:before="95"/>
        <w:ind w:right="258"/>
      </w:pPr>
      <w:r>
        <w:rPr>
          <w:color w:val="0B0B0B"/>
        </w:rPr>
        <w:t>Además,</w:t>
      </w:r>
      <w:r>
        <w:rPr>
          <w:color w:val="0B0B0B"/>
        </w:rPr>
        <w:t> el segundo párrafo del referido artículo 82, establece que los requisitos establecidos en sus fracciones IV y V deberán constar de manera expresa y con carácter de irrevocable en los estatutos sociales o contrato de fideicomiso respectivo de las personas morales autorizadas para recibir donativos deducibles.</w:t>
      </w:r>
    </w:p>
    <w:p>
      <w:pPr>
        <w:pStyle w:val="BodyText"/>
        <w:spacing w:line="268" w:lineRule="auto" w:before="97"/>
        <w:ind w:right="257"/>
      </w:pPr>
      <w:r>
        <w:rPr>
          <w:color w:val="0B0B0B"/>
        </w:rPr>
        <w:t>En ese tenor, de conformidad con el artículo 28 del Código Civil Federal, aplicable de manera supletoria de acuerdo al artículo 5o. del CFF, las personas morales se rigen por las leyes correspondientes, por su escritura constitutiva y por sus estatutos.</w:t>
      </w:r>
    </w:p>
    <w:p>
      <w:pPr>
        <w:pStyle w:val="BodyText"/>
        <w:spacing w:line="268" w:lineRule="auto" w:before="105"/>
        <w:ind w:right="258"/>
      </w:pPr>
      <w:r>
        <w:rPr>
          <w:color w:val="0B0B0B"/>
        </w:rPr>
        <w:t>Por lo anterior, se considera que se realiza una práctica fiscal indebida cuando las organizaciones civiles o fideicomisos que cuentan con autorización para recibir donativos deducibles:</w:t>
      </w:r>
    </w:p>
    <w:p>
      <w:pPr>
        <w:pStyle w:val="ListParagraph"/>
        <w:numPr>
          <w:ilvl w:val="0"/>
          <w:numId w:val="45"/>
        </w:numPr>
        <w:tabs>
          <w:tab w:pos="2664" w:val="left" w:leader="none"/>
        </w:tabs>
        <w:spacing w:line="271" w:lineRule="auto" w:before="104" w:after="0"/>
        <w:ind w:left="2664" w:right="257" w:hanging="504"/>
        <w:jc w:val="both"/>
        <w:rPr>
          <w:sz w:val="18"/>
        </w:rPr>
      </w:pPr>
      <w:r>
        <w:rPr>
          <w:color w:val="0B0B0B"/>
          <w:sz w:val="18"/>
        </w:rPr>
        <w:t>Modifiquen sus estatutos o el contrato de fideicomiso, a efecto de contemplar actividades no relacionadas con su objeto social autorizado o actividades que persigan fines económicos, que se contrapongan a las disposiciones fiscales </w:t>
      </w:r>
      <w:r>
        <w:rPr>
          <w:color w:val="0B0B0B"/>
          <w:spacing w:val="-2"/>
          <w:sz w:val="18"/>
        </w:rPr>
        <w:t>aplicables.</w:t>
      </w:r>
    </w:p>
    <w:p>
      <w:pPr>
        <w:pStyle w:val="ListParagraph"/>
        <w:numPr>
          <w:ilvl w:val="0"/>
          <w:numId w:val="45"/>
        </w:numPr>
        <w:tabs>
          <w:tab w:pos="2664" w:val="left" w:leader="none"/>
        </w:tabs>
        <w:spacing w:line="271" w:lineRule="auto" w:before="98" w:after="0"/>
        <w:ind w:left="2664" w:right="256" w:hanging="504"/>
        <w:jc w:val="both"/>
        <w:rPr>
          <w:sz w:val="18"/>
        </w:rPr>
      </w:pPr>
      <w:r>
        <w:rPr>
          <w:color w:val="0B0B0B"/>
          <w:sz w:val="18"/>
        </w:rPr>
        <w:t>Modifiquen sus estatutos o el contrato de fideicomiso, a efecto de incluir actos que impliquen la transmisión de su patrimonio a personas físicas o a entidades no autorizadas para recibir</w:t>
      </w:r>
      <w:r>
        <w:rPr>
          <w:color w:val="0B0B0B"/>
          <w:sz w:val="18"/>
        </w:rPr>
        <w:t> donativos deducibles, o bien, para obtener financiamiento de recursos para actividades distintas</w:t>
      </w:r>
      <w:r>
        <w:rPr>
          <w:color w:val="0B0B0B"/>
          <w:sz w:val="18"/>
        </w:rPr>
        <w:t> a las señalas en la</w:t>
      </w:r>
      <w:r>
        <w:rPr>
          <w:color w:val="0B0B0B"/>
          <w:spacing w:val="40"/>
          <w:sz w:val="18"/>
        </w:rPr>
        <w:t> </w:t>
      </w:r>
      <w:r>
        <w:rPr>
          <w:color w:val="0B0B0B"/>
          <w:sz w:val="18"/>
        </w:rPr>
        <w:t>fracción I del artículo 82 de la Ley del ISR.</w:t>
      </w:r>
    </w:p>
    <w:p>
      <w:pPr>
        <w:pStyle w:val="ListParagraph"/>
        <w:numPr>
          <w:ilvl w:val="0"/>
          <w:numId w:val="45"/>
        </w:numPr>
        <w:tabs>
          <w:tab w:pos="2662" w:val="left" w:leader="none"/>
          <w:tab w:pos="2664" w:val="left" w:leader="none"/>
        </w:tabs>
        <w:spacing w:line="271" w:lineRule="auto" w:before="96" w:after="0"/>
        <w:ind w:left="2664" w:right="258" w:hanging="504"/>
        <w:jc w:val="both"/>
        <w:rPr>
          <w:sz w:val="18"/>
        </w:rPr>
      </w:pPr>
      <w:r>
        <w:rPr>
          <w:color w:val="0B0B0B"/>
          <w:sz w:val="18"/>
        </w:rPr>
        <w:t>No actualicen sus cláusulas de patrimonio y liquidación conforme a lo establecido en la reforma a la Ley del ISR, en vigor a partir del 1 de enero de </w:t>
      </w:r>
      <w:r>
        <w:rPr>
          <w:color w:val="0B0B0B"/>
          <w:spacing w:val="-2"/>
          <w:sz w:val="18"/>
        </w:rPr>
        <w:t>2021.</w:t>
      </w:r>
    </w:p>
    <w:p>
      <w:pPr>
        <w:pStyle w:val="ListParagraph"/>
        <w:numPr>
          <w:ilvl w:val="0"/>
          <w:numId w:val="45"/>
        </w:numPr>
        <w:tabs>
          <w:tab w:pos="2664" w:val="left" w:leader="none"/>
        </w:tabs>
        <w:spacing w:line="268" w:lineRule="auto" w:before="99" w:after="0"/>
        <w:ind w:left="2664" w:right="259" w:hanging="504"/>
        <w:jc w:val="both"/>
        <w:rPr>
          <w:sz w:val="18"/>
        </w:rPr>
      </w:pPr>
      <w:r>
        <w:rPr>
          <w:color w:val="0B0B0B"/>
          <w:sz w:val="18"/>
        </w:rPr>
        <w:t>Reformen sus estatutos a efecto de transformarse en una persona moral con naturaleza jurídica mercantil.</w:t>
      </w:r>
    </w:p>
    <w:p>
      <w:pPr>
        <w:pStyle w:val="ListParagraph"/>
        <w:spacing w:after="0" w:line="268" w:lineRule="auto"/>
        <w:jc w:val="both"/>
        <w:rPr>
          <w:sz w:val="18"/>
        </w:rPr>
        <w:sectPr>
          <w:headerReference w:type="default" r:id="rId44"/>
          <w:pgSz w:w="12240" w:h="15840"/>
          <w:pgMar w:header="690" w:footer="0" w:top="1040" w:bottom="280" w:left="1440" w:right="1440"/>
        </w:sectPr>
      </w:pPr>
    </w:p>
    <w:p>
      <w:pPr>
        <w:pStyle w:val="ListParagraph"/>
        <w:numPr>
          <w:ilvl w:val="0"/>
          <w:numId w:val="45"/>
        </w:numPr>
        <w:tabs>
          <w:tab w:pos="2664" w:val="left" w:leader="none"/>
        </w:tabs>
        <w:spacing w:line="249" w:lineRule="auto" w:before="112" w:after="0"/>
        <w:ind w:left="2664" w:right="258" w:hanging="504"/>
        <w:jc w:val="both"/>
        <w:rPr>
          <w:sz w:val="18"/>
        </w:rPr>
      </w:pPr>
      <w:r>
        <w:rPr>
          <w:color w:val="0B0B0B"/>
          <w:sz w:val="18"/>
        </w:rPr>
        <w:t>Asesoren, aconsejen, presten servicios o participen en la realización o implementación de las prácticas anteriores.</w:t>
      </w:r>
    </w:p>
    <w:p>
      <w:pPr>
        <w:pStyle w:val="BodyText"/>
        <w:spacing w:before="4" w:after="1"/>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314" w:hRule="atLeast"/>
        </w:trPr>
        <w:tc>
          <w:tcPr>
            <w:tcW w:w="2694" w:type="dxa"/>
            <w:shd w:val="clear" w:color="auto" w:fill="BDBDBD"/>
          </w:tcPr>
          <w:p>
            <w:pPr>
              <w:pStyle w:val="TableParagraph"/>
              <w:spacing w:before="21"/>
              <w:ind w:left="12"/>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21"/>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29" w:hRule="atLeast"/>
        </w:trPr>
        <w:tc>
          <w:tcPr>
            <w:tcW w:w="2694" w:type="dxa"/>
          </w:tcPr>
          <w:p>
            <w:pPr>
              <w:pStyle w:val="TableParagraph"/>
              <w:spacing w:before="21"/>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2020</w:t>
            </w:r>
          </w:p>
        </w:tc>
        <w:tc>
          <w:tcPr>
            <w:tcW w:w="4210" w:type="dxa"/>
          </w:tcPr>
          <w:p>
            <w:pPr>
              <w:pStyle w:val="TableParagraph"/>
              <w:spacing w:line="280" w:lineRule="auto" w:before="22"/>
              <w:ind w:right="16"/>
              <w:rPr>
                <w:sz w:val="16"/>
              </w:rPr>
            </w:pPr>
            <w:r>
              <w:rPr>
                <w:color w:val="0B0B0B"/>
                <w:sz w:val="16"/>
              </w:rPr>
              <w:t>Publicada en el DOF el 29 de diciembre de 2019, </w:t>
            </w:r>
            <w:r>
              <w:rPr>
                <w:color w:val="0B0B0B"/>
                <w:sz w:val="16"/>
              </w:rPr>
              <w:t>Anexo 3, publicado el 9 de enero de 2020.</w:t>
            </w:r>
          </w:p>
        </w:tc>
      </w:tr>
    </w:tbl>
    <w:p>
      <w:pPr>
        <w:pStyle w:val="BodyText"/>
        <w:spacing w:before="114"/>
        <w:ind w:left="0"/>
        <w:jc w:val="left"/>
      </w:pPr>
    </w:p>
    <w:p>
      <w:pPr>
        <w:pStyle w:val="Heading1"/>
        <w:spacing w:line="249" w:lineRule="auto" w:before="1"/>
        <w:ind w:right="257"/>
        <w:jc w:val="both"/>
      </w:pPr>
      <w:r>
        <w:rPr>
          <w:color w:val="0B0B0B"/>
        </w:rPr>
        <w:t>40/ISR/PI</w:t>
      </w:r>
      <w:r>
        <w:rPr>
          <w:color w:val="0B0B0B"/>
          <w:spacing w:val="80"/>
        </w:rPr>
        <w:t> </w:t>
      </w:r>
      <w:r>
        <w:rPr>
          <w:color w:val="0B0B0B"/>
        </w:rPr>
        <w:t>Para los efectos del artículo 3-B de la LCF. Se entiende como ISR participable, aquel que es enterado en efectivo, cheque o traspaso.</w:t>
      </w:r>
    </w:p>
    <w:p>
      <w:pPr>
        <w:pStyle w:val="BodyText"/>
        <w:spacing w:line="249" w:lineRule="auto" w:before="100"/>
        <w:ind w:right="256"/>
      </w:pPr>
      <w:r>
        <w:rPr>
          <w:color w:val="0B0B0B"/>
        </w:rPr>
        <w:t>El artículo 3-B de la LCF establece que las entidades adheridas al Sistema Nacional</w:t>
      </w:r>
      <w:r>
        <w:rPr>
          <w:color w:val="0B0B0B"/>
          <w:spacing w:val="40"/>
        </w:rPr>
        <w:t> </w:t>
      </w:r>
      <w:r>
        <w:rPr>
          <w:color w:val="0B0B0B"/>
        </w:rPr>
        <w:t>de</w:t>
      </w:r>
      <w:r>
        <w:rPr>
          <w:color w:val="0B0B0B"/>
          <w:spacing w:val="-1"/>
        </w:rPr>
        <w:t> </w:t>
      </w:r>
      <w:r>
        <w:rPr>
          <w:color w:val="0B0B0B"/>
        </w:rPr>
        <w:t>Coordinación</w:t>
      </w:r>
      <w:r>
        <w:rPr>
          <w:color w:val="0B0B0B"/>
          <w:spacing w:val="-1"/>
        </w:rPr>
        <w:t> </w:t>
      </w:r>
      <w:r>
        <w:rPr>
          <w:color w:val="0B0B0B"/>
        </w:rPr>
        <w:t>Fiscal</w:t>
      </w:r>
      <w:r>
        <w:rPr>
          <w:color w:val="0B0B0B"/>
          <w:spacing w:val="-1"/>
        </w:rPr>
        <w:t> </w:t>
      </w:r>
      <w:r>
        <w:rPr>
          <w:color w:val="0B0B0B"/>
        </w:rPr>
        <w:t>participarán</w:t>
      </w:r>
      <w:r>
        <w:rPr>
          <w:color w:val="0B0B0B"/>
          <w:spacing w:val="-1"/>
        </w:rPr>
        <w:t> </w:t>
      </w:r>
      <w:r>
        <w:rPr>
          <w:color w:val="0B0B0B"/>
        </w:rPr>
        <w:t>al</w:t>
      </w:r>
      <w:r>
        <w:rPr>
          <w:color w:val="0B0B0B"/>
          <w:spacing w:val="-1"/>
        </w:rPr>
        <w:t> </w:t>
      </w:r>
      <w:r>
        <w:rPr>
          <w:color w:val="0B0B0B"/>
        </w:rPr>
        <w:t>100% de</w:t>
      </w:r>
      <w:r>
        <w:rPr>
          <w:color w:val="0B0B0B"/>
          <w:spacing w:val="-1"/>
        </w:rPr>
        <w:t> </w:t>
      </w:r>
      <w:r>
        <w:rPr>
          <w:color w:val="0B0B0B"/>
        </w:rPr>
        <w:t>la</w:t>
      </w:r>
      <w:r>
        <w:rPr>
          <w:color w:val="0B0B0B"/>
          <w:spacing w:val="-1"/>
        </w:rPr>
        <w:t> </w:t>
      </w:r>
      <w:r>
        <w:rPr>
          <w:color w:val="0B0B0B"/>
        </w:rPr>
        <w:t>recaudación</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obtenga</w:t>
      </w:r>
      <w:r>
        <w:rPr>
          <w:color w:val="0B0B0B"/>
          <w:spacing w:val="-1"/>
        </w:rPr>
        <w:t> </w:t>
      </w:r>
      <w:r>
        <w:rPr>
          <w:color w:val="0B0B0B"/>
        </w:rPr>
        <w:t>del</w:t>
      </w:r>
      <w:r>
        <w:rPr>
          <w:color w:val="0B0B0B"/>
          <w:spacing w:val="-1"/>
        </w:rPr>
        <w:t> </w:t>
      </w:r>
      <w:r>
        <w:rPr>
          <w:color w:val="0B0B0B"/>
        </w:rPr>
        <w:t>ISR que efectivamente se entere a la Federación, correspondiente al salario del personal que preste o desempeñe un servicio personal subordinado en las dependencias de la entidad</w:t>
      </w:r>
      <w:r>
        <w:rPr>
          <w:color w:val="0B0B0B"/>
          <w:spacing w:val="-4"/>
        </w:rPr>
        <w:t> </w:t>
      </w:r>
      <w:r>
        <w:rPr>
          <w:color w:val="0B0B0B"/>
        </w:rPr>
        <w:t>federativa,</w:t>
      </w:r>
      <w:r>
        <w:rPr>
          <w:color w:val="0B0B0B"/>
          <w:spacing w:val="-4"/>
        </w:rPr>
        <w:t> </w:t>
      </w:r>
      <w:r>
        <w:rPr>
          <w:color w:val="0B0B0B"/>
        </w:rPr>
        <w:t>del</w:t>
      </w:r>
      <w:r>
        <w:rPr>
          <w:color w:val="0B0B0B"/>
          <w:spacing w:val="-4"/>
        </w:rPr>
        <w:t> </w:t>
      </w:r>
      <w:r>
        <w:rPr>
          <w:color w:val="0B0B0B"/>
        </w:rPr>
        <w:t>municipio</w:t>
      </w:r>
      <w:r>
        <w:rPr>
          <w:color w:val="0B0B0B"/>
          <w:spacing w:val="-4"/>
        </w:rPr>
        <w:t> </w:t>
      </w:r>
      <w:r>
        <w:rPr>
          <w:color w:val="0B0B0B"/>
        </w:rPr>
        <w:t>o</w:t>
      </w:r>
      <w:r>
        <w:rPr>
          <w:color w:val="0B0B0B"/>
          <w:spacing w:val="-3"/>
        </w:rPr>
        <w:t> </w:t>
      </w:r>
      <w:r>
        <w:rPr>
          <w:color w:val="0B0B0B"/>
        </w:rPr>
        <w:t>demarcación</w:t>
      </w:r>
      <w:r>
        <w:rPr>
          <w:color w:val="0B0B0B"/>
          <w:spacing w:val="-4"/>
        </w:rPr>
        <w:t> </w:t>
      </w:r>
      <w:r>
        <w:rPr>
          <w:color w:val="0B0B0B"/>
        </w:rPr>
        <w:t>territorial</w:t>
      </w:r>
      <w:r>
        <w:rPr>
          <w:color w:val="0B0B0B"/>
          <w:spacing w:val="-3"/>
        </w:rPr>
        <w:t> </w:t>
      </w:r>
      <w:r>
        <w:rPr>
          <w:color w:val="0B0B0B"/>
        </w:rPr>
        <w:t>del</w:t>
      </w:r>
      <w:r>
        <w:rPr>
          <w:color w:val="0B0B0B"/>
          <w:spacing w:val="-4"/>
        </w:rPr>
        <w:t> </w:t>
      </w:r>
      <w:r>
        <w:rPr>
          <w:color w:val="0B0B0B"/>
        </w:rPr>
        <w:t>Distrito</w:t>
      </w:r>
      <w:r>
        <w:rPr>
          <w:color w:val="0B0B0B"/>
          <w:spacing w:val="-5"/>
        </w:rPr>
        <w:t> </w:t>
      </w:r>
      <w:r>
        <w:rPr>
          <w:color w:val="0B0B0B"/>
        </w:rPr>
        <w:t>Federal,</w:t>
      </w:r>
      <w:r>
        <w:rPr>
          <w:color w:val="0B0B0B"/>
          <w:spacing w:val="-4"/>
        </w:rPr>
        <w:t> </w:t>
      </w:r>
      <w:r>
        <w:rPr>
          <w:color w:val="0B0B0B"/>
        </w:rPr>
        <w:t>así</w:t>
      </w:r>
      <w:r>
        <w:rPr>
          <w:color w:val="0B0B0B"/>
          <w:spacing w:val="-4"/>
        </w:rPr>
        <w:t> </w:t>
      </w:r>
      <w:r>
        <w:rPr>
          <w:color w:val="0B0B0B"/>
        </w:rPr>
        <w:t>como en sus respectivos organismos autónomos y entidades paraestatales y paramunicipales, siempre que el salario sea efectivamente pagado por</w:t>
      </w:r>
      <w:r>
        <w:rPr>
          <w:color w:val="0B0B0B"/>
        </w:rPr>
        <w:t> los entes mencionados con cargo a sus participaciones u otros ingresos locales.</w:t>
      </w:r>
    </w:p>
    <w:p>
      <w:pPr>
        <w:pStyle w:val="BodyText"/>
        <w:spacing w:line="249" w:lineRule="auto" w:before="105"/>
        <w:ind w:right="257"/>
      </w:pPr>
      <w:r>
        <w:rPr>
          <w:color w:val="0B0B0B"/>
        </w:rPr>
        <w:t>En</w:t>
      </w:r>
      <w:r>
        <w:rPr>
          <w:color w:val="0B0B0B"/>
          <w:spacing w:val="-1"/>
        </w:rPr>
        <w:t> </w:t>
      </w:r>
      <w:r>
        <w:rPr>
          <w:color w:val="0B0B0B"/>
        </w:rPr>
        <w:t>virtud</w:t>
      </w:r>
      <w:r>
        <w:rPr>
          <w:color w:val="0B0B0B"/>
          <w:spacing w:val="-1"/>
        </w:rPr>
        <w:t> </w:t>
      </w:r>
      <w:r>
        <w:rPr>
          <w:color w:val="0B0B0B"/>
        </w:rPr>
        <w:t>de</w:t>
      </w:r>
      <w:r>
        <w:rPr>
          <w:color w:val="0B0B0B"/>
          <w:spacing w:val="-1"/>
        </w:rPr>
        <w:t> </w:t>
      </w:r>
      <w:r>
        <w:rPr>
          <w:color w:val="0B0B0B"/>
        </w:rPr>
        <w:t>lo</w:t>
      </w:r>
      <w:r>
        <w:rPr>
          <w:color w:val="0B0B0B"/>
          <w:spacing w:val="-1"/>
        </w:rPr>
        <w:t> </w:t>
      </w:r>
      <w:r>
        <w:rPr>
          <w:color w:val="0B0B0B"/>
        </w:rPr>
        <w:t>expuesto,</w:t>
      </w:r>
      <w:r>
        <w:rPr>
          <w:color w:val="0B0B0B"/>
          <w:spacing w:val="-1"/>
        </w:rPr>
        <w:t> </w:t>
      </w:r>
      <w:r>
        <w:rPr>
          <w:color w:val="0B0B0B"/>
        </w:rPr>
        <w:t>la</w:t>
      </w:r>
      <w:r>
        <w:rPr>
          <w:color w:val="0B0B0B"/>
          <w:spacing w:val="-1"/>
        </w:rPr>
        <w:t> </w:t>
      </w:r>
      <w:r>
        <w:rPr>
          <w:color w:val="0B0B0B"/>
        </w:rPr>
        <w:t>interpretación del precepto</w:t>
      </w:r>
      <w:r>
        <w:rPr>
          <w:color w:val="0B0B0B"/>
          <w:spacing w:val="-1"/>
        </w:rPr>
        <w:t> </w:t>
      </w:r>
      <w:r>
        <w:rPr>
          <w:color w:val="0B0B0B"/>
        </w:rPr>
        <w:t>legal invocado;</w:t>
      </w:r>
      <w:r>
        <w:rPr>
          <w:color w:val="0B0B0B"/>
          <w:spacing w:val="-1"/>
        </w:rPr>
        <w:t> </w:t>
      </w:r>
      <w:r>
        <w:rPr>
          <w:color w:val="0B0B0B"/>
        </w:rPr>
        <w:t>permite</w:t>
      </w:r>
      <w:r>
        <w:rPr>
          <w:color w:val="0B0B0B"/>
          <w:spacing w:val="-1"/>
        </w:rPr>
        <w:t> </w:t>
      </w:r>
      <w:r>
        <w:rPr>
          <w:color w:val="0B0B0B"/>
        </w:rPr>
        <w:t>concluir que, si bien es cierto las entidades federativas tienen derecho a que se les participe el ISR retenido a sus trabajadores, por el pago de sus salarios, también lo es que ello se encuentra</w:t>
      </w:r>
      <w:r>
        <w:rPr>
          <w:color w:val="0B0B0B"/>
          <w:spacing w:val="-1"/>
        </w:rPr>
        <w:t> </w:t>
      </w:r>
      <w:r>
        <w:rPr>
          <w:color w:val="0B0B0B"/>
        </w:rPr>
        <w:t>condicionado</w:t>
      </w:r>
      <w:r>
        <w:rPr>
          <w:color w:val="0B0B0B"/>
          <w:spacing w:val="-1"/>
        </w:rPr>
        <w:t> </w:t>
      </w:r>
      <w:r>
        <w:rPr>
          <w:color w:val="0B0B0B"/>
        </w:rPr>
        <w:t>a que</w:t>
      </w:r>
      <w:r>
        <w:rPr>
          <w:color w:val="0B0B0B"/>
          <w:spacing w:val="-1"/>
        </w:rPr>
        <w:t> </w:t>
      </w:r>
      <w:r>
        <w:rPr>
          <w:color w:val="0B0B0B"/>
        </w:rPr>
        <w:t>dicho</w:t>
      </w:r>
      <w:r>
        <w:rPr>
          <w:color w:val="0B0B0B"/>
          <w:spacing w:val="-1"/>
        </w:rPr>
        <w:t> </w:t>
      </w:r>
      <w:r>
        <w:rPr>
          <w:color w:val="0B0B0B"/>
        </w:rPr>
        <w:t>impuesto sea</w:t>
      </w:r>
      <w:r>
        <w:rPr>
          <w:color w:val="0B0B0B"/>
          <w:spacing w:val="-1"/>
        </w:rPr>
        <w:t> </w:t>
      </w:r>
      <w:r>
        <w:rPr>
          <w:color w:val="0B0B0B"/>
        </w:rPr>
        <w:t>efectivamente</w:t>
      </w:r>
      <w:r>
        <w:rPr>
          <w:color w:val="0B0B0B"/>
          <w:spacing w:val="-1"/>
        </w:rPr>
        <w:t> </w:t>
      </w:r>
      <w:r>
        <w:rPr>
          <w:color w:val="0B0B0B"/>
        </w:rPr>
        <w:t>pagado por</w:t>
      </w:r>
      <w:r>
        <w:rPr>
          <w:color w:val="0B0B0B"/>
          <w:spacing w:val="-1"/>
        </w:rPr>
        <w:t> </w:t>
      </w:r>
      <w:r>
        <w:rPr>
          <w:color w:val="0B0B0B"/>
        </w:rPr>
        <w:t>los entes mencionados con cargo a sus participaciones u otros ingresos locales, entendiéndose como efectivamente pagado, cuando la obligación se extingue a través de efectivo, cheque o traspaso.</w:t>
      </w:r>
    </w:p>
    <w:p>
      <w:pPr>
        <w:pStyle w:val="BodyText"/>
        <w:spacing w:line="249" w:lineRule="auto" w:before="104"/>
        <w:ind w:right="257"/>
      </w:pPr>
      <w:r>
        <w:rPr>
          <w:color w:val="0B0B0B"/>
        </w:rPr>
        <w:t>Se</w:t>
      </w:r>
      <w:r>
        <w:rPr>
          <w:color w:val="0B0B0B"/>
          <w:spacing w:val="-2"/>
        </w:rPr>
        <w:t> </w:t>
      </w:r>
      <w:r>
        <w:rPr>
          <w:color w:val="0B0B0B"/>
        </w:rPr>
        <w:t>tiene</w:t>
      </w:r>
      <w:r>
        <w:rPr>
          <w:color w:val="0B0B0B"/>
          <w:spacing w:val="-2"/>
        </w:rPr>
        <w:t> </w:t>
      </w:r>
      <w:r>
        <w:rPr>
          <w:color w:val="0B0B0B"/>
        </w:rPr>
        <w:t>conocimiento</w:t>
      </w:r>
      <w:r>
        <w:rPr>
          <w:color w:val="0B0B0B"/>
          <w:spacing w:val="-2"/>
        </w:rPr>
        <w:t> </w:t>
      </w:r>
      <w:r>
        <w:rPr>
          <w:color w:val="0B0B0B"/>
        </w:rPr>
        <w:t>que</w:t>
      </w:r>
      <w:r>
        <w:rPr>
          <w:color w:val="0B0B0B"/>
          <w:spacing w:val="-1"/>
        </w:rPr>
        <w:t> </w:t>
      </w:r>
      <w:r>
        <w:rPr>
          <w:color w:val="0B0B0B"/>
        </w:rPr>
        <w:t>algunos</w:t>
      </w:r>
      <w:r>
        <w:rPr>
          <w:color w:val="0B0B0B"/>
          <w:spacing w:val="-2"/>
        </w:rPr>
        <w:t> </w:t>
      </w:r>
      <w:r>
        <w:rPr>
          <w:color w:val="0B0B0B"/>
        </w:rPr>
        <w:t>municipios</w:t>
      </w:r>
      <w:r>
        <w:rPr>
          <w:color w:val="0B0B0B"/>
          <w:spacing w:val="-2"/>
        </w:rPr>
        <w:t> </w:t>
      </w:r>
      <w:r>
        <w:rPr>
          <w:color w:val="0B0B0B"/>
        </w:rPr>
        <w:t>realizan</w:t>
      </w:r>
      <w:r>
        <w:rPr>
          <w:color w:val="0B0B0B"/>
          <w:spacing w:val="-1"/>
        </w:rPr>
        <w:t> </w:t>
      </w:r>
      <w:r>
        <w:rPr>
          <w:color w:val="0B0B0B"/>
        </w:rPr>
        <w:t>el</w:t>
      </w:r>
      <w:r>
        <w:rPr>
          <w:color w:val="0B0B0B"/>
          <w:spacing w:val="-1"/>
        </w:rPr>
        <w:t> </w:t>
      </w:r>
      <w:r>
        <w:rPr>
          <w:color w:val="0B0B0B"/>
        </w:rPr>
        <w:t>entero</w:t>
      </w:r>
      <w:r>
        <w:rPr>
          <w:color w:val="0B0B0B"/>
          <w:spacing w:val="-3"/>
        </w:rPr>
        <w:t> </w:t>
      </w:r>
      <w:r>
        <w:rPr>
          <w:color w:val="0B0B0B"/>
        </w:rPr>
        <w:t>de</w:t>
      </w:r>
      <w:r>
        <w:rPr>
          <w:color w:val="0B0B0B"/>
          <w:spacing w:val="-1"/>
        </w:rPr>
        <w:t> </w:t>
      </w:r>
      <w:r>
        <w:rPr>
          <w:color w:val="0B0B0B"/>
        </w:rPr>
        <w:t>las</w:t>
      </w:r>
      <w:r>
        <w:rPr>
          <w:color w:val="0B0B0B"/>
          <w:spacing w:val="-1"/>
        </w:rPr>
        <w:t> </w:t>
      </w:r>
      <w:r>
        <w:rPr>
          <w:color w:val="0B0B0B"/>
        </w:rPr>
        <w:t>retenciones</w:t>
      </w:r>
      <w:r>
        <w:rPr>
          <w:color w:val="0B0B0B"/>
          <w:spacing w:val="-1"/>
        </w:rPr>
        <w:t> </w:t>
      </w:r>
      <w:r>
        <w:rPr>
          <w:color w:val="0B0B0B"/>
        </w:rPr>
        <w:t>del ISR de sus trabajadores, a la Federación; por medio de compensaciones de saldos a favor; incumpliendo con el artículo 3-B de la LCF, que establece que sea</w:t>
      </w:r>
      <w:r>
        <w:rPr>
          <w:color w:val="0B0B0B"/>
          <w:spacing w:val="40"/>
        </w:rPr>
        <w:t> </w:t>
      </w:r>
      <w:r>
        <w:rPr>
          <w:color w:val="0B0B0B"/>
        </w:rPr>
        <w:t>efectivamente pagado con cargo a sus participaciones u otros ingresos locales.</w:t>
      </w:r>
    </w:p>
    <w:p>
      <w:pPr>
        <w:pStyle w:val="BodyText"/>
        <w:spacing w:before="101"/>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6"/>
        </w:numPr>
        <w:tabs>
          <w:tab w:pos="2664" w:val="left" w:leader="none"/>
        </w:tabs>
        <w:spacing w:line="249" w:lineRule="auto" w:before="109" w:after="0"/>
        <w:ind w:left="2664" w:right="259" w:hanging="504"/>
        <w:jc w:val="both"/>
        <w:rPr>
          <w:sz w:val="18"/>
        </w:rPr>
      </w:pPr>
      <w:r>
        <w:rPr>
          <w:color w:val="0B0B0B"/>
          <w:sz w:val="18"/>
        </w:rPr>
        <w:t>Cuando los estados y</w:t>
      </w:r>
      <w:r>
        <w:rPr>
          <w:color w:val="0B0B0B"/>
          <w:spacing w:val="-1"/>
          <w:sz w:val="18"/>
        </w:rPr>
        <w:t> </w:t>
      </w:r>
      <w:r>
        <w:rPr>
          <w:color w:val="0B0B0B"/>
          <w:sz w:val="18"/>
        </w:rPr>
        <w:t>municipios,</w:t>
      </w:r>
      <w:r>
        <w:rPr>
          <w:color w:val="0B0B0B"/>
          <w:spacing w:val="-1"/>
          <w:sz w:val="18"/>
        </w:rPr>
        <w:t> </w:t>
      </w:r>
      <w:r>
        <w:rPr>
          <w:color w:val="0B0B0B"/>
          <w:sz w:val="18"/>
        </w:rPr>
        <w:t>para</w:t>
      </w:r>
      <w:r>
        <w:rPr>
          <w:color w:val="0B0B0B"/>
          <w:spacing w:val="-1"/>
          <w:sz w:val="18"/>
        </w:rPr>
        <w:t> </w:t>
      </w:r>
      <w:r>
        <w:rPr>
          <w:color w:val="0B0B0B"/>
          <w:sz w:val="18"/>
        </w:rPr>
        <w:t>obtener</w:t>
      </w:r>
      <w:r>
        <w:rPr>
          <w:color w:val="0B0B0B"/>
          <w:spacing w:val="-1"/>
          <w:sz w:val="18"/>
        </w:rPr>
        <w:t> </w:t>
      </w:r>
      <w:r>
        <w:rPr>
          <w:color w:val="0B0B0B"/>
          <w:sz w:val="18"/>
        </w:rPr>
        <w:t>los</w:t>
      </w:r>
      <w:r>
        <w:rPr>
          <w:color w:val="0B0B0B"/>
          <w:spacing w:val="-1"/>
          <w:sz w:val="18"/>
        </w:rPr>
        <w:t> </w:t>
      </w:r>
      <w:r>
        <w:rPr>
          <w:color w:val="0B0B0B"/>
          <w:sz w:val="18"/>
        </w:rPr>
        <w:t>beneficios</w:t>
      </w:r>
      <w:r>
        <w:rPr>
          <w:color w:val="0B0B0B"/>
          <w:spacing w:val="-1"/>
          <w:sz w:val="18"/>
        </w:rPr>
        <w:t> </w:t>
      </w:r>
      <w:r>
        <w:rPr>
          <w:color w:val="0B0B0B"/>
          <w:sz w:val="18"/>
        </w:rPr>
        <w:t>del artículo</w:t>
      </w:r>
      <w:r>
        <w:rPr>
          <w:color w:val="0B0B0B"/>
          <w:spacing w:val="-1"/>
          <w:sz w:val="18"/>
        </w:rPr>
        <w:t> </w:t>
      </w:r>
      <w:r>
        <w:rPr>
          <w:color w:val="0B0B0B"/>
          <w:sz w:val="18"/>
        </w:rPr>
        <w:t>3-B</w:t>
      </w:r>
      <w:r>
        <w:rPr>
          <w:color w:val="0B0B0B"/>
          <w:spacing w:val="-2"/>
          <w:sz w:val="18"/>
        </w:rPr>
        <w:t> </w:t>
      </w:r>
      <w:r>
        <w:rPr>
          <w:color w:val="0B0B0B"/>
          <w:sz w:val="18"/>
        </w:rPr>
        <w:t>de la LCF, cumplan con la obligación de enterar el ISR retenido a sus trabajadores de una manera distinta al pago en efectivo, cheque o traspaso.</w:t>
      </w:r>
    </w:p>
    <w:p>
      <w:pPr>
        <w:pStyle w:val="ListParagraph"/>
        <w:numPr>
          <w:ilvl w:val="0"/>
          <w:numId w:val="46"/>
        </w:numPr>
        <w:tabs>
          <w:tab w:pos="2664" w:val="left" w:leader="none"/>
        </w:tabs>
        <w:spacing w:line="249" w:lineRule="auto" w:before="101" w:after="0"/>
        <w:ind w:left="2664" w:right="258" w:hanging="504"/>
        <w:jc w:val="both"/>
        <w:rPr>
          <w:sz w:val="18"/>
        </w:rPr>
      </w:pPr>
      <w:r>
        <w:rPr>
          <w:color w:val="0B0B0B"/>
          <w:sz w:val="18"/>
        </w:rPr>
        <w:t>Quien asesore, aconseje, preste servicios o participe en la realización o en la implementación de la práctica anterior.</w:t>
      </w:r>
    </w:p>
    <w:p>
      <w:pPr>
        <w:pStyle w:val="BodyText"/>
        <w:spacing w:before="4"/>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8"/>
      </w:tblGrid>
      <w:tr>
        <w:trPr>
          <w:trHeight w:val="314" w:hRule="atLeast"/>
        </w:trPr>
        <w:tc>
          <w:tcPr>
            <w:tcW w:w="2676" w:type="dxa"/>
            <w:shd w:val="clear" w:color="auto" w:fill="BDBDBD"/>
          </w:tcPr>
          <w:p>
            <w:pPr>
              <w:pStyle w:val="TableParagraph"/>
              <w:spacing w:before="22"/>
              <w:ind w:left="13"/>
              <w:jc w:val="center"/>
              <w:rPr>
                <w:rFonts w:ascii="Arial"/>
                <w:b/>
                <w:sz w:val="16"/>
              </w:rPr>
            </w:pPr>
            <w:r>
              <w:rPr>
                <w:rFonts w:ascii="Arial"/>
                <w:b/>
                <w:color w:val="0B0B0B"/>
                <w:spacing w:val="-2"/>
                <w:sz w:val="16"/>
              </w:rPr>
              <w:t>Origen</w:t>
            </w:r>
          </w:p>
        </w:tc>
        <w:tc>
          <w:tcPr>
            <w:tcW w:w="4218" w:type="dxa"/>
            <w:shd w:val="clear" w:color="auto" w:fill="BDBDBD"/>
          </w:tcPr>
          <w:p>
            <w:pPr>
              <w:pStyle w:val="TableParagraph"/>
              <w:spacing w:before="22"/>
              <w:ind w:left="136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1" w:hRule="atLeast"/>
        </w:trPr>
        <w:tc>
          <w:tcPr>
            <w:tcW w:w="2676" w:type="dxa"/>
          </w:tcPr>
          <w:p>
            <w:pPr>
              <w:pStyle w:val="TableParagraph"/>
              <w:spacing w:before="22"/>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2020</w:t>
            </w:r>
          </w:p>
        </w:tc>
        <w:tc>
          <w:tcPr>
            <w:tcW w:w="4218" w:type="dxa"/>
          </w:tcPr>
          <w:p>
            <w:pPr>
              <w:pStyle w:val="TableParagraph"/>
              <w:spacing w:line="280" w:lineRule="auto"/>
              <w:ind w:right="24"/>
              <w:rPr>
                <w:sz w:val="16"/>
              </w:rPr>
            </w:pPr>
            <w:r>
              <w:rPr>
                <w:color w:val="0B0B0B"/>
                <w:sz w:val="16"/>
              </w:rPr>
              <w:t>Publicada en el DOF el 29 de diciembre de 2019, Anexo 3, publicado el 9 de enero de 2020.</w:t>
            </w:r>
          </w:p>
        </w:tc>
      </w:tr>
    </w:tbl>
    <w:p>
      <w:pPr>
        <w:pStyle w:val="BodyText"/>
        <w:spacing w:before="112"/>
        <w:ind w:left="0"/>
        <w:jc w:val="left"/>
      </w:pPr>
    </w:p>
    <w:p>
      <w:pPr>
        <w:pStyle w:val="Heading1"/>
        <w:spacing w:line="249" w:lineRule="auto" w:before="1"/>
        <w:ind w:right="257"/>
        <w:jc w:val="both"/>
      </w:pPr>
      <w:r>
        <w:rPr>
          <w:color w:val="0B0B0B"/>
        </w:rPr>
        <w:t>41/ISR/PI</w:t>
      </w:r>
      <w:r>
        <w:rPr>
          <w:color w:val="0B0B0B"/>
          <w:spacing w:val="80"/>
        </w:rPr>
        <w:t> </w:t>
      </w:r>
      <w:r>
        <w:rPr>
          <w:color w:val="0B0B0B"/>
        </w:rPr>
        <w:t>Mercancía deteriorada o que perdió valor. El importe de la mercancía que se deduzca de los inventarios del contribuyente</w:t>
      </w:r>
      <w:r>
        <w:rPr>
          <w:color w:val="0B0B0B"/>
        </w:rPr>
        <w:t> no constituye un donativo </w:t>
      </w:r>
      <w:r>
        <w:rPr>
          <w:color w:val="0B0B0B"/>
          <w:spacing w:val="-2"/>
        </w:rPr>
        <w:t>deducible.</w:t>
      </w:r>
    </w:p>
    <w:p>
      <w:pPr>
        <w:pStyle w:val="BodyText"/>
        <w:spacing w:line="249" w:lineRule="auto" w:before="101"/>
        <w:ind w:right="259"/>
      </w:pPr>
      <w:r>
        <w:rPr>
          <w:color w:val="0B0B0B"/>
        </w:rPr>
        <w:t>El artículo 25, primer párrafo, fracción II de la Ley del ISR, establece como deducción el costo de lo vendido, como aquella partida que puede restarse de los ingresos acumulables, con la finalidad de que se determine la base gravable.</w:t>
      </w:r>
    </w:p>
    <w:p>
      <w:pPr>
        <w:pStyle w:val="BodyText"/>
        <w:spacing w:line="249" w:lineRule="auto" w:before="101"/>
        <w:ind w:right="257"/>
      </w:pPr>
      <w:r>
        <w:rPr>
          <w:color w:val="0B0B0B"/>
        </w:rPr>
        <w:t>No obstante, el artículo 27, fracción XX, primer párrafo, de la Ley del ISR, indica que tratándose de aquellas mercancías, materias primas, productos semiterminados o terminados que hubieran sufrido deterioro por causas no imputables al contribuyente, podrán deducirse de los inventarios en el ejercicio en el que se actualice el supuesto de hecho, siempre que tratándose de bienes básicos para la subsistencia humana en materia</w:t>
      </w:r>
      <w:r>
        <w:rPr>
          <w:color w:val="0B0B0B"/>
          <w:spacing w:val="-1"/>
        </w:rPr>
        <w:t> </w:t>
      </w:r>
      <w:r>
        <w:rPr>
          <w:color w:val="0B0B0B"/>
        </w:rPr>
        <w:t>de</w:t>
      </w:r>
      <w:r>
        <w:rPr>
          <w:color w:val="0B0B0B"/>
          <w:spacing w:val="-1"/>
        </w:rPr>
        <w:t> </w:t>
      </w:r>
      <w:r>
        <w:rPr>
          <w:color w:val="0B0B0B"/>
        </w:rPr>
        <w:t>alimentación,</w:t>
      </w:r>
      <w:r>
        <w:rPr>
          <w:color w:val="0B0B0B"/>
          <w:spacing w:val="-2"/>
        </w:rPr>
        <w:t> </w:t>
      </w:r>
      <w:r>
        <w:rPr>
          <w:color w:val="0B0B0B"/>
        </w:rPr>
        <w:t>vestido,</w:t>
      </w:r>
      <w:r>
        <w:rPr>
          <w:color w:val="0B0B0B"/>
          <w:spacing w:val="-2"/>
        </w:rPr>
        <w:t> </w:t>
      </w:r>
      <w:r>
        <w:rPr>
          <w:color w:val="0B0B0B"/>
        </w:rPr>
        <w:t>vivienda</w:t>
      </w:r>
      <w:r>
        <w:rPr>
          <w:color w:val="0B0B0B"/>
          <w:spacing w:val="-1"/>
        </w:rPr>
        <w:t> </w:t>
      </w:r>
      <w:r>
        <w:rPr>
          <w:color w:val="0B0B0B"/>
        </w:rPr>
        <w:t>o</w:t>
      </w:r>
      <w:r>
        <w:rPr>
          <w:color w:val="0B0B0B"/>
          <w:spacing w:val="-1"/>
        </w:rPr>
        <w:t> </w:t>
      </w:r>
      <w:r>
        <w:rPr>
          <w:color w:val="0B0B0B"/>
        </w:rPr>
        <w:t>salud,</w:t>
      </w:r>
      <w:r>
        <w:rPr>
          <w:color w:val="0B0B0B"/>
          <w:spacing w:val="-2"/>
        </w:rPr>
        <w:t> </w:t>
      </w:r>
      <w:r>
        <w:rPr>
          <w:color w:val="0B0B0B"/>
        </w:rPr>
        <w:t>antes</w:t>
      </w:r>
      <w:r>
        <w:rPr>
          <w:color w:val="0B0B0B"/>
          <w:spacing w:val="-2"/>
        </w:rPr>
        <w:t> </w:t>
      </w:r>
      <w:r>
        <w:rPr>
          <w:color w:val="0B0B0B"/>
        </w:rPr>
        <w:t>de</w:t>
      </w:r>
      <w:r>
        <w:rPr>
          <w:color w:val="0B0B0B"/>
          <w:spacing w:val="-2"/>
        </w:rPr>
        <w:t> </w:t>
      </w:r>
      <w:r>
        <w:rPr>
          <w:color w:val="0B0B0B"/>
        </w:rPr>
        <w:t>proceder</w:t>
      </w:r>
      <w:r>
        <w:rPr>
          <w:color w:val="0B0B0B"/>
          <w:spacing w:val="-2"/>
        </w:rPr>
        <w:t> </w:t>
      </w:r>
      <w:r>
        <w:rPr>
          <w:color w:val="0B0B0B"/>
        </w:rPr>
        <w:t>a</w:t>
      </w:r>
      <w:r>
        <w:rPr>
          <w:color w:val="0B0B0B"/>
          <w:spacing w:val="-2"/>
        </w:rPr>
        <w:t> </w:t>
      </w:r>
      <w:r>
        <w:rPr>
          <w:color w:val="0B0B0B"/>
        </w:rPr>
        <w:t>su</w:t>
      </w:r>
      <w:r>
        <w:rPr>
          <w:color w:val="0B0B0B"/>
          <w:spacing w:val="-2"/>
        </w:rPr>
        <w:t> </w:t>
      </w:r>
      <w:r>
        <w:rPr>
          <w:color w:val="0B0B0B"/>
        </w:rPr>
        <w:t>destrucción, se ofrezcan en donación a las instituciones autorizadas para recibir donativos deducibles</w:t>
      </w:r>
      <w:r>
        <w:rPr>
          <w:color w:val="0B0B0B"/>
          <w:spacing w:val="-2"/>
        </w:rPr>
        <w:t> </w:t>
      </w:r>
      <w:r>
        <w:rPr>
          <w:color w:val="0B0B0B"/>
        </w:rPr>
        <w:t>conforme</w:t>
      </w:r>
      <w:r>
        <w:rPr>
          <w:color w:val="0B0B0B"/>
          <w:spacing w:val="-2"/>
        </w:rPr>
        <w:t> </w:t>
      </w:r>
      <w:r>
        <w:rPr>
          <w:color w:val="0B0B0B"/>
        </w:rPr>
        <w:t>a</w:t>
      </w:r>
      <w:r>
        <w:rPr>
          <w:color w:val="0B0B0B"/>
          <w:spacing w:val="-1"/>
        </w:rPr>
        <w:t> </w:t>
      </w:r>
      <w:r>
        <w:rPr>
          <w:color w:val="0B0B0B"/>
        </w:rPr>
        <w:t>esta</w:t>
      </w:r>
      <w:r>
        <w:rPr>
          <w:color w:val="0B0B0B"/>
          <w:spacing w:val="-2"/>
        </w:rPr>
        <w:t> </w:t>
      </w:r>
      <w:r>
        <w:rPr>
          <w:color w:val="0B0B0B"/>
        </w:rPr>
        <w:t>Ley,</w:t>
      </w:r>
      <w:r>
        <w:rPr>
          <w:color w:val="0B0B0B"/>
          <w:spacing w:val="-1"/>
        </w:rPr>
        <w:t> </w:t>
      </w:r>
      <w:r>
        <w:rPr>
          <w:color w:val="0B0B0B"/>
        </w:rPr>
        <w:t>dedicadas</w:t>
      </w:r>
      <w:r>
        <w:rPr>
          <w:color w:val="0B0B0B"/>
          <w:spacing w:val="-1"/>
        </w:rPr>
        <w:t> </w:t>
      </w:r>
      <w:r>
        <w:rPr>
          <w:color w:val="0B0B0B"/>
        </w:rPr>
        <w:t>a</w:t>
      </w:r>
      <w:r>
        <w:rPr>
          <w:color w:val="0B0B0B"/>
          <w:spacing w:val="-2"/>
        </w:rPr>
        <w:t> </w:t>
      </w:r>
      <w:r>
        <w:rPr>
          <w:color w:val="0B0B0B"/>
        </w:rPr>
        <w:t>la</w:t>
      </w:r>
      <w:r>
        <w:rPr>
          <w:color w:val="0B0B0B"/>
          <w:spacing w:val="-1"/>
        </w:rPr>
        <w:t> </w:t>
      </w:r>
      <w:r>
        <w:rPr>
          <w:color w:val="0B0B0B"/>
        </w:rPr>
        <w:t>atención</w:t>
      </w:r>
      <w:r>
        <w:rPr>
          <w:color w:val="0B0B0B"/>
          <w:spacing w:val="-2"/>
        </w:rPr>
        <w:t> </w:t>
      </w:r>
      <w:r>
        <w:rPr>
          <w:color w:val="0B0B0B"/>
        </w:rPr>
        <w:t>de</w:t>
      </w:r>
      <w:r>
        <w:rPr>
          <w:color w:val="0B0B0B"/>
          <w:spacing w:val="-2"/>
        </w:rPr>
        <w:t> </w:t>
      </w:r>
      <w:r>
        <w:rPr>
          <w:color w:val="0B0B0B"/>
        </w:rPr>
        <w:t>requerimientos</w:t>
      </w:r>
      <w:r>
        <w:rPr>
          <w:color w:val="0B0B0B"/>
          <w:spacing w:val="-3"/>
        </w:rPr>
        <w:t> </w:t>
      </w:r>
      <w:r>
        <w:rPr>
          <w:color w:val="0B0B0B"/>
        </w:rPr>
        <w:t>básicos</w:t>
      </w:r>
      <w:r>
        <w:rPr>
          <w:color w:val="0B0B0B"/>
          <w:spacing w:val="-1"/>
        </w:rPr>
        <w:t> </w:t>
      </w:r>
      <w:r>
        <w:rPr>
          <w:color w:val="0B0B0B"/>
        </w:rPr>
        <w:t>de subsistencia en materia de alimentación, vestido, vivienda o salud de personas, sectores,</w:t>
      </w:r>
      <w:r>
        <w:rPr>
          <w:color w:val="0B0B0B"/>
          <w:spacing w:val="-4"/>
        </w:rPr>
        <w:t> </w:t>
      </w:r>
      <w:r>
        <w:rPr>
          <w:color w:val="0B0B0B"/>
        </w:rPr>
        <w:t>comunidades</w:t>
      </w:r>
      <w:r>
        <w:rPr>
          <w:color w:val="0B0B0B"/>
          <w:spacing w:val="-3"/>
        </w:rPr>
        <w:t> </w:t>
      </w:r>
      <w:r>
        <w:rPr>
          <w:color w:val="0B0B0B"/>
        </w:rPr>
        <w:t>o</w:t>
      </w:r>
      <w:r>
        <w:rPr>
          <w:color w:val="0B0B0B"/>
          <w:spacing w:val="-4"/>
        </w:rPr>
        <w:t> </w:t>
      </w:r>
      <w:r>
        <w:rPr>
          <w:color w:val="0B0B0B"/>
        </w:rPr>
        <w:t>regiones,</w:t>
      </w:r>
      <w:r>
        <w:rPr>
          <w:color w:val="0B0B0B"/>
          <w:spacing w:val="-4"/>
        </w:rPr>
        <w:t> </w:t>
      </w:r>
      <w:r>
        <w:rPr>
          <w:color w:val="0B0B0B"/>
        </w:rPr>
        <w:t>de</w:t>
      </w:r>
      <w:r>
        <w:rPr>
          <w:color w:val="0B0B0B"/>
          <w:spacing w:val="-4"/>
        </w:rPr>
        <w:t> </w:t>
      </w:r>
      <w:r>
        <w:rPr>
          <w:color w:val="0B0B0B"/>
        </w:rPr>
        <w:t>escasos</w:t>
      </w:r>
      <w:r>
        <w:rPr>
          <w:color w:val="0B0B0B"/>
          <w:spacing w:val="-4"/>
        </w:rPr>
        <w:t> </w:t>
      </w:r>
      <w:r>
        <w:rPr>
          <w:color w:val="0B0B0B"/>
        </w:rPr>
        <w:t>recursos,</w:t>
      </w:r>
      <w:r>
        <w:rPr>
          <w:color w:val="0B0B0B"/>
          <w:spacing w:val="-4"/>
        </w:rPr>
        <w:t> </w:t>
      </w:r>
      <w:r>
        <w:rPr>
          <w:color w:val="0B0B0B"/>
        </w:rPr>
        <w:t>cumpliendo</w:t>
      </w:r>
      <w:r>
        <w:rPr>
          <w:color w:val="0B0B0B"/>
          <w:spacing w:val="-4"/>
        </w:rPr>
        <w:t> </w:t>
      </w:r>
      <w:r>
        <w:rPr>
          <w:color w:val="0B0B0B"/>
        </w:rPr>
        <w:t>con</w:t>
      </w:r>
      <w:r>
        <w:rPr>
          <w:color w:val="0B0B0B"/>
          <w:spacing w:val="-3"/>
        </w:rPr>
        <w:t> </w:t>
      </w:r>
      <w:r>
        <w:rPr>
          <w:color w:val="0B0B0B"/>
        </w:rPr>
        <w:t>los</w:t>
      </w:r>
      <w:r>
        <w:rPr>
          <w:color w:val="0B0B0B"/>
          <w:spacing w:val="-4"/>
        </w:rPr>
        <w:t> </w:t>
      </w:r>
      <w:r>
        <w:rPr>
          <w:color w:val="0B0B0B"/>
        </w:rPr>
        <w:t>requisitos que para tales efectos establezca el Reglamento de la Ley del ISR.</w:t>
      </w:r>
    </w:p>
    <w:p>
      <w:pPr>
        <w:pStyle w:val="BodyText"/>
        <w:spacing w:after="0" w:line="249" w:lineRule="auto"/>
        <w:sectPr>
          <w:headerReference w:type="default" r:id="rId45"/>
          <w:pgSz w:w="12240" w:h="15840"/>
          <w:pgMar w:header="690" w:footer="0" w:top="1040" w:bottom="280" w:left="1440" w:right="1440"/>
        </w:sectPr>
      </w:pPr>
    </w:p>
    <w:p>
      <w:pPr>
        <w:pStyle w:val="BodyText"/>
        <w:spacing w:line="249" w:lineRule="auto" w:before="112"/>
        <w:ind w:right="257"/>
      </w:pPr>
      <w:r>
        <w:rPr>
          <w:color w:val="0B0B0B"/>
        </w:rPr>
        <w:t>Asimismo, el artículo 27, fracción I de la Ley del ISR, considera como una deducción autorizada los donativos que se otorguen, entre otros, a las personas morales autorizadas para recibir donativos deducibles de dicho impuesto, en una cantidad que no exceda del 7% de la utilidad fiscal obtenida por el contribuyente en el ejercicio inmediato anterior a aquél en que se efectúe la donación.</w:t>
      </w:r>
    </w:p>
    <w:p>
      <w:pPr>
        <w:pStyle w:val="BodyText"/>
        <w:spacing w:line="249" w:lineRule="auto" w:before="69"/>
        <w:ind w:right="257"/>
      </w:pPr>
      <w:r>
        <w:rPr>
          <w:color w:val="0B0B0B"/>
        </w:rPr>
        <w:t>Ahora bien, el artículo 29-A, fracción V, inciso b) del CFF dispone que cuando los comprobantes fiscales digitales, amparen la donación de bienes que hayan sido deducidos previamente para los efectos del ISR, deben indicar expresamente que el donativo no es deducible.</w:t>
      </w:r>
    </w:p>
    <w:p>
      <w:pPr>
        <w:pStyle w:val="BodyText"/>
        <w:spacing w:line="249" w:lineRule="auto" w:before="69"/>
        <w:ind w:right="258"/>
      </w:pPr>
      <w:r>
        <w:rPr>
          <w:color w:val="0B0B0B"/>
        </w:rPr>
        <w:t>En</w:t>
      </w:r>
      <w:r>
        <w:rPr>
          <w:color w:val="0B0B0B"/>
          <w:spacing w:val="-1"/>
        </w:rPr>
        <w:t> </w:t>
      </w:r>
      <w:r>
        <w:rPr>
          <w:color w:val="0B0B0B"/>
        </w:rPr>
        <w:t>ese</w:t>
      </w:r>
      <w:r>
        <w:rPr>
          <w:color w:val="0B0B0B"/>
          <w:spacing w:val="-1"/>
        </w:rPr>
        <w:t> </w:t>
      </w:r>
      <w:r>
        <w:rPr>
          <w:color w:val="0B0B0B"/>
        </w:rPr>
        <w:t>sentido, no</w:t>
      </w:r>
      <w:r>
        <w:rPr>
          <w:color w:val="0B0B0B"/>
          <w:spacing w:val="-1"/>
        </w:rPr>
        <w:t> </w:t>
      </w:r>
      <w:r>
        <w:rPr>
          <w:color w:val="0B0B0B"/>
        </w:rPr>
        <w:t>puede entenderse</w:t>
      </w:r>
      <w:r>
        <w:rPr>
          <w:color w:val="0B0B0B"/>
          <w:spacing w:val="-1"/>
        </w:rPr>
        <w:t> </w:t>
      </w:r>
      <w:r>
        <w:rPr>
          <w:color w:val="0B0B0B"/>
        </w:rPr>
        <w:t>que</w:t>
      </w:r>
      <w:r>
        <w:rPr>
          <w:color w:val="0B0B0B"/>
          <w:spacing w:val="-1"/>
        </w:rPr>
        <w:t> </w:t>
      </w:r>
      <w:r>
        <w:rPr>
          <w:color w:val="0B0B0B"/>
        </w:rPr>
        <w:t>el artículo</w:t>
      </w:r>
      <w:r>
        <w:rPr>
          <w:color w:val="0B0B0B"/>
          <w:spacing w:val="-1"/>
        </w:rPr>
        <w:t> </w:t>
      </w:r>
      <w:r>
        <w:rPr>
          <w:color w:val="0B0B0B"/>
        </w:rPr>
        <w:t>27,</w:t>
      </w:r>
      <w:r>
        <w:rPr>
          <w:color w:val="0B0B0B"/>
          <w:spacing w:val="-1"/>
        </w:rPr>
        <w:t> </w:t>
      </w:r>
      <w:r>
        <w:rPr>
          <w:color w:val="0B0B0B"/>
        </w:rPr>
        <w:t>fracción XX</w:t>
      </w:r>
      <w:r>
        <w:rPr>
          <w:color w:val="0B0B0B"/>
          <w:spacing w:val="-1"/>
        </w:rPr>
        <w:t> </w:t>
      </w:r>
      <w:r>
        <w:rPr>
          <w:color w:val="0B0B0B"/>
        </w:rPr>
        <w:t>de</w:t>
      </w:r>
      <w:r>
        <w:rPr>
          <w:color w:val="0B0B0B"/>
          <w:spacing w:val="-1"/>
        </w:rPr>
        <w:t> </w:t>
      </w:r>
      <w:r>
        <w:rPr>
          <w:color w:val="0B0B0B"/>
        </w:rPr>
        <w:t>la Ley</w:t>
      </w:r>
      <w:r>
        <w:rPr>
          <w:color w:val="0B0B0B"/>
          <w:spacing w:val="-1"/>
        </w:rPr>
        <w:t> </w:t>
      </w:r>
      <w:r>
        <w:rPr>
          <w:color w:val="0B0B0B"/>
        </w:rPr>
        <w:t>del</w:t>
      </w:r>
      <w:r>
        <w:rPr>
          <w:color w:val="0B0B0B"/>
          <w:spacing w:val="-1"/>
        </w:rPr>
        <w:t> </w:t>
      </w:r>
      <w:r>
        <w:rPr>
          <w:color w:val="0B0B0B"/>
        </w:rPr>
        <w:t>ISR, establece la posibilidad de efectuar una doble deducción, esto es, que pueda deducir de sus inventarios las mercancías deterioradas o que han perdido su valor y además puedan deducir la donación de estas a las instituciones autorizadas para recibir donativos deducibles, dedicadas a la atención de requerimientos</w:t>
      </w:r>
      <w:r>
        <w:rPr>
          <w:color w:val="0B0B0B"/>
        </w:rPr>
        <w:t> básicos de subsistencia en materia de alimentación, vestido, vivienda o salud de personas, sectores, comunidades o regiones, de escasos recursos.</w:t>
      </w:r>
    </w:p>
    <w:p>
      <w:pPr>
        <w:pStyle w:val="BodyText"/>
        <w:spacing w:before="71"/>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que</w:t>
      </w:r>
      <w:r>
        <w:rPr>
          <w:color w:val="0B0B0B"/>
          <w:spacing w:val="-8"/>
        </w:rPr>
        <w:t> </w:t>
      </w:r>
      <w:r>
        <w:rPr>
          <w:color w:val="0B0B0B"/>
        </w:rPr>
        <w:t>se</w:t>
      </w:r>
      <w:r>
        <w:rPr>
          <w:color w:val="0B0B0B"/>
          <w:spacing w:val="-7"/>
        </w:rPr>
        <w:t> </w:t>
      </w:r>
      <w:r>
        <w:rPr>
          <w:color w:val="0B0B0B"/>
        </w:rPr>
        <w:t>realiza</w:t>
      </w:r>
      <w:r>
        <w:rPr>
          <w:color w:val="0B0B0B"/>
          <w:spacing w:val="-7"/>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rPr>
        <w:t>indebida</w:t>
      </w:r>
      <w:r>
        <w:rPr>
          <w:color w:val="0B0B0B"/>
          <w:spacing w:val="-7"/>
        </w:rPr>
        <w:t> </w:t>
      </w:r>
      <w:r>
        <w:rPr>
          <w:color w:val="0B0B0B"/>
          <w:spacing w:val="-2"/>
        </w:rPr>
        <w:t>cuando:</w:t>
      </w:r>
    </w:p>
    <w:p>
      <w:pPr>
        <w:pStyle w:val="ListParagraph"/>
        <w:numPr>
          <w:ilvl w:val="0"/>
          <w:numId w:val="47"/>
        </w:numPr>
        <w:tabs>
          <w:tab w:pos="2664" w:val="left" w:leader="none"/>
        </w:tabs>
        <w:spacing w:line="249" w:lineRule="auto" w:before="75" w:after="0"/>
        <w:ind w:left="2664" w:right="258" w:hanging="504"/>
        <w:jc w:val="both"/>
        <w:rPr>
          <w:sz w:val="18"/>
        </w:rPr>
      </w:pPr>
      <w:r>
        <w:rPr>
          <w:color w:val="0B0B0B"/>
          <w:sz w:val="18"/>
        </w:rPr>
        <w:t>Los contribuyentes deduzcan las donaciones de las mercancías deterioradas o que han perdido su valor que entregaron a las instituciones autorizadas para recibir donativos deducibles, y que fueron deducidas de sus inventarios en términos del artículo 27, fracción XX de la Ley del ISR.</w:t>
      </w:r>
    </w:p>
    <w:p>
      <w:pPr>
        <w:pStyle w:val="ListParagraph"/>
        <w:numPr>
          <w:ilvl w:val="0"/>
          <w:numId w:val="47"/>
        </w:numPr>
        <w:tabs>
          <w:tab w:pos="2664" w:val="left" w:leader="none"/>
        </w:tabs>
        <w:spacing w:line="249" w:lineRule="auto" w:before="69" w:after="0"/>
        <w:ind w:left="2664" w:right="258"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6"/>
        <w:ind w:left="0"/>
        <w:jc w:val="left"/>
        <w:rPr>
          <w:sz w:val="5"/>
        </w:rPr>
      </w:pPr>
    </w:p>
    <w:tbl>
      <w:tblPr>
        <w:tblW w:w="0" w:type="auto"/>
        <w:jc w:val="left"/>
        <w:tblInd w:w="218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66"/>
        <w:gridCol w:w="4209"/>
      </w:tblGrid>
      <w:tr>
        <w:trPr>
          <w:trHeight w:val="282" w:hRule="atLeast"/>
        </w:trPr>
        <w:tc>
          <w:tcPr>
            <w:tcW w:w="2666" w:type="dxa"/>
            <w:shd w:val="clear" w:color="auto" w:fill="BDBDBD"/>
          </w:tcPr>
          <w:p>
            <w:pPr>
              <w:pStyle w:val="TableParagraph"/>
              <w:ind w:left="11"/>
              <w:jc w:val="center"/>
              <w:rPr>
                <w:rFonts w:ascii="Arial"/>
                <w:b/>
                <w:sz w:val="16"/>
              </w:rPr>
            </w:pPr>
            <w:r>
              <w:rPr>
                <w:rFonts w:ascii="Arial"/>
                <w:b/>
                <w:color w:val="0B0B0B"/>
                <w:spacing w:val="-2"/>
                <w:sz w:val="16"/>
              </w:rPr>
              <w:t>Origen</w:t>
            </w:r>
          </w:p>
        </w:tc>
        <w:tc>
          <w:tcPr>
            <w:tcW w:w="4209" w:type="dxa"/>
            <w:shd w:val="clear" w:color="auto" w:fill="BDBDBD"/>
          </w:tcPr>
          <w:p>
            <w:pPr>
              <w:pStyle w:val="TableParagraph"/>
              <w:ind w:left="136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13" w:hRule="atLeast"/>
        </w:trPr>
        <w:tc>
          <w:tcPr>
            <w:tcW w:w="2666" w:type="dxa"/>
          </w:tcPr>
          <w:p>
            <w:pPr>
              <w:pStyle w:val="TableParagraph"/>
              <w:spacing w:before="22"/>
              <w:ind w:left="70"/>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2022</w:t>
            </w:r>
          </w:p>
        </w:tc>
        <w:tc>
          <w:tcPr>
            <w:tcW w:w="4209" w:type="dxa"/>
          </w:tcPr>
          <w:p>
            <w:pPr>
              <w:pStyle w:val="TableParagraph"/>
              <w:spacing w:line="280" w:lineRule="auto" w:before="22"/>
              <w:ind w:left="72" w:right="56"/>
              <w:jc w:val="both"/>
              <w:rPr>
                <w:sz w:val="16"/>
              </w:rPr>
            </w:pPr>
            <w:r>
              <w:rPr>
                <w:color w:val="0B0B0B"/>
                <w:sz w:val="16"/>
              </w:rPr>
              <w:t>Publicada en el DOF 27 de diciembre de 2022, </w:t>
            </w:r>
            <w:r>
              <w:rPr>
                <w:color w:val="0B0B0B"/>
                <w:sz w:val="16"/>
              </w:rPr>
              <w:t>Segunda Modificación al Anexo 3, publicado el 10 de enero de 2023, con número de criterio no vinculativo 47/ISR.</w:t>
            </w:r>
          </w:p>
        </w:tc>
      </w:tr>
    </w:tbl>
    <w:p>
      <w:pPr>
        <w:pStyle w:val="BodyText"/>
        <w:spacing w:before="81"/>
        <w:ind w:left="0"/>
        <w:jc w:val="left"/>
      </w:pPr>
    </w:p>
    <w:p>
      <w:pPr>
        <w:pStyle w:val="Heading1"/>
        <w:spacing w:line="249" w:lineRule="auto"/>
        <w:ind w:right="256"/>
        <w:jc w:val="both"/>
      </w:pPr>
      <w:r>
        <w:rPr>
          <w:color w:val="0B0B0B"/>
        </w:rPr>
        <w:t>42/ISR/PI</w:t>
      </w:r>
      <w:r>
        <w:rPr>
          <w:color w:val="0B0B0B"/>
          <w:spacing w:val="80"/>
        </w:rPr>
        <w:t> </w:t>
      </w:r>
      <w:r>
        <w:rPr>
          <w:color w:val="0B0B0B"/>
        </w:rPr>
        <w:t>Cantidades</w:t>
      </w:r>
      <w:r>
        <w:rPr>
          <w:color w:val="0B0B0B"/>
          <w:spacing w:val="40"/>
        </w:rPr>
        <w:t> </w:t>
      </w:r>
      <w:r>
        <w:rPr>
          <w:color w:val="0B0B0B"/>
        </w:rPr>
        <w:t>otorgadas</w:t>
      </w:r>
      <w:r>
        <w:rPr>
          <w:color w:val="0B0B0B"/>
          <w:spacing w:val="40"/>
        </w:rPr>
        <w:t> </w:t>
      </w:r>
      <w:r>
        <w:rPr>
          <w:color w:val="0B0B0B"/>
        </w:rPr>
        <w:t>a</w:t>
      </w:r>
      <w:r>
        <w:rPr>
          <w:color w:val="0B0B0B"/>
          <w:spacing w:val="40"/>
        </w:rPr>
        <w:t> </w:t>
      </w:r>
      <w:r>
        <w:rPr>
          <w:color w:val="0B0B0B"/>
        </w:rPr>
        <w:t>trabajadores</w:t>
      </w:r>
      <w:r>
        <w:rPr>
          <w:color w:val="0B0B0B"/>
          <w:spacing w:val="40"/>
        </w:rPr>
        <w:t> </w:t>
      </w:r>
      <w:r>
        <w:rPr>
          <w:color w:val="0B0B0B"/>
        </w:rPr>
        <w:t>con</w:t>
      </w:r>
      <w:r>
        <w:rPr>
          <w:color w:val="0B0B0B"/>
          <w:spacing w:val="40"/>
        </w:rPr>
        <w:t> </w:t>
      </w:r>
      <w:r>
        <w:rPr>
          <w:color w:val="0B0B0B"/>
        </w:rPr>
        <w:t>cargo</w:t>
      </w:r>
      <w:r>
        <w:rPr>
          <w:color w:val="0B0B0B"/>
          <w:spacing w:val="40"/>
        </w:rPr>
        <w:t> </w:t>
      </w:r>
      <w:r>
        <w:rPr>
          <w:color w:val="0B0B0B"/>
        </w:rPr>
        <w:t>a</w:t>
      </w:r>
      <w:r>
        <w:rPr>
          <w:color w:val="0B0B0B"/>
          <w:spacing w:val="40"/>
        </w:rPr>
        <w:t> </w:t>
      </w:r>
      <w:r>
        <w:rPr>
          <w:color w:val="0B0B0B"/>
        </w:rPr>
        <w:t>planes</w:t>
      </w:r>
      <w:r>
        <w:rPr>
          <w:color w:val="0B0B0B"/>
          <w:spacing w:val="40"/>
        </w:rPr>
        <w:t> </w:t>
      </w:r>
      <w:r>
        <w:rPr>
          <w:color w:val="0B0B0B"/>
        </w:rPr>
        <w:t>de</w:t>
      </w:r>
      <w:r>
        <w:rPr>
          <w:color w:val="0B0B0B"/>
          <w:spacing w:val="40"/>
        </w:rPr>
        <w:t> </w:t>
      </w:r>
      <w:r>
        <w:rPr>
          <w:color w:val="0B0B0B"/>
        </w:rPr>
        <w:t>pensiones.</w:t>
      </w:r>
      <w:r>
        <w:rPr>
          <w:color w:val="0B0B0B"/>
          <w:spacing w:val="40"/>
        </w:rPr>
        <w:t> </w:t>
      </w:r>
      <w:r>
        <w:rPr>
          <w:color w:val="0B0B0B"/>
        </w:rPr>
        <w:t>No tienen el tratamiento de ingreso exento para el trabajador, ni las aportaciones a dichos planes son una deducción para el empleador, cuando constituyen cantidades que forman parte del salario afecto al pago del ISR.</w:t>
      </w:r>
    </w:p>
    <w:p>
      <w:pPr>
        <w:pStyle w:val="BodyText"/>
        <w:spacing w:line="249" w:lineRule="auto" w:before="69"/>
        <w:ind w:right="256"/>
      </w:pPr>
      <w:r>
        <w:rPr>
          <w:color w:val="0B0B0B"/>
        </w:rPr>
        <w:t>El artículo 90, primer párrafo de la Ley del ISR, establece que las personas físicas residentes en México están obligadas al pago del ISR por los ingresos que obtengan en efectivo, en bienes, devengado, en crédito, en servicios o de cualquier otro tipo. Adicionalmente, el artículo 94, primer párrafo de dicha Ley, indica que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w:t>
      </w:r>
    </w:p>
    <w:p>
      <w:pPr>
        <w:pStyle w:val="BodyText"/>
        <w:spacing w:line="249" w:lineRule="auto" w:before="72"/>
        <w:ind w:right="257"/>
      </w:pPr>
      <w:r>
        <w:rPr>
          <w:color w:val="0B0B0B"/>
        </w:rPr>
        <w:t>Asimismo, el artículo 93, primer párrafo, fracciones IV y V de la Ley del ISR, dispone que no se pagará el ISR por</w:t>
      </w:r>
      <w:r>
        <w:rPr>
          <w:color w:val="0B0B0B"/>
        </w:rPr>
        <w:t> la obtención de ingresos por jubilaciones, pensiones, haberes de retiro, así como las pensiones vitalicias u otras formas de retiro, provenientes</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subcuenta del</w:t>
      </w:r>
      <w:r>
        <w:rPr>
          <w:color w:val="0B0B0B"/>
          <w:spacing w:val="-1"/>
        </w:rPr>
        <w:t> </w:t>
      </w:r>
      <w:r>
        <w:rPr>
          <w:color w:val="0B0B0B"/>
        </w:rPr>
        <w:t>seguro de retiro</w:t>
      </w:r>
      <w:r>
        <w:rPr>
          <w:color w:val="0B0B0B"/>
          <w:spacing w:val="-1"/>
        </w:rPr>
        <w:t> </w:t>
      </w:r>
      <w:r>
        <w:rPr>
          <w:color w:val="0B0B0B"/>
        </w:rPr>
        <w:t>o de la</w:t>
      </w:r>
      <w:r>
        <w:rPr>
          <w:color w:val="0B0B0B"/>
          <w:spacing w:val="-1"/>
        </w:rPr>
        <w:t> </w:t>
      </w:r>
      <w:r>
        <w:rPr>
          <w:color w:val="0B0B0B"/>
        </w:rPr>
        <w:t>subcuenta de</w:t>
      </w:r>
      <w:r>
        <w:rPr>
          <w:color w:val="0B0B0B"/>
          <w:spacing w:val="-1"/>
        </w:rPr>
        <w:t> </w:t>
      </w:r>
      <w:r>
        <w:rPr>
          <w:color w:val="0B0B0B"/>
        </w:rPr>
        <w:t>retiro,</w:t>
      </w:r>
      <w:r>
        <w:rPr>
          <w:color w:val="0B0B0B"/>
          <w:spacing w:val="-1"/>
        </w:rPr>
        <w:t> </w:t>
      </w:r>
      <w:r>
        <w:rPr>
          <w:color w:val="0B0B0B"/>
        </w:rPr>
        <w:t>cesantía en edad avanzada y vejez, previstas en la LSS y las provenientes</w:t>
      </w:r>
      <w:r>
        <w:rPr>
          <w:color w:val="0B0B0B"/>
        </w:rPr>
        <w:t> de la cuenta individual del sistema de ahorro para el retiro, prevista en la Ley del ISSSTE, en los casos de invalidez, incapacidad, cesantía, vejez, retiro o muerte, con la limitante que indica la citada fracción IV, por el excedente se pagará el impuesto respectivo y que, para aplicar dicha exención, se deberá considerar la totalidad de las pensiones pagadas al trabajador, independientemente de quien se las pague.</w:t>
      </w:r>
    </w:p>
    <w:p>
      <w:pPr>
        <w:pStyle w:val="BodyText"/>
        <w:spacing w:line="249" w:lineRule="auto" w:before="73"/>
        <w:ind w:right="254"/>
      </w:pPr>
      <w:r>
        <w:rPr>
          <w:color w:val="0B0B0B"/>
        </w:rPr>
        <w:t>Por su parte, de los artículos 54 de la Ley del ISSSTE y 190 de la LSS, se desprende que el trabajador puede adquirir el derecho a disfrutar de una pensión proveniente de algún plan establecido por su patrón o derivado de contratación colectiva, que haya sido</w:t>
      </w:r>
      <w:r>
        <w:rPr>
          <w:color w:val="0B0B0B"/>
          <w:spacing w:val="-3"/>
        </w:rPr>
        <w:t> </w:t>
      </w:r>
      <w:r>
        <w:rPr>
          <w:color w:val="0B0B0B"/>
        </w:rPr>
        <w:t>autorizado</w:t>
      </w:r>
      <w:r>
        <w:rPr>
          <w:color w:val="0B0B0B"/>
          <w:spacing w:val="-2"/>
        </w:rPr>
        <w:t> </w:t>
      </w:r>
      <w:r>
        <w:rPr>
          <w:color w:val="0B0B0B"/>
        </w:rPr>
        <w:t>y</w:t>
      </w:r>
      <w:r>
        <w:rPr>
          <w:color w:val="0B0B0B"/>
          <w:spacing w:val="-5"/>
        </w:rPr>
        <w:t> </w:t>
      </w:r>
      <w:r>
        <w:rPr>
          <w:color w:val="0B0B0B"/>
        </w:rPr>
        <w:t>registrado</w:t>
      </w:r>
      <w:r>
        <w:rPr>
          <w:color w:val="0B0B0B"/>
          <w:spacing w:val="-3"/>
        </w:rPr>
        <w:t> </w:t>
      </w:r>
      <w:r>
        <w:rPr>
          <w:color w:val="0B0B0B"/>
        </w:rPr>
        <w:t>por</w:t>
      </w:r>
      <w:r>
        <w:rPr>
          <w:color w:val="0B0B0B"/>
          <w:spacing w:val="-3"/>
        </w:rPr>
        <w:t> </w:t>
      </w:r>
      <w:r>
        <w:rPr>
          <w:color w:val="0B0B0B"/>
        </w:rPr>
        <w:t>la</w:t>
      </w:r>
      <w:r>
        <w:rPr>
          <w:color w:val="0B0B0B"/>
          <w:spacing w:val="-3"/>
        </w:rPr>
        <w:t> </w:t>
      </w:r>
      <w:r>
        <w:rPr>
          <w:color w:val="0B0B0B"/>
        </w:rPr>
        <w:t>CONSAR.</w:t>
      </w:r>
      <w:r>
        <w:rPr>
          <w:color w:val="0B0B0B"/>
          <w:spacing w:val="-3"/>
        </w:rPr>
        <w:t> </w:t>
      </w:r>
      <w:r>
        <w:rPr>
          <w:color w:val="0B0B0B"/>
        </w:rPr>
        <w:t>Con</w:t>
      </w:r>
      <w:r>
        <w:rPr>
          <w:color w:val="0B0B0B"/>
          <w:spacing w:val="-3"/>
        </w:rPr>
        <w:t> </w:t>
      </w:r>
      <w:r>
        <w:rPr>
          <w:color w:val="0B0B0B"/>
        </w:rPr>
        <w:t>relación</w:t>
      </w:r>
      <w:r>
        <w:rPr>
          <w:color w:val="0B0B0B"/>
          <w:spacing w:val="-3"/>
        </w:rPr>
        <w:t> </w:t>
      </w:r>
      <w:r>
        <w:rPr>
          <w:color w:val="0B0B0B"/>
        </w:rPr>
        <w:t>a</w:t>
      </w:r>
      <w:r>
        <w:rPr>
          <w:color w:val="0B0B0B"/>
          <w:spacing w:val="-3"/>
        </w:rPr>
        <w:t> </w:t>
      </w:r>
      <w:r>
        <w:rPr>
          <w:color w:val="0B0B0B"/>
        </w:rPr>
        <w:t>lo</w:t>
      </w:r>
      <w:r>
        <w:rPr>
          <w:color w:val="0B0B0B"/>
          <w:spacing w:val="-3"/>
        </w:rPr>
        <w:t> </w:t>
      </w:r>
      <w:r>
        <w:rPr>
          <w:color w:val="0B0B0B"/>
        </w:rPr>
        <w:t>anterior,</w:t>
      </w:r>
      <w:r>
        <w:rPr>
          <w:color w:val="0B0B0B"/>
          <w:spacing w:val="-3"/>
        </w:rPr>
        <w:t> </w:t>
      </w:r>
      <w:r>
        <w:rPr>
          <w:color w:val="0B0B0B"/>
        </w:rPr>
        <w:t>los</w:t>
      </w:r>
      <w:r>
        <w:rPr>
          <w:color w:val="0B0B0B"/>
          <w:spacing w:val="-2"/>
        </w:rPr>
        <w:t> </w:t>
      </w:r>
      <w:r>
        <w:rPr>
          <w:color w:val="0B0B0B"/>
        </w:rPr>
        <w:t>artículos</w:t>
      </w:r>
      <w:r>
        <w:rPr>
          <w:color w:val="0B0B0B"/>
          <w:spacing w:val="-3"/>
        </w:rPr>
        <w:t> </w:t>
      </w:r>
      <w:r>
        <w:rPr>
          <w:color w:val="0B0B0B"/>
        </w:rPr>
        <w:t>87 de la Ley del ISSSTE y 157 de la LSS, establecen que para poder disfrutar de una pensión por cesantía en edad avanzada, es necesario que los asegurados reúnan los requisitos establecidos en dichas leyes, entre otros, que el asegurado quede privado de trabajos remunerados a partir de los sesenta años de edad.</w:t>
      </w:r>
    </w:p>
    <w:p>
      <w:pPr>
        <w:pStyle w:val="BodyText"/>
        <w:spacing w:after="0" w:line="249" w:lineRule="auto"/>
        <w:sectPr>
          <w:headerReference w:type="default" r:id="rId46"/>
          <w:pgSz w:w="12240" w:h="15840"/>
          <w:pgMar w:header="690" w:footer="0" w:top="1040" w:bottom="280" w:left="1440" w:right="1440"/>
        </w:sectPr>
      </w:pPr>
    </w:p>
    <w:p>
      <w:pPr>
        <w:pStyle w:val="BodyText"/>
        <w:spacing w:line="249" w:lineRule="auto" w:before="112"/>
        <w:ind w:right="255"/>
      </w:pPr>
      <w:r>
        <w:rPr>
          <w:color w:val="0B0B0B"/>
        </w:rPr>
        <w:t>Bajo</w:t>
      </w:r>
      <w:r>
        <w:rPr>
          <w:color w:val="0B0B0B"/>
          <w:spacing w:val="-4"/>
        </w:rPr>
        <w:t> </w:t>
      </w:r>
      <w:r>
        <w:rPr>
          <w:color w:val="0B0B0B"/>
        </w:rPr>
        <w:t>este</w:t>
      </w:r>
      <w:r>
        <w:rPr>
          <w:color w:val="0B0B0B"/>
          <w:spacing w:val="-4"/>
        </w:rPr>
        <w:t> </w:t>
      </w:r>
      <w:r>
        <w:rPr>
          <w:color w:val="0B0B0B"/>
        </w:rPr>
        <w:t>contexto,</w:t>
      </w:r>
      <w:r>
        <w:rPr>
          <w:color w:val="0B0B0B"/>
          <w:spacing w:val="-4"/>
        </w:rPr>
        <w:t> </w:t>
      </w:r>
      <w:r>
        <w:rPr>
          <w:color w:val="0B0B0B"/>
        </w:rPr>
        <w:t>se</w:t>
      </w:r>
      <w:r>
        <w:rPr>
          <w:color w:val="0B0B0B"/>
          <w:spacing w:val="-4"/>
        </w:rPr>
        <w:t> </w:t>
      </w:r>
      <w:r>
        <w:rPr>
          <w:color w:val="0B0B0B"/>
        </w:rPr>
        <w:t>ha</w:t>
      </w:r>
      <w:r>
        <w:rPr>
          <w:color w:val="0B0B0B"/>
          <w:spacing w:val="-4"/>
        </w:rPr>
        <w:t> </w:t>
      </w:r>
      <w:r>
        <w:rPr>
          <w:color w:val="0B0B0B"/>
        </w:rPr>
        <w:t>detectado</w:t>
      </w:r>
      <w:r>
        <w:rPr>
          <w:color w:val="0B0B0B"/>
          <w:spacing w:val="-3"/>
        </w:rPr>
        <w:t> </w:t>
      </w:r>
      <w:r>
        <w:rPr>
          <w:color w:val="0B0B0B"/>
        </w:rPr>
        <w:t>que</w:t>
      </w:r>
      <w:r>
        <w:rPr>
          <w:color w:val="0B0B0B"/>
          <w:spacing w:val="-3"/>
        </w:rPr>
        <w:t> </w:t>
      </w:r>
      <w:r>
        <w:rPr>
          <w:color w:val="0B0B0B"/>
        </w:rPr>
        <w:t>algunos</w:t>
      </w:r>
      <w:r>
        <w:rPr>
          <w:color w:val="0B0B0B"/>
          <w:spacing w:val="-4"/>
        </w:rPr>
        <w:t> </w:t>
      </w:r>
      <w:r>
        <w:rPr>
          <w:color w:val="0B0B0B"/>
        </w:rPr>
        <w:t>contribuyentes</w:t>
      </w:r>
      <w:r>
        <w:rPr>
          <w:color w:val="0B0B0B"/>
          <w:spacing w:val="-4"/>
        </w:rPr>
        <w:t> </w:t>
      </w:r>
      <w:r>
        <w:rPr>
          <w:color w:val="0B0B0B"/>
        </w:rPr>
        <w:t>contratan</w:t>
      </w:r>
      <w:r>
        <w:rPr>
          <w:color w:val="0B0B0B"/>
          <w:spacing w:val="-4"/>
        </w:rPr>
        <w:t> </w:t>
      </w:r>
      <w:r>
        <w:rPr>
          <w:color w:val="0B0B0B"/>
        </w:rPr>
        <w:t>a</w:t>
      </w:r>
      <w:r>
        <w:rPr>
          <w:color w:val="0B0B0B"/>
          <w:spacing w:val="-4"/>
        </w:rPr>
        <w:t> </w:t>
      </w:r>
      <w:r>
        <w:rPr>
          <w:color w:val="0B0B0B"/>
        </w:rPr>
        <w:t>empresas, despachos o asesores que administran fondos de pensiones o jubilaciones, que no cumplen con los esquemas de ley, con la finalidad de otorgar beneficios económicos a los trabajadores en activo, que mantienen una relación laboral con el patrón que</w:t>
      </w:r>
      <w:r>
        <w:rPr>
          <w:color w:val="0B0B0B"/>
          <w:spacing w:val="40"/>
        </w:rPr>
        <w:t> </w:t>
      </w:r>
      <w:r>
        <w:rPr>
          <w:color w:val="0B0B0B"/>
        </w:rPr>
        <w:t>realiza las aportaciones al fondo, los cuales se dan a título de pensión, con diversos conceptos como plan de bienestar social, plan de beneficios múltiples, plan de subsistencia</w:t>
      </w:r>
      <w:r>
        <w:rPr>
          <w:color w:val="0B0B0B"/>
          <w:spacing w:val="34"/>
        </w:rPr>
        <w:t> </w:t>
      </w:r>
      <w:r>
        <w:rPr>
          <w:color w:val="0B0B0B"/>
        </w:rPr>
        <w:t>o</w:t>
      </w:r>
      <w:r>
        <w:rPr>
          <w:color w:val="0B0B0B"/>
          <w:spacing w:val="33"/>
        </w:rPr>
        <w:t> </w:t>
      </w:r>
      <w:r>
        <w:rPr>
          <w:color w:val="0B0B0B"/>
        </w:rPr>
        <w:t>de</w:t>
      </w:r>
      <w:r>
        <w:rPr>
          <w:color w:val="0B0B0B"/>
          <w:spacing w:val="33"/>
        </w:rPr>
        <w:t> </w:t>
      </w:r>
      <w:r>
        <w:rPr>
          <w:color w:val="0B0B0B"/>
        </w:rPr>
        <w:t>supervivencia,</w:t>
      </w:r>
      <w:r>
        <w:rPr>
          <w:color w:val="0B0B0B"/>
          <w:spacing w:val="33"/>
        </w:rPr>
        <w:t> </w:t>
      </w:r>
      <w:r>
        <w:rPr>
          <w:color w:val="0B0B0B"/>
        </w:rPr>
        <w:t>cantidades</w:t>
      </w:r>
      <w:r>
        <w:rPr>
          <w:color w:val="0B0B0B"/>
          <w:spacing w:val="33"/>
        </w:rPr>
        <w:t> </w:t>
      </w:r>
      <w:r>
        <w:rPr>
          <w:color w:val="0B0B0B"/>
        </w:rPr>
        <w:t>para</w:t>
      </w:r>
      <w:r>
        <w:rPr>
          <w:color w:val="0B0B0B"/>
          <w:spacing w:val="33"/>
        </w:rPr>
        <w:t> </w:t>
      </w:r>
      <w:r>
        <w:rPr>
          <w:color w:val="0B0B0B"/>
        </w:rPr>
        <w:t>fines</w:t>
      </w:r>
      <w:r>
        <w:rPr>
          <w:color w:val="0B0B0B"/>
          <w:spacing w:val="34"/>
        </w:rPr>
        <w:t> </w:t>
      </w:r>
      <w:r>
        <w:rPr>
          <w:color w:val="0B0B0B"/>
        </w:rPr>
        <w:t>sociales,</w:t>
      </w:r>
      <w:r>
        <w:rPr>
          <w:color w:val="0B0B0B"/>
          <w:spacing w:val="33"/>
        </w:rPr>
        <w:t> </w:t>
      </w:r>
      <w:r>
        <w:rPr>
          <w:color w:val="0B0B0B"/>
        </w:rPr>
        <w:t>etc.;</w:t>
      </w:r>
      <w:r>
        <w:rPr>
          <w:color w:val="0B0B0B"/>
          <w:spacing w:val="32"/>
        </w:rPr>
        <w:t> </w:t>
      </w:r>
      <w:r>
        <w:rPr>
          <w:color w:val="0B0B0B"/>
        </w:rPr>
        <w:t>sin</w:t>
      </w:r>
      <w:r>
        <w:rPr>
          <w:color w:val="0B0B0B"/>
          <w:spacing w:val="33"/>
        </w:rPr>
        <w:t> </w:t>
      </w:r>
      <w:r>
        <w:rPr>
          <w:color w:val="0B0B0B"/>
        </w:rPr>
        <w:t>embargo, se ha detectado que dicho proceder contiene elementos que no están acorde con la naturaleza de los ingresos por pensiones, como son: edad mínima de jubilación de 18 años o antigüedad mínima de jubilación menor a cinco años; frecuencia de pago semanal, decenal, catorcenal o quincenal, entre otros elementos.</w:t>
      </w:r>
    </w:p>
    <w:p>
      <w:pPr>
        <w:pStyle w:val="BodyText"/>
        <w:spacing w:line="249" w:lineRule="auto" w:before="108"/>
        <w:ind w:right="255"/>
      </w:pPr>
      <w:r>
        <w:rPr>
          <w:color w:val="0B0B0B"/>
        </w:rPr>
        <w:t>Por</w:t>
      </w:r>
      <w:r>
        <w:rPr>
          <w:color w:val="0B0B0B"/>
          <w:spacing w:val="-3"/>
        </w:rPr>
        <w:t> </w:t>
      </w:r>
      <w:r>
        <w:rPr>
          <w:color w:val="0B0B0B"/>
        </w:rPr>
        <w:t>lo</w:t>
      </w:r>
      <w:r>
        <w:rPr>
          <w:color w:val="0B0B0B"/>
          <w:spacing w:val="-4"/>
        </w:rPr>
        <w:t> </w:t>
      </w:r>
      <w:r>
        <w:rPr>
          <w:color w:val="0B0B0B"/>
        </w:rPr>
        <w:t>anterior,</w:t>
      </w:r>
      <w:r>
        <w:rPr>
          <w:color w:val="0B0B0B"/>
          <w:spacing w:val="-3"/>
        </w:rPr>
        <w:t> </w:t>
      </w:r>
      <w:r>
        <w:rPr>
          <w:color w:val="0B0B0B"/>
        </w:rPr>
        <w:t>resulta</w:t>
      </w:r>
      <w:r>
        <w:rPr>
          <w:color w:val="0B0B0B"/>
          <w:spacing w:val="-3"/>
        </w:rPr>
        <w:t> </w:t>
      </w:r>
      <w:r>
        <w:rPr>
          <w:color w:val="0B0B0B"/>
        </w:rPr>
        <w:t>evidente</w:t>
      </w:r>
      <w:r>
        <w:rPr>
          <w:color w:val="0B0B0B"/>
          <w:spacing w:val="-3"/>
        </w:rPr>
        <w:t> </w:t>
      </w:r>
      <w:r>
        <w:rPr>
          <w:color w:val="0B0B0B"/>
        </w:rPr>
        <w:t>que</w:t>
      </w:r>
      <w:r>
        <w:rPr>
          <w:color w:val="0B0B0B"/>
          <w:spacing w:val="-2"/>
        </w:rPr>
        <w:t> </w:t>
      </w:r>
      <w:r>
        <w:rPr>
          <w:color w:val="0B0B0B"/>
        </w:rPr>
        <w:t>el</w:t>
      </w:r>
      <w:r>
        <w:rPr>
          <w:color w:val="0B0B0B"/>
          <w:spacing w:val="-2"/>
        </w:rPr>
        <w:t> </w:t>
      </w:r>
      <w:r>
        <w:rPr>
          <w:color w:val="0B0B0B"/>
        </w:rPr>
        <w:t>tratamiento</w:t>
      </w:r>
      <w:r>
        <w:rPr>
          <w:color w:val="0B0B0B"/>
          <w:spacing w:val="-2"/>
        </w:rPr>
        <w:t> </w:t>
      </w:r>
      <w:r>
        <w:rPr>
          <w:color w:val="0B0B0B"/>
        </w:rPr>
        <w:t>fiscal</w:t>
      </w:r>
      <w:r>
        <w:rPr>
          <w:color w:val="0B0B0B"/>
          <w:spacing w:val="-2"/>
        </w:rPr>
        <w:t> </w:t>
      </w:r>
      <w:r>
        <w:rPr>
          <w:color w:val="0B0B0B"/>
        </w:rPr>
        <w:t>de</w:t>
      </w:r>
      <w:r>
        <w:rPr>
          <w:color w:val="0B0B0B"/>
          <w:spacing w:val="-2"/>
        </w:rPr>
        <w:t> </w:t>
      </w:r>
      <w:r>
        <w:rPr>
          <w:color w:val="0B0B0B"/>
        </w:rPr>
        <w:t>exención</w:t>
      </w:r>
      <w:r>
        <w:rPr>
          <w:color w:val="0B0B0B"/>
          <w:spacing w:val="-2"/>
        </w:rPr>
        <w:t> </w:t>
      </w:r>
      <w:r>
        <w:rPr>
          <w:color w:val="0B0B0B"/>
        </w:rPr>
        <w:t>a</w:t>
      </w:r>
      <w:r>
        <w:rPr>
          <w:color w:val="0B0B0B"/>
          <w:spacing w:val="-2"/>
        </w:rPr>
        <w:t> </w:t>
      </w:r>
      <w:r>
        <w:rPr>
          <w:color w:val="0B0B0B"/>
        </w:rPr>
        <w:t>los</w:t>
      </w:r>
      <w:r>
        <w:rPr>
          <w:color w:val="0B0B0B"/>
          <w:spacing w:val="-1"/>
        </w:rPr>
        <w:t> </w:t>
      </w:r>
      <w:r>
        <w:rPr>
          <w:color w:val="0B0B0B"/>
        </w:rPr>
        <w:t>ingresos</w:t>
      </w:r>
      <w:r>
        <w:rPr>
          <w:color w:val="0B0B0B"/>
          <w:spacing w:val="-2"/>
        </w:rPr>
        <w:t> </w:t>
      </w:r>
      <w:r>
        <w:rPr>
          <w:color w:val="0B0B0B"/>
        </w:rPr>
        <w:t>por concepto de pensiones, aplica sólo respecto de aquellos recursos que se entreguen a los trabajadores que reúnen los requisitos para obtener una pensión conforme a las disposiciones en materia de seguridad social; por lo</w:t>
      </w:r>
      <w:r>
        <w:rPr>
          <w:color w:val="0B0B0B"/>
          <w:spacing w:val="-1"/>
        </w:rPr>
        <w:t> </w:t>
      </w:r>
      <w:r>
        <w:rPr>
          <w:color w:val="0B0B0B"/>
        </w:rPr>
        <w:t>tanto, cuando dichos ingresos son obtenidos derivado de una relación laboral, que se entrega a los trabajadores en</w:t>
      </w:r>
      <w:r>
        <w:rPr>
          <w:color w:val="0B0B0B"/>
          <w:spacing w:val="40"/>
        </w:rPr>
        <w:t> </w:t>
      </w:r>
      <w:r>
        <w:rPr>
          <w:color w:val="0B0B0B"/>
        </w:rPr>
        <w:t>activo,</w:t>
      </w:r>
      <w:r>
        <w:rPr>
          <w:color w:val="0B0B0B"/>
        </w:rPr>
        <w:t> de forma permanente y ordinaria, es incuestionable que configuran ingresos acumulables</w:t>
      </w:r>
      <w:r>
        <w:rPr>
          <w:color w:val="0B0B0B"/>
          <w:spacing w:val="39"/>
        </w:rPr>
        <w:t> </w:t>
      </w:r>
      <w:r>
        <w:rPr>
          <w:color w:val="0B0B0B"/>
        </w:rPr>
        <w:t>para</w:t>
      </w:r>
      <w:r>
        <w:rPr>
          <w:color w:val="0B0B0B"/>
          <w:spacing w:val="39"/>
        </w:rPr>
        <w:t> </w:t>
      </w:r>
      <w:r>
        <w:rPr>
          <w:color w:val="0B0B0B"/>
        </w:rPr>
        <w:t>el</w:t>
      </w:r>
      <w:r>
        <w:rPr>
          <w:color w:val="0B0B0B"/>
          <w:spacing w:val="39"/>
        </w:rPr>
        <w:t> </w:t>
      </w:r>
      <w:r>
        <w:rPr>
          <w:color w:val="0B0B0B"/>
        </w:rPr>
        <w:t>trabajador</w:t>
      </w:r>
      <w:r>
        <w:rPr>
          <w:color w:val="0B0B0B"/>
          <w:spacing w:val="39"/>
        </w:rPr>
        <w:t> </w:t>
      </w:r>
      <w:r>
        <w:rPr>
          <w:color w:val="0B0B0B"/>
        </w:rPr>
        <w:t>en</w:t>
      </w:r>
      <w:r>
        <w:rPr>
          <w:color w:val="0B0B0B"/>
          <w:spacing w:val="39"/>
        </w:rPr>
        <w:t> </w:t>
      </w:r>
      <w:r>
        <w:rPr>
          <w:color w:val="0B0B0B"/>
        </w:rPr>
        <w:t>términos</w:t>
      </w:r>
      <w:r>
        <w:rPr>
          <w:color w:val="0B0B0B"/>
          <w:spacing w:val="39"/>
        </w:rPr>
        <w:t> </w:t>
      </w:r>
      <w:r>
        <w:rPr>
          <w:color w:val="0B0B0B"/>
        </w:rPr>
        <w:t>del</w:t>
      </w:r>
      <w:r>
        <w:rPr>
          <w:color w:val="0B0B0B"/>
          <w:spacing w:val="39"/>
        </w:rPr>
        <w:t> </w:t>
      </w:r>
      <w:r>
        <w:rPr>
          <w:color w:val="0B0B0B"/>
        </w:rPr>
        <w:t>Capítulo</w:t>
      </w:r>
      <w:r>
        <w:rPr>
          <w:color w:val="0B0B0B"/>
          <w:spacing w:val="39"/>
        </w:rPr>
        <w:t> </w:t>
      </w:r>
      <w:r>
        <w:rPr>
          <w:color w:val="0B0B0B"/>
        </w:rPr>
        <w:t>I</w:t>
      </w:r>
      <w:r>
        <w:rPr>
          <w:color w:val="0B0B0B"/>
          <w:spacing w:val="39"/>
        </w:rPr>
        <w:t> </w:t>
      </w:r>
      <w:r>
        <w:rPr>
          <w:color w:val="0B0B0B"/>
        </w:rPr>
        <w:t>del</w:t>
      </w:r>
      <w:r>
        <w:rPr>
          <w:color w:val="0B0B0B"/>
          <w:spacing w:val="39"/>
        </w:rPr>
        <w:t> </w:t>
      </w:r>
      <w:r>
        <w:rPr>
          <w:color w:val="0B0B0B"/>
        </w:rPr>
        <w:t>Título</w:t>
      </w:r>
      <w:r>
        <w:rPr>
          <w:color w:val="0B0B0B"/>
          <w:spacing w:val="38"/>
        </w:rPr>
        <w:t> </w:t>
      </w:r>
      <w:r>
        <w:rPr>
          <w:color w:val="0B0B0B"/>
        </w:rPr>
        <w:t>IV</w:t>
      </w:r>
      <w:r>
        <w:rPr>
          <w:color w:val="0B0B0B"/>
          <w:spacing w:val="39"/>
        </w:rPr>
        <w:t> </w:t>
      </w:r>
      <w:r>
        <w:rPr>
          <w:color w:val="0B0B0B"/>
        </w:rPr>
        <w:t>de</w:t>
      </w:r>
      <w:r>
        <w:rPr>
          <w:color w:val="0B0B0B"/>
          <w:spacing w:val="39"/>
        </w:rPr>
        <w:t> </w:t>
      </w:r>
      <w:r>
        <w:rPr>
          <w:color w:val="0B0B0B"/>
        </w:rPr>
        <w:t>la</w:t>
      </w:r>
      <w:r>
        <w:rPr>
          <w:color w:val="0B0B0B"/>
          <w:spacing w:val="40"/>
        </w:rPr>
        <w:t> </w:t>
      </w:r>
      <w:r>
        <w:rPr>
          <w:color w:val="0B0B0B"/>
        </w:rPr>
        <w:t>Ley del ISR.</w:t>
      </w:r>
    </w:p>
    <w:p>
      <w:pPr>
        <w:pStyle w:val="BodyText"/>
        <w:spacing w:line="249" w:lineRule="auto" w:before="107"/>
        <w:ind w:right="256"/>
      </w:pPr>
      <w:r>
        <w:rPr>
          <w:color w:val="0B0B0B"/>
        </w:rPr>
        <w:t>Por otra parte, conforme al artículo 7, quinto párrafo de la Ley del ISR, se considera previsión social, las erogaciones efectuadas que tengan por objeto satisfacer contingencias o necesidades presentes o futuras, así como el otorgar beneficios a favor</w:t>
      </w:r>
      <w:r>
        <w:rPr>
          <w:color w:val="0B0B0B"/>
        </w:rPr>
        <w:t> de los trabajadores,</w:t>
      </w:r>
      <w:r>
        <w:rPr>
          <w:color w:val="0B0B0B"/>
        </w:rPr>
        <w:t> tendientes a su superación física, social, económica o cultural, que les permita el mejoramiento en su calidad de vida y en la de su familia; asimismo,</w:t>
      </w:r>
      <w:r>
        <w:rPr>
          <w:color w:val="0B0B0B"/>
          <w:spacing w:val="-3"/>
        </w:rPr>
        <w:t> </w:t>
      </w:r>
      <w:r>
        <w:rPr>
          <w:color w:val="0B0B0B"/>
        </w:rPr>
        <w:t>el</w:t>
      </w:r>
      <w:r>
        <w:rPr>
          <w:color w:val="0B0B0B"/>
          <w:spacing w:val="-3"/>
        </w:rPr>
        <w:t> </w:t>
      </w:r>
      <w:r>
        <w:rPr>
          <w:color w:val="0B0B0B"/>
        </w:rPr>
        <w:t>artículo</w:t>
      </w:r>
      <w:r>
        <w:rPr>
          <w:color w:val="0B0B0B"/>
          <w:spacing w:val="-3"/>
        </w:rPr>
        <w:t> </w:t>
      </w:r>
      <w:r>
        <w:rPr>
          <w:color w:val="0B0B0B"/>
        </w:rPr>
        <w:t>93,</w:t>
      </w:r>
      <w:r>
        <w:rPr>
          <w:color w:val="0B0B0B"/>
          <w:spacing w:val="-3"/>
        </w:rPr>
        <w:t> </w:t>
      </w:r>
      <w:r>
        <w:rPr>
          <w:color w:val="0B0B0B"/>
        </w:rPr>
        <w:t>primer</w:t>
      </w:r>
      <w:r>
        <w:rPr>
          <w:color w:val="0B0B0B"/>
          <w:spacing w:val="-3"/>
        </w:rPr>
        <w:t> </w:t>
      </w:r>
      <w:r>
        <w:rPr>
          <w:color w:val="0B0B0B"/>
        </w:rPr>
        <w:t>párrafo,</w:t>
      </w:r>
      <w:r>
        <w:rPr>
          <w:color w:val="0B0B0B"/>
          <w:spacing w:val="-3"/>
        </w:rPr>
        <w:t> </w:t>
      </w:r>
      <w:r>
        <w:rPr>
          <w:color w:val="0B0B0B"/>
        </w:rPr>
        <w:t>fracciones</w:t>
      </w:r>
      <w:r>
        <w:rPr>
          <w:color w:val="0B0B0B"/>
          <w:spacing w:val="-3"/>
        </w:rPr>
        <w:t> </w:t>
      </w:r>
      <w:r>
        <w:rPr>
          <w:color w:val="0B0B0B"/>
        </w:rPr>
        <w:t>VIII</w:t>
      </w:r>
      <w:r>
        <w:rPr>
          <w:color w:val="0B0B0B"/>
          <w:spacing w:val="-3"/>
        </w:rPr>
        <w:t> </w:t>
      </w:r>
      <w:r>
        <w:rPr>
          <w:color w:val="0B0B0B"/>
        </w:rPr>
        <w:t>y</w:t>
      </w:r>
      <w:r>
        <w:rPr>
          <w:color w:val="0B0B0B"/>
          <w:spacing w:val="-5"/>
        </w:rPr>
        <w:t> </w:t>
      </w:r>
      <w:r>
        <w:rPr>
          <w:color w:val="0B0B0B"/>
        </w:rPr>
        <w:t>IX</w:t>
      </w:r>
      <w:r>
        <w:rPr>
          <w:color w:val="0B0B0B"/>
          <w:spacing w:val="-3"/>
        </w:rPr>
        <w:t> </w:t>
      </w:r>
      <w:r>
        <w:rPr>
          <w:color w:val="0B0B0B"/>
        </w:rPr>
        <w:t>de</w:t>
      </w:r>
      <w:r>
        <w:rPr>
          <w:color w:val="0B0B0B"/>
          <w:spacing w:val="-3"/>
        </w:rPr>
        <w:t> </w:t>
      </w:r>
      <w:r>
        <w:rPr>
          <w:color w:val="0B0B0B"/>
        </w:rPr>
        <w:t>la</w:t>
      </w:r>
      <w:r>
        <w:rPr>
          <w:color w:val="0B0B0B"/>
          <w:spacing w:val="-4"/>
        </w:rPr>
        <w:t> </w:t>
      </w:r>
      <w:r>
        <w:rPr>
          <w:color w:val="0B0B0B"/>
        </w:rPr>
        <w:t>misma</w:t>
      </w:r>
      <w:r>
        <w:rPr>
          <w:color w:val="0B0B0B"/>
          <w:spacing w:val="-3"/>
        </w:rPr>
        <w:t> </w:t>
      </w:r>
      <w:r>
        <w:rPr>
          <w:color w:val="0B0B0B"/>
        </w:rPr>
        <w:t>Ley,</w:t>
      </w:r>
      <w:r>
        <w:rPr>
          <w:color w:val="0B0B0B"/>
          <w:spacing w:val="-3"/>
        </w:rPr>
        <w:t> </w:t>
      </w:r>
      <w:r>
        <w:rPr>
          <w:color w:val="0B0B0B"/>
        </w:rPr>
        <w:t>establece como ingreso exento el obtenido por concepto de previsión social. Con relación a lo anterior, el referido artículo 93, penúltimo y último párrafos, considera como previsión social, entre otros conceptos, a las pensiones que se concedan de acuerdo a las</w:t>
      </w:r>
      <w:r>
        <w:rPr>
          <w:color w:val="0B0B0B"/>
          <w:spacing w:val="40"/>
        </w:rPr>
        <w:t> </w:t>
      </w:r>
      <w:r>
        <w:rPr>
          <w:color w:val="0B0B0B"/>
        </w:rPr>
        <w:t>leyes, y siempre que se cumpla con los requisitos establecidos en el artículo 27, fracciones XI y XXI del citado ordenamiento.</w:t>
      </w:r>
    </w:p>
    <w:p>
      <w:pPr>
        <w:pStyle w:val="BodyText"/>
        <w:spacing w:line="249" w:lineRule="auto" w:before="110"/>
        <w:ind w:right="257"/>
      </w:pPr>
      <w:r>
        <w:rPr>
          <w:color w:val="0B0B0B"/>
        </w:rPr>
        <w:t>En ese sentido, también se ha detectado que algunos contribuyentes que contratan dichos esquemas</w:t>
      </w:r>
      <w:r>
        <w:rPr>
          <w:color w:val="0B0B0B"/>
        </w:rPr>
        <w:t> de pensiones, utilizan la figura de previsión social para realizar</w:t>
      </w:r>
      <w:r>
        <w:rPr>
          <w:color w:val="0B0B0B"/>
          <w:spacing w:val="40"/>
        </w:rPr>
        <w:t> </w:t>
      </w:r>
      <w:r>
        <w:rPr>
          <w:color w:val="0B0B0B"/>
        </w:rPr>
        <w:t>pagos a trabajadores en activo por concepto de supuestas</w:t>
      </w:r>
      <w:r>
        <w:rPr>
          <w:color w:val="0B0B0B"/>
        </w:rPr>
        <w:t> pensiones derivadas de planes privados, sin embargo, no se trata de pensiones que se hayan concedido de acuerdo a las disposiciones en materia de seguridad social, por lo cual, no encuadran en</w:t>
      </w:r>
      <w:r>
        <w:rPr>
          <w:color w:val="0B0B0B"/>
          <w:spacing w:val="-2"/>
        </w:rPr>
        <w:t> </w:t>
      </w:r>
      <w:r>
        <w:rPr>
          <w:color w:val="0B0B0B"/>
        </w:rPr>
        <w:t>la</w:t>
      </w:r>
      <w:r>
        <w:rPr>
          <w:color w:val="0B0B0B"/>
          <w:spacing w:val="-3"/>
        </w:rPr>
        <w:t> </w:t>
      </w:r>
      <w:r>
        <w:rPr>
          <w:color w:val="0B0B0B"/>
        </w:rPr>
        <w:t>figura</w:t>
      </w:r>
      <w:r>
        <w:rPr>
          <w:color w:val="0B0B0B"/>
          <w:spacing w:val="-3"/>
        </w:rPr>
        <w:t> </w:t>
      </w:r>
      <w:r>
        <w:rPr>
          <w:color w:val="0B0B0B"/>
        </w:rPr>
        <w:t>de</w:t>
      </w:r>
      <w:r>
        <w:rPr>
          <w:color w:val="0B0B0B"/>
          <w:spacing w:val="-2"/>
        </w:rPr>
        <w:t> </w:t>
      </w:r>
      <w:r>
        <w:rPr>
          <w:color w:val="0B0B0B"/>
        </w:rPr>
        <w:t>previsión</w:t>
      </w:r>
      <w:r>
        <w:rPr>
          <w:color w:val="0B0B0B"/>
          <w:spacing w:val="-2"/>
        </w:rPr>
        <w:t> </w:t>
      </w:r>
      <w:r>
        <w:rPr>
          <w:color w:val="0B0B0B"/>
        </w:rPr>
        <w:t>social</w:t>
      </w:r>
      <w:r>
        <w:rPr>
          <w:color w:val="0B0B0B"/>
          <w:spacing w:val="-3"/>
        </w:rPr>
        <w:t> </w:t>
      </w:r>
      <w:r>
        <w:rPr>
          <w:color w:val="0B0B0B"/>
        </w:rPr>
        <w:t>prevista</w:t>
      </w:r>
      <w:r>
        <w:rPr>
          <w:color w:val="0B0B0B"/>
          <w:spacing w:val="-2"/>
        </w:rPr>
        <w:t> </w:t>
      </w:r>
      <w:r>
        <w:rPr>
          <w:color w:val="0B0B0B"/>
        </w:rPr>
        <w:t>en</w:t>
      </w:r>
      <w:r>
        <w:rPr>
          <w:color w:val="0B0B0B"/>
          <w:spacing w:val="-2"/>
        </w:rPr>
        <w:t> </w:t>
      </w:r>
      <w:r>
        <w:rPr>
          <w:color w:val="0B0B0B"/>
        </w:rPr>
        <w:t>el</w:t>
      </w:r>
      <w:r>
        <w:rPr>
          <w:color w:val="0B0B0B"/>
          <w:spacing w:val="-1"/>
        </w:rPr>
        <w:t> </w:t>
      </w:r>
      <w:r>
        <w:rPr>
          <w:color w:val="0B0B0B"/>
        </w:rPr>
        <w:t>artículo</w:t>
      </w:r>
      <w:r>
        <w:rPr>
          <w:color w:val="0B0B0B"/>
          <w:spacing w:val="-2"/>
        </w:rPr>
        <w:t> </w:t>
      </w:r>
      <w:r>
        <w:rPr>
          <w:color w:val="0B0B0B"/>
        </w:rPr>
        <w:t>93,</w:t>
      </w:r>
      <w:r>
        <w:rPr>
          <w:color w:val="0B0B0B"/>
          <w:spacing w:val="-2"/>
        </w:rPr>
        <w:t> </w:t>
      </w:r>
      <w:r>
        <w:rPr>
          <w:color w:val="0B0B0B"/>
        </w:rPr>
        <w:t>penúltimo</w:t>
      </w:r>
      <w:r>
        <w:rPr>
          <w:color w:val="0B0B0B"/>
          <w:spacing w:val="-2"/>
        </w:rPr>
        <w:t> </w:t>
      </w:r>
      <w:r>
        <w:rPr>
          <w:color w:val="0B0B0B"/>
        </w:rPr>
        <w:t>y</w:t>
      </w:r>
      <w:r>
        <w:rPr>
          <w:color w:val="0B0B0B"/>
          <w:spacing w:val="-2"/>
        </w:rPr>
        <w:t> </w:t>
      </w:r>
      <w:r>
        <w:rPr>
          <w:color w:val="0B0B0B"/>
        </w:rPr>
        <w:t>último</w:t>
      </w:r>
      <w:r>
        <w:rPr>
          <w:color w:val="0B0B0B"/>
          <w:spacing w:val="-3"/>
        </w:rPr>
        <w:t> </w:t>
      </w:r>
      <w:r>
        <w:rPr>
          <w:color w:val="0B0B0B"/>
        </w:rPr>
        <w:t>párrafos</w:t>
      </w:r>
      <w:r>
        <w:rPr>
          <w:color w:val="0B0B0B"/>
          <w:spacing w:val="-2"/>
        </w:rPr>
        <w:t> </w:t>
      </w:r>
      <w:r>
        <w:rPr>
          <w:color w:val="0B0B0B"/>
        </w:rPr>
        <w:t>de la citada Ley.</w:t>
      </w:r>
    </w:p>
    <w:p>
      <w:pPr>
        <w:pStyle w:val="BodyText"/>
        <w:spacing w:line="249" w:lineRule="auto" w:before="106"/>
        <w:ind w:right="256"/>
      </w:pPr>
      <w:r>
        <w:rPr>
          <w:color w:val="0B0B0B"/>
        </w:rPr>
        <w:t>Por lo anterior, el tratamiento fiscal de exención a los ingresos por concepto de previsión social, considerándolos como pensiones, aplica sólo a aquéllas que se concedan de acuerdo a las disposiciones en materia de seguridad social, es decir, las que provengan de planes de pensiones que cumplan con todos los requisitos que marca la legislación que los prevé y que además reúnan los requisitos establecidos en el artículo 27, fracciones XI y XXI de la Ley del ISR; por lo tanto, cuando los ingresos que reciben los trabajadores no cumplen con lo anterior, no pueden considerarse</w:t>
      </w:r>
      <w:r>
        <w:rPr>
          <w:color w:val="0B0B0B"/>
          <w:spacing w:val="40"/>
        </w:rPr>
        <w:t> </w:t>
      </w:r>
      <w:r>
        <w:rPr>
          <w:color w:val="0B0B0B"/>
        </w:rPr>
        <w:t>como ingresos exentos para el trabajador, sino que, realmente son ingresos obtenidos derivado de una relación laboral, que se entregan a los trabajadores en activo de</w:t>
      </w:r>
      <w:r>
        <w:rPr>
          <w:color w:val="0B0B0B"/>
          <w:spacing w:val="40"/>
        </w:rPr>
        <w:t> </w:t>
      </w:r>
      <w:r>
        <w:rPr>
          <w:color w:val="0B0B0B"/>
        </w:rPr>
        <w:t>forma permanente y ordinaria, por lo que, es incuestionable que configuran ingresos acumulables</w:t>
      </w:r>
      <w:r>
        <w:rPr>
          <w:color w:val="0B0B0B"/>
          <w:spacing w:val="39"/>
        </w:rPr>
        <w:t> </w:t>
      </w:r>
      <w:r>
        <w:rPr>
          <w:color w:val="0B0B0B"/>
        </w:rPr>
        <w:t>para</w:t>
      </w:r>
      <w:r>
        <w:rPr>
          <w:color w:val="0B0B0B"/>
          <w:spacing w:val="39"/>
        </w:rPr>
        <w:t> </w:t>
      </w:r>
      <w:r>
        <w:rPr>
          <w:color w:val="0B0B0B"/>
        </w:rPr>
        <w:t>el</w:t>
      </w:r>
      <w:r>
        <w:rPr>
          <w:color w:val="0B0B0B"/>
          <w:spacing w:val="39"/>
        </w:rPr>
        <w:t> </w:t>
      </w:r>
      <w:r>
        <w:rPr>
          <w:color w:val="0B0B0B"/>
        </w:rPr>
        <w:t>trabajador</w:t>
      </w:r>
      <w:r>
        <w:rPr>
          <w:color w:val="0B0B0B"/>
          <w:spacing w:val="39"/>
        </w:rPr>
        <w:t> </w:t>
      </w:r>
      <w:r>
        <w:rPr>
          <w:color w:val="0B0B0B"/>
        </w:rPr>
        <w:t>en</w:t>
      </w:r>
      <w:r>
        <w:rPr>
          <w:color w:val="0B0B0B"/>
          <w:spacing w:val="39"/>
        </w:rPr>
        <w:t> </w:t>
      </w:r>
      <w:r>
        <w:rPr>
          <w:color w:val="0B0B0B"/>
        </w:rPr>
        <w:t>términos</w:t>
      </w:r>
      <w:r>
        <w:rPr>
          <w:color w:val="0B0B0B"/>
          <w:spacing w:val="39"/>
        </w:rPr>
        <w:t> </w:t>
      </w:r>
      <w:r>
        <w:rPr>
          <w:color w:val="0B0B0B"/>
        </w:rPr>
        <w:t>del</w:t>
      </w:r>
      <w:r>
        <w:rPr>
          <w:color w:val="0B0B0B"/>
          <w:spacing w:val="39"/>
        </w:rPr>
        <w:t> </w:t>
      </w:r>
      <w:r>
        <w:rPr>
          <w:color w:val="0B0B0B"/>
        </w:rPr>
        <w:t>Capítulo</w:t>
      </w:r>
      <w:r>
        <w:rPr>
          <w:color w:val="0B0B0B"/>
          <w:spacing w:val="39"/>
        </w:rPr>
        <w:t> </w:t>
      </w:r>
      <w:r>
        <w:rPr>
          <w:color w:val="0B0B0B"/>
        </w:rPr>
        <w:t>I</w:t>
      </w:r>
      <w:r>
        <w:rPr>
          <w:color w:val="0B0B0B"/>
          <w:spacing w:val="39"/>
        </w:rPr>
        <w:t> </w:t>
      </w:r>
      <w:r>
        <w:rPr>
          <w:color w:val="0B0B0B"/>
        </w:rPr>
        <w:t>del</w:t>
      </w:r>
      <w:r>
        <w:rPr>
          <w:color w:val="0B0B0B"/>
          <w:spacing w:val="39"/>
        </w:rPr>
        <w:t> </w:t>
      </w:r>
      <w:r>
        <w:rPr>
          <w:color w:val="0B0B0B"/>
        </w:rPr>
        <w:t>Título</w:t>
      </w:r>
      <w:r>
        <w:rPr>
          <w:color w:val="0B0B0B"/>
          <w:spacing w:val="38"/>
        </w:rPr>
        <w:t> </w:t>
      </w:r>
      <w:r>
        <w:rPr>
          <w:color w:val="0B0B0B"/>
        </w:rPr>
        <w:t>IV</w:t>
      </w:r>
      <w:r>
        <w:rPr>
          <w:color w:val="0B0B0B"/>
          <w:spacing w:val="39"/>
        </w:rPr>
        <w:t> </w:t>
      </w:r>
      <w:r>
        <w:rPr>
          <w:color w:val="0B0B0B"/>
        </w:rPr>
        <w:t>de</w:t>
      </w:r>
      <w:r>
        <w:rPr>
          <w:color w:val="0B0B0B"/>
          <w:spacing w:val="39"/>
        </w:rPr>
        <w:t> </w:t>
      </w:r>
      <w:r>
        <w:rPr>
          <w:color w:val="0B0B0B"/>
        </w:rPr>
        <w:t>la</w:t>
      </w:r>
      <w:r>
        <w:rPr>
          <w:color w:val="0B0B0B"/>
          <w:spacing w:val="40"/>
        </w:rPr>
        <w:t> </w:t>
      </w:r>
      <w:r>
        <w:rPr>
          <w:color w:val="0B0B0B"/>
        </w:rPr>
        <w:t>Ley del ISR.</w:t>
      </w:r>
    </w:p>
    <w:p>
      <w:pPr>
        <w:pStyle w:val="BodyText"/>
        <w:spacing w:line="249" w:lineRule="auto" w:before="110"/>
        <w:ind w:right="258"/>
      </w:pPr>
      <w:r>
        <w:rPr>
          <w:color w:val="0B0B0B"/>
        </w:rPr>
        <w:t>Ahora bien, con respecto a las deducciones de las personas morales empleadoras, el artículo 25, primer párrafo, fracción X de la Ley del ISR, prevé como deducción, las aportaciones efectuadas para la creación o incremento de reservas para fondos de pensiones o jubilaciones del personal, complementarias a las que establece la LSS, con la limitante que indica dicha fracción.</w:t>
      </w:r>
    </w:p>
    <w:p>
      <w:pPr>
        <w:pStyle w:val="BodyText"/>
        <w:spacing w:line="249" w:lineRule="auto" w:before="104"/>
        <w:ind w:right="257"/>
      </w:pPr>
      <w:r>
        <w:rPr>
          <w:color w:val="0B0B0B"/>
        </w:rPr>
        <w:t>Asimismo,</w:t>
      </w:r>
      <w:r>
        <w:rPr>
          <w:color w:val="0B0B0B"/>
        </w:rPr>
        <w:t> conforme al artículo 27, fracción XI, en relación con el artículo 7, quinto párrafo de la Ley del ISR, para que proceda la deducción de los gastos de previsión social por</w:t>
      </w:r>
      <w:r>
        <w:rPr>
          <w:color w:val="0B0B0B"/>
        </w:rPr>
        <w:t> concepto de pensiones, se debe tratar de gastos que cumplan con la definición legal de previsión social, lo cual como ya se explicó, no acontece en el caso </w:t>
      </w:r>
      <w:r>
        <w:rPr>
          <w:color w:val="0B0B0B"/>
          <w:spacing w:val="-2"/>
        </w:rPr>
        <w:t>analizado.</w:t>
      </w:r>
    </w:p>
    <w:p>
      <w:pPr>
        <w:pStyle w:val="BodyText"/>
        <w:spacing w:after="0" w:line="249" w:lineRule="auto"/>
        <w:sectPr>
          <w:headerReference w:type="default" r:id="rId47"/>
          <w:pgSz w:w="12240" w:h="15840"/>
          <w:pgMar w:header="690" w:footer="0" w:top="1040" w:bottom="280" w:left="1440" w:right="1440"/>
        </w:sectPr>
      </w:pPr>
    </w:p>
    <w:p>
      <w:pPr>
        <w:pStyle w:val="BodyText"/>
        <w:spacing w:line="249" w:lineRule="auto" w:before="112"/>
        <w:ind w:right="258"/>
      </w:pPr>
      <w:r>
        <w:rPr>
          <w:color w:val="0B0B0B"/>
        </w:rPr>
        <w:t>En</w:t>
      </w:r>
      <w:r>
        <w:rPr>
          <w:color w:val="0B0B0B"/>
          <w:spacing w:val="-1"/>
        </w:rPr>
        <w:t> </w:t>
      </w:r>
      <w:r>
        <w:rPr>
          <w:color w:val="0B0B0B"/>
        </w:rPr>
        <w:t>ese</w:t>
      </w:r>
      <w:r>
        <w:rPr>
          <w:color w:val="0B0B0B"/>
          <w:spacing w:val="-1"/>
        </w:rPr>
        <w:t> </w:t>
      </w:r>
      <w:r>
        <w:rPr>
          <w:color w:val="0B0B0B"/>
        </w:rPr>
        <w:t>contexto,</w:t>
      </w:r>
      <w:r>
        <w:rPr>
          <w:color w:val="0B0B0B"/>
          <w:spacing w:val="-1"/>
        </w:rPr>
        <w:t> </w:t>
      </w:r>
      <w:r>
        <w:rPr>
          <w:color w:val="0B0B0B"/>
        </w:rPr>
        <w:t>se</w:t>
      </w:r>
      <w:r>
        <w:rPr>
          <w:color w:val="0B0B0B"/>
          <w:spacing w:val="-1"/>
        </w:rPr>
        <w:t> </w:t>
      </w:r>
      <w:r>
        <w:rPr>
          <w:color w:val="0B0B0B"/>
        </w:rPr>
        <w:t>ha</w:t>
      </w:r>
      <w:r>
        <w:rPr>
          <w:color w:val="0B0B0B"/>
          <w:spacing w:val="-1"/>
        </w:rPr>
        <w:t> </w:t>
      </w:r>
      <w:r>
        <w:rPr>
          <w:color w:val="0B0B0B"/>
        </w:rPr>
        <w:t>detectado</w:t>
      </w:r>
      <w:r>
        <w:rPr>
          <w:color w:val="0B0B0B"/>
          <w:spacing w:val="-1"/>
        </w:rPr>
        <w:t> </w:t>
      </w:r>
      <w:r>
        <w:rPr>
          <w:color w:val="0B0B0B"/>
        </w:rPr>
        <w:t>que</w:t>
      </w:r>
      <w:r>
        <w:rPr>
          <w:color w:val="0B0B0B"/>
          <w:spacing w:val="-1"/>
        </w:rPr>
        <w:t> </w:t>
      </w:r>
      <w:r>
        <w:rPr>
          <w:color w:val="0B0B0B"/>
        </w:rPr>
        <w:t>los</w:t>
      </w:r>
      <w:r>
        <w:rPr>
          <w:color w:val="0B0B0B"/>
          <w:spacing w:val="-1"/>
        </w:rPr>
        <w:t> </w:t>
      </w:r>
      <w:r>
        <w:rPr>
          <w:color w:val="0B0B0B"/>
        </w:rPr>
        <w:t>contratantes</w:t>
      </w:r>
      <w:r>
        <w:rPr>
          <w:color w:val="0B0B0B"/>
          <w:spacing w:val="-1"/>
        </w:rPr>
        <w:t> </w:t>
      </w:r>
      <w:r>
        <w:rPr>
          <w:color w:val="0B0B0B"/>
        </w:rPr>
        <w:t>de</w:t>
      </w:r>
      <w:r>
        <w:rPr>
          <w:color w:val="0B0B0B"/>
          <w:spacing w:val="-1"/>
        </w:rPr>
        <w:t> </w:t>
      </w:r>
      <w:r>
        <w:rPr>
          <w:color w:val="0B0B0B"/>
        </w:rPr>
        <w:t>los</w:t>
      </w:r>
      <w:r>
        <w:rPr>
          <w:color w:val="0B0B0B"/>
          <w:spacing w:val="-1"/>
        </w:rPr>
        <w:t> </w:t>
      </w:r>
      <w:r>
        <w:rPr>
          <w:color w:val="0B0B0B"/>
        </w:rPr>
        <w:t>esquemas</w:t>
      </w:r>
      <w:r>
        <w:rPr>
          <w:color w:val="0B0B0B"/>
          <w:spacing w:val="-1"/>
        </w:rPr>
        <w:t> </w:t>
      </w:r>
      <w:r>
        <w:rPr>
          <w:color w:val="0B0B0B"/>
        </w:rPr>
        <w:t>de</w:t>
      </w:r>
      <w:r>
        <w:rPr>
          <w:color w:val="0B0B0B"/>
          <w:spacing w:val="-1"/>
        </w:rPr>
        <w:t> </w:t>
      </w:r>
      <w:r>
        <w:rPr>
          <w:color w:val="0B0B0B"/>
        </w:rPr>
        <w:t>pensiones, realizan aportaciones para crear o incrementar esos fondos, efectuando la deducción de dichas erogaciones para efectos del ISR y, en su caso, llevando a cabo el acreditamiento del IVA que les trasladan las citadas empresas administradoras de fondos por los servicios prestados; sin embargo, los planes de pensiones correspondientes</w:t>
      </w:r>
      <w:r>
        <w:rPr>
          <w:color w:val="0B0B0B"/>
        </w:rPr>
        <w:t> a dichos fondos no han sido concedidos conforme a las</w:t>
      </w:r>
      <w:r>
        <w:rPr>
          <w:color w:val="0B0B0B"/>
          <w:spacing w:val="40"/>
        </w:rPr>
        <w:t> </w:t>
      </w:r>
      <w:r>
        <w:rPr>
          <w:color w:val="0B0B0B"/>
        </w:rPr>
        <w:t>disposiciones en materia de seguridad social.</w:t>
      </w:r>
    </w:p>
    <w:p>
      <w:pPr>
        <w:pStyle w:val="BodyText"/>
        <w:spacing w:line="249" w:lineRule="auto" w:before="96"/>
        <w:ind w:right="255"/>
      </w:pPr>
      <w:r>
        <w:rPr>
          <w:color w:val="0B0B0B"/>
        </w:rPr>
        <w:t>En consecuencia, resulta evidente que la deducción de aportaciones efectuadas para la creación o incremento de reservas para fondos de pensiones o jubilaciones del personal, o bien, la deducción de gastos de previsión social, aplica sólo a las pensiones que se concedan de acuerdo a las leyes de la materia, y que además reúnan los requisitos establecidos en las fracciones XI y XXI del artículo 27 de la Ley del ISR, o bien, a aquellos conceptos que sí configuren la definición de previsión</w:t>
      </w:r>
      <w:r>
        <w:rPr>
          <w:color w:val="0B0B0B"/>
          <w:spacing w:val="40"/>
        </w:rPr>
        <w:t> </w:t>
      </w:r>
      <w:r>
        <w:rPr>
          <w:color w:val="0B0B0B"/>
        </w:rPr>
        <w:t>social, respectivamente; por lo tanto,</w:t>
      </w:r>
      <w:r>
        <w:rPr>
          <w:color w:val="0B0B0B"/>
        </w:rPr>
        <w:t> si dichas erogaciones no cumplen con los requisitos</w:t>
      </w:r>
      <w:r>
        <w:rPr>
          <w:color w:val="0B0B0B"/>
          <w:spacing w:val="-2"/>
        </w:rPr>
        <w:t> </w:t>
      </w:r>
      <w:r>
        <w:rPr>
          <w:color w:val="0B0B0B"/>
        </w:rPr>
        <w:t>anteriormente</w:t>
      </w:r>
      <w:r>
        <w:rPr>
          <w:color w:val="0B0B0B"/>
          <w:spacing w:val="-2"/>
        </w:rPr>
        <w:t> </w:t>
      </w:r>
      <w:r>
        <w:rPr>
          <w:color w:val="0B0B0B"/>
        </w:rPr>
        <w:t>señalados,</w:t>
      </w:r>
      <w:r>
        <w:rPr>
          <w:color w:val="0B0B0B"/>
          <w:spacing w:val="-2"/>
        </w:rPr>
        <w:t> </w:t>
      </w:r>
      <w:r>
        <w:rPr>
          <w:color w:val="0B0B0B"/>
        </w:rPr>
        <w:t>no</w:t>
      </w:r>
      <w:r>
        <w:rPr>
          <w:color w:val="0B0B0B"/>
          <w:spacing w:val="-2"/>
        </w:rPr>
        <w:t> </w:t>
      </w:r>
      <w:r>
        <w:rPr>
          <w:color w:val="0B0B0B"/>
        </w:rPr>
        <w:t>calificarán</w:t>
      </w:r>
      <w:r>
        <w:rPr>
          <w:color w:val="0B0B0B"/>
          <w:spacing w:val="-2"/>
        </w:rPr>
        <w:t> </w:t>
      </w:r>
      <w:r>
        <w:rPr>
          <w:color w:val="0B0B0B"/>
        </w:rPr>
        <w:t>como</w:t>
      </w:r>
      <w:r>
        <w:rPr>
          <w:color w:val="0B0B0B"/>
          <w:spacing w:val="-2"/>
        </w:rPr>
        <w:t> </w:t>
      </w:r>
      <w:r>
        <w:rPr>
          <w:color w:val="0B0B0B"/>
        </w:rPr>
        <w:t>deducciones</w:t>
      </w:r>
      <w:r>
        <w:rPr>
          <w:color w:val="0B0B0B"/>
          <w:spacing w:val="-1"/>
        </w:rPr>
        <w:t> </w:t>
      </w:r>
      <w:r>
        <w:rPr>
          <w:color w:val="0B0B0B"/>
        </w:rPr>
        <w:t>autorizadas</w:t>
      </w:r>
      <w:r>
        <w:rPr>
          <w:color w:val="0B0B0B"/>
          <w:spacing w:val="-1"/>
        </w:rPr>
        <w:t> </w:t>
      </w:r>
      <w:r>
        <w:rPr>
          <w:color w:val="0B0B0B"/>
        </w:rPr>
        <w:t>y,</w:t>
      </w:r>
      <w:r>
        <w:rPr>
          <w:color w:val="0B0B0B"/>
          <w:spacing w:val="-1"/>
        </w:rPr>
        <w:t> </w:t>
      </w:r>
      <w:r>
        <w:rPr>
          <w:color w:val="0B0B0B"/>
        </w:rPr>
        <w:t>de manera secundaria, en su caso, el IVA que les haya sido trasladado por las empresas administradoras de fondos por los servicios para constituirlos, no podrá considerarse como acreditable.</w:t>
      </w:r>
    </w:p>
    <w:p>
      <w:pPr>
        <w:pStyle w:val="BodyText"/>
        <w:spacing w:before="98"/>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8"/>
        </w:numPr>
        <w:tabs>
          <w:tab w:pos="2664" w:val="left" w:leader="none"/>
        </w:tabs>
        <w:spacing w:line="249" w:lineRule="auto" w:before="101" w:after="0"/>
        <w:ind w:left="2664" w:right="258" w:hanging="504"/>
        <w:jc w:val="both"/>
        <w:rPr>
          <w:sz w:val="18"/>
        </w:rPr>
      </w:pPr>
      <w:r>
        <w:rPr>
          <w:color w:val="0B0B0B"/>
          <w:sz w:val="18"/>
        </w:rPr>
        <w:t>Quienes entreguen cantidades a trabajadores en activo, simulando que se trata de pagos por concepto de jubilaciones, pensiones, haberes de retiro, así como de pensiones</w:t>
      </w:r>
      <w:r>
        <w:rPr>
          <w:color w:val="0B0B0B"/>
          <w:spacing w:val="-1"/>
          <w:sz w:val="18"/>
        </w:rPr>
        <w:t> </w:t>
      </w:r>
      <w:r>
        <w:rPr>
          <w:color w:val="0B0B0B"/>
          <w:sz w:val="18"/>
        </w:rPr>
        <w:t>vitalicias u</w:t>
      </w:r>
      <w:r>
        <w:rPr>
          <w:color w:val="0B0B0B"/>
          <w:spacing w:val="-1"/>
          <w:sz w:val="18"/>
        </w:rPr>
        <w:t> </w:t>
      </w:r>
      <w:r>
        <w:rPr>
          <w:color w:val="0B0B0B"/>
          <w:sz w:val="18"/>
        </w:rPr>
        <w:t>otras formas</w:t>
      </w:r>
      <w:r>
        <w:rPr>
          <w:color w:val="0B0B0B"/>
          <w:spacing w:val="-1"/>
          <w:sz w:val="18"/>
        </w:rPr>
        <w:t> </w:t>
      </w:r>
      <w:r>
        <w:rPr>
          <w:color w:val="0B0B0B"/>
          <w:sz w:val="18"/>
        </w:rPr>
        <w:t>de</w:t>
      </w:r>
      <w:r>
        <w:rPr>
          <w:color w:val="0B0B0B"/>
          <w:spacing w:val="-1"/>
          <w:sz w:val="18"/>
        </w:rPr>
        <w:t> </w:t>
      </w:r>
      <w:r>
        <w:rPr>
          <w:color w:val="0B0B0B"/>
          <w:sz w:val="18"/>
        </w:rPr>
        <w:t>retiro,</w:t>
      </w:r>
      <w:r>
        <w:rPr>
          <w:color w:val="0B0B0B"/>
          <w:spacing w:val="-1"/>
          <w:sz w:val="18"/>
        </w:rPr>
        <w:t> </w:t>
      </w:r>
      <w:r>
        <w:rPr>
          <w:color w:val="0B0B0B"/>
          <w:sz w:val="18"/>
        </w:rPr>
        <w:t>independientemente del nombre con el que se les designe, que se asocien a un esquema de remuneración a lo largo de su vida laboral, con la finalidad de no considerarlos como parte del salario del trabajador y darle el tratamiento de ingresos exentos del pago del </w:t>
      </w:r>
      <w:r>
        <w:rPr>
          <w:color w:val="0B0B0B"/>
          <w:spacing w:val="-4"/>
          <w:sz w:val="18"/>
        </w:rPr>
        <w:t>ISR.</w:t>
      </w:r>
    </w:p>
    <w:p>
      <w:pPr>
        <w:pStyle w:val="ListParagraph"/>
        <w:numPr>
          <w:ilvl w:val="0"/>
          <w:numId w:val="48"/>
        </w:numPr>
        <w:tabs>
          <w:tab w:pos="2664" w:val="left" w:leader="none"/>
        </w:tabs>
        <w:spacing w:line="249" w:lineRule="auto" w:before="96" w:after="0"/>
        <w:ind w:left="2664" w:right="260" w:hanging="504"/>
        <w:jc w:val="both"/>
        <w:rPr>
          <w:sz w:val="18"/>
        </w:rPr>
      </w:pPr>
      <w:r>
        <w:rPr>
          <w:color w:val="0B0B0B"/>
          <w:sz w:val="18"/>
        </w:rPr>
        <w:t>Quienes tengan la obligación de efectuar la retención y el entero</w:t>
      </w:r>
      <w:r>
        <w:rPr>
          <w:color w:val="0B0B0B"/>
          <w:sz w:val="18"/>
        </w:rPr>
        <w:t> del ISR correspondiente</w:t>
      </w:r>
      <w:r>
        <w:rPr>
          <w:color w:val="0B0B0B"/>
          <w:spacing w:val="-2"/>
          <w:sz w:val="18"/>
        </w:rPr>
        <w:t> </w:t>
      </w:r>
      <w:r>
        <w:rPr>
          <w:color w:val="0B0B0B"/>
          <w:sz w:val="18"/>
        </w:rPr>
        <w:t>por las</w:t>
      </w:r>
      <w:r>
        <w:rPr>
          <w:color w:val="0B0B0B"/>
          <w:spacing w:val="-2"/>
          <w:sz w:val="18"/>
        </w:rPr>
        <w:t> </w:t>
      </w:r>
      <w:r>
        <w:rPr>
          <w:color w:val="0B0B0B"/>
          <w:sz w:val="18"/>
        </w:rPr>
        <w:t>cantidades</w:t>
      </w:r>
      <w:r>
        <w:rPr>
          <w:color w:val="0B0B0B"/>
          <w:spacing w:val="-2"/>
          <w:sz w:val="18"/>
        </w:rPr>
        <w:t> </w:t>
      </w:r>
      <w:r>
        <w:rPr>
          <w:color w:val="0B0B0B"/>
          <w:sz w:val="18"/>
        </w:rPr>
        <w:t>que</w:t>
      </w:r>
      <w:r>
        <w:rPr>
          <w:color w:val="0B0B0B"/>
          <w:spacing w:val="-1"/>
          <w:sz w:val="18"/>
        </w:rPr>
        <w:t> </w:t>
      </w:r>
      <w:r>
        <w:rPr>
          <w:color w:val="0B0B0B"/>
          <w:sz w:val="18"/>
        </w:rPr>
        <w:t>entreguen</w:t>
      </w:r>
      <w:r>
        <w:rPr>
          <w:color w:val="0B0B0B"/>
          <w:spacing w:val="-1"/>
          <w:sz w:val="18"/>
        </w:rPr>
        <w:t> </w:t>
      </w:r>
      <w:r>
        <w:rPr>
          <w:color w:val="0B0B0B"/>
          <w:sz w:val="18"/>
        </w:rPr>
        <w:t>en</w:t>
      </w:r>
      <w:r>
        <w:rPr>
          <w:color w:val="0B0B0B"/>
          <w:spacing w:val="-1"/>
          <w:sz w:val="18"/>
        </w:rPr>
        <w:t> </w:t>
      </w:r>
      <w:r>
        <w:rPr>
          <w:color w:val="0B0B0B"/>
          <w:sz w:val="18"/>
        </w:rPr>
        <w:t>los</w:t>
      </w:r>
      <w:r>
        <w:rPr>
          <w:color w:val="0B0B0B"/>
          <w:spacing w:val="-2"/>
          <w:sz w:val="18"/>
        </w:rPr>
        <w:t> </w:t>
      </w:r>
      <w:r>
        <w:rPr>
          <w:color w:val="0B0B0B"/>
          <w:sz w:val="18"/>
        </w:rPr>
        <w:t>términos de</w:t>
      </w:r>
      <w:r>
        <w:rPr>
          <w:color w:val="0B0B0B"/>
          <w:spacing w:val="-1"/>
          <w:sz w:val="18"/>
        </w:rPr>
        <w:t> </w:t>
      </w:r>
      <w:r>
        <w:rPr>
          <w:color w:val="0B0B0B"/>
          <w:sz w:val="18"/>
        </w:rPr>
        <w:t>la</w:t>
      </w:r>
      <w:r>
        <w:rPr>
          <w:color w:val="0B0B0B"/>
          <w:spacing w:val="-1"/>
          <w:sz w:val="18"/>
        </w:rPr>
        <w:t> </w:t>
      </w:r>
      <w:r>
        <w:rPr>
          <w:color w:val="0B0B0B"/>
          <w:sz w:val="18"/>
        </w:rPr>
        <w:t>fracción anterior y no lo realicen.</w:t>
      </w:r>
    </w:p>
    <w:p>
      <w:pPr>
        <w:pStyle w:val="ListParagraph"/>
        <w:numPr>
          <w:ilvl w:val="0"/>
          <w:numId w:val="48"/>
        </w:numPr>
        <w:tabs>
          <w:tab w:pos="2662" w:val="left" w:leader="none"/>
          <w:tab w:pos="2664" w:val="left" w:leader="none"/>
        </w:tabs>
        <w:spacing w:line="249" w:lineRule="auto" w:before="93" w:after="0"/>
        <w:ind w:left="2664" w:right="257" w:hanging="504"/>
        <w:jc w:val="both"/>
        <w:rPr>
          <w:sz w:val="18"/>
        </w:rPr>
      </w:pPr>
      <w:r>
        <w:rPr>
          <w:color w:val="0B0B0B"/>
          <w:sz w:val="18"/>
        </w:rPr>
        <w:t>Quienes efectúen la deducción de pagos realizados por concepto de aportaciones</w:t>
      </w:r>
      <w:r>
        <w:rPr>
          <w:color w:val="0B0B0B"/>
          <w:spacing w:val="80"/>
          <w:sz w:val="18"/>
        </w:rPr>
        <w:t> </w:t>
      </w:r>
      <w:r>
        <w:rPr>
          <w:color w:val="0B0B0B"/>
          <w:sz w:val="18"/>
        </w:rPr>
        <w:t>para</w:t>
      </w:r>
      <w:r>
        <w:rPr>
          <w:color w:val="0B0B0B"/>
          <w:spacing w:val="80"/>
          <w:sz w:val="18"/>
        </w:rPr>
        <w:t> </w:t>
      </w:r>
      <w:r>
        <w:rPr>
          <w:color w:val="0B0B0B"/>
          <w:sz w:val="18"/>
        </w:rPr>
        <w:t>la</w:t>
      </w:r>
      <w:r>
        <w:rPr>
          <w:color w:val="0B0B0B"/>
          <w:spacing w:val="80"/>
          <w:sz w:val="18"/>
        </w:rPr>
        <w:t> </w:t>
      </w:r>
      <w:r>
        <w:rPr>
          <w:color w:val="0B0B0B"/>
          <w:sz w:val="18"/>
        </w:rPr>
        <w:t>creación</w:t>
      </w:r>
      <w:r>
        <w:rPr>
          <w:color w:val="0B0B0B"/>
          <w:spacing w:val="80"/>
          <w:sz w:val="18"/>
        </w:rPr>
        <w:t> </w:t>
      </w:r>
      <w:r>
        <w:rPr>
          <w:color w:val="0B0B0B"/>
          <w:sz w:val="18"/>
        </w:rPr>
        <w:t>o</w:t>
      </w:r>
      <w:r>
        <w:rPr>
          <w:color w:val="0B0B0B"/>
          <w:spacing w:val="80"/>
          <w:sz w:val="18"/>
        </w:rPr>
        <w:t> </w:t>
      </w:r>
      <w:r>
        <w:rPr>
          <w:color w:val="0B0B0B"/>
          <w:sz w:val="18"/>
        </w:rPr>
        <w:t>incremento</w:t>
      </w:r>
      <w:r>
        <w:rPr>
          <w:color w:val="0B0B0B"/>
          <w:spacing w:val="80"/>
          <w:sz w:val="18"/>
        </w:rPr>
        <w:t> </w:t>
      </w:r>
      <w:r>
        <w:rPr>
          <w:color w:val="0B0B0B"/>
          <w:sz w:val="18"/>
        </w:rPr>
        <w:t>de</w:t>
      </w:r>
      <w:r>
        <w:rPr>
          <w:color w:val="0B0B0B"/>
          <w:spacing w:val="80"/>
          <w:sz w:val="18"/>
        </w:rPr>
        <w:t> </w:t>
      </w:r>
      <w:r>
        <w:rPr>
          <w:color w:val="0B0B0B"/>
          <w:sz w:val="18"/>
        </w:rPr>
        <w:t>reservas</w:t>
      </w:r>
      <w:r>
        <w:rPr>
          <w:color w:val="0B0B0B"/>
          <w:spacing w:val="80"/>
          <w:sz w:val="18"/>
        </w:rPr>
        <w:t> </w:t>
      </w:r>
      <w:r>
        <w:rPr>
          <w:color w:val="0B0B0B"/>
          <w:sz w:val="18"/>
        </w:rPr>
        <w:t>para</w:t>
      </w:r>
      <w:r>
        <w:rPr>
          <w:color w:val="0B0B0B"/>
          <w:spacing w:val="80"/>
          <w:sz w:val="18"/>
        </w:rPr>
        <w:t> </w:t>
      </w:r>
      <w:r>
        <w:rPr>
          <w:color w:val="0B0B0B"/>
          <w:sz w:val="18"/>
        </w:rPr>
        <w:t>fondos</w:t>
      </w:r>
      <w:r>
        <w:rPr>
          <w:color w:val="0B0B0B"/>
          <w:spacing w:val="80"/>
          <w:sz w:val="18"/>
        </w:rPr>
        <w:t> </w:t>
      </w:r>
      <w:r>
        <w:rPr>
          <w:color w:val="0B0B0B"/>
          <w:sz w:val="18"/>
        </w:rPr>
        <w:t>de pensiones o jubilaciones del personal, en términos de la fracción I del presente criterio.</w:t>
      </w:r>
    </w:p>
    <w:p>
      <w:pPr>
        <w:pStyle w:val="ListParagraph"/>
        <w:numPr>
          <w:ilvl w:val="0"/>
          <w:numId w:val="48"/>
        </w:numPr>
        <w:tabs>
          <w:tab w:pos="2664" w:val="left" w:leader="none"/>
        </w:tabs>
        <w:spacing w:line="249" w:lineRule="auto" w:before="94" w:after="0"/>
        <w:ind w:left="2664" w:right="257" w:hanging="504"/>
        <w:jc w:val="both"/>
        <w:rPr>
          <w:sz w:val="18"/>
        </w:rPr>
      </w:pPr>
      <w:r>
        <w:rPr>
          <w:color w:val="0B0B0B"/>
          <w:sz w:val="18"/>
        </w:rPr>
        <w:t>Quienes efectúen la deducción de erogaciones para determinar el ISR y el acreditamiento del IVA, que corresponda al servicio pagado por la contratación del esquema a sociedades,</w:t>
      </w:r>
      <w:r>
        <w:rPr>
          <w:color w:val="0B0B0B"/>
          <w:sz w:val="18"/>
        </w:rPr>
        <w:t> despachos o asesores, a través del cual se implementen las prácticas a que se refiere la fracción I del presente criterio.</w:t>
      </w:r>
    </w:p>
    <w:p>
      <w:pPr>
        <w:pStyle w:val="ListParagraph"/>
        <w:numPr>
          <w:ilvl w:val="0"/>
          <w:numId w:val="48"/>
        </w:numPr>
        <w:tabs>
          <w:tab w:pos="2664" w:val="left" w:leader="none"/>
        </w:tabs>
        <w:spacing w:line="249" w:lineRule="auto" w:before="94" w:after="0"/>
        <w:ind w:left="2664" w:right="260" w:hanging="504"/>
        <w:jc w:val="both"/>
        <w:rPr>
          <w:sz w:val="18"/>
        </w:rPr>
      </w:pPr>
      <w:r>
        <w:rPr>
          <w:color w:val="0B0B0B"/>
          <w:sz w:val="18"/>
        </w:rPr>
        <w:t>Quienes reciban pagos en términos de la fracción I del presente criterio y no paguen el ISR correspondiente a dichos ingresos.</w:t>
      </w:r>
    </w:p>
    <w:p>
      <w:pPr>
        <w:pStyle w:val="ListParagraph"/>
        <w:numPr>
          <w:ilvl w:val="0"/>
          <w:numId w:val="48"/>
        </w:numPr>
        <w:tabs>
          <w:tab w:pos="2664" w:val="left" w:leader="none"/>
        </w:tabs>
        <w:spacing w:line="249" w:lineRule="auto" w:before="93" w:after="0"/>
        <w:ind w:left="2664" w:right="258"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8"/>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306" w:hRule="atLeast"/>
        </w:trPr>
        <w:tc>
          <w:tcPr>
            <w:tcW w:w="2694" w:type="dxa"/>
            <w:shd w:val="clear" w:color="auto" w:fill="BDBDBD"/>
          </w:tcPr>
          <w:p>
            <w:pPr>
              <w:pStyle w:val="TableParagraph"/>
              <w:spacing w:before="21"/>
              <w:ind w:left="12"/>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21"/>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954" w:hRule="atLeast"/>
        </w:trPr>
        <w:tc>
          <w:tcPr>
            <w:tcW w:w="2694" w:type="dxa"/>
          </w:tcPr>
          <w:p>
            <w:pPr>
              <w:pStyle w:val="TableParagraph"/>
              <w:spacing w:before="21"/>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2022</w:t>
            </w:r>
          </w:p>
        </w:tc>
        <w:tc>
          <w:tcPr>
            <w:tcW w:w="4210" w:type="dxa"/>
          </w:tcPr>
          <w:p>
            <w:pPr>
              <w:pStyle w:val="TableParagraph"/>
              <w:spacing w:line="280" w:lineRule="auto" w:before="22"/>
              <w:ind w:right="56"/>
              <w:jc w:val="both"/>
              <w:rPr>
                <w:sz w:val="16"/>
              </w:rPr>
            </w:pPr>
            <w:r>
              <w:rPr>
                <w:color w:val="0B0B0B"/>
                <w:sz w:val="16"/>
              </w:rPr>
              <w:t>Publicada en el DOF 27 de diciembre de 2022, Tercera Modificación al Anexo 3, publicado en el DOF el 25 de abril de 2023, con número de criterio no vinculativo </w:t>
            </w:r>
            <w:r>
              <w:rPr>
                <w:color w:val="0B0B0B"/>
                <w:spacing w:val="-2"/>
                <w:sz w:val="16"/>
              </w:rPr>
              <w:t>48/ISR.</w:t>
            </w:r>
          </w:p>
        </w:tc>
      </w:tr>
    </w:tbl>
    <w:p>
      <w:pPr>
        <w:pStyle w:val="BodyText"/>
        <w:spacing w:before="105"/>
        <w:ind w:left="0"/>
        <w:jc w:val="left"/>
      </w:pPr>
    </w:p>
    <w:p>
      <w:pPr>
        <w:pStyle w:val="Heading1"/>
        <w:spacing w:line="249" w:lineRule="auto" w:before="1"/>
        <w:ind w:right="255"/>
        <w:jc w:val="both"/>
      </w:pPr>
      <w:r>
        <w:rPr>
          <w:color w:val="0B0B0B"/>
        </w:rPr>
        <w:t>43/ISR/PI</w:t>
      </w:r>
      <w:r>
        <w:rPr>
          <w:color w:val="0B0B0B"/>
          <w:spacing w:val="40"/>
        </w:rPr>
        <w:t> </w:t>
      </w:r>
      <w:r>
        <w:rPr>
          <w:color w:val="0B0B0B"/>
        </w:rPr>
        <w:t>Cantidades entregadas a trabajadores,</w:t>
      </w:r>
      <w:r>
        <w:rPr>
          <w:color w:val="0B0B0B"/>
        </w:rPr>
        <w:t> socios</w:t>
      </w:r>
      <w:r>
        <w:rPr>
          <w:color w:val="0B0B0B"/>
        </w:rPr>
        <w:t> o accionistas por concepto de incentivos laborales, bonos, comisiones o compensaciones </w:t>
      </w:r>
      <w:r>
        <w:rPr>
          <w:color w:val="0B0B0B"/>
        </w:rPr>
        <w:t>complementarias por invención, primas o cualquier otro concepto similar, pagadas a través de terceros.</w:t>
      </w:r>
      <w:r>
        <w:rPr>
          <w:color w:val="0B0B0B"/>
        </w:rPr>
        <w:t> No</w:t>
      </w:r>
      <w:r>
        <w:rPr>
          <w:color w:val="0B0B0B"/>
        </w:rPr>
        <w:t> tienen el tratamiento</w:t>
      </w:r>
      <w:r>
        <w:rPr>
          <w:color w:val="0B0B0B"/>
        </w:rPr>
        <w:t> de</w:t>
      </w:r>
      <w:r>
        <w:rPr>
          <w:color w:val="0B0B0B"/>
        </w:rPr>
        <w:t> ingresos exentos, ni las cantidades</w:t>
      </w:r>
      <w:r>
        <w:rPr>
          <w:color w:val="0B0B0B"/>
          <w:spacing w:val="40"/>
        </w:rPr>
        <w:t> </w:t>
      </w:r>
      <w:r>
        <w:rPr>
          <w:color w:val="0B0B0B"/>
        </w:rPr>
        <w:t>pagadas a los terceros son deducibles, ni es acreditable el IVA que se traslade por dichos pagos.</w:t>
      </w:r>
    </w:p>
    <w:p>
      <w:pPr>
        <w:pStyle w:val="BodyText"/>
        <w:spacing w:line="249" w:lineRule="auto" w:before="94"/>
        <w:ind w:right="257"/>
      </w:pPr>
      <w:r>
        <w:rPr>
          <w:color w:val="0B0B0B"/>
        </w:rPr>
        <w:t>El artículo 1o., fracción I de la Ley del ISR, señala que las personas físicas y las morales residentes en el país están obligadas al pago del ISR, respecto de todos sus ingresos, cualquiera que sea la ubicación de la fuente de riqueza de donde procedan.</w:t>
      </w:r>
    </w:p>
    <w:p>
      <w:pPr>
        <w:pStyle w:val="BodyText"/>
        <w:spacing w:after="0" w:line="249" w:lineRule="auto"/>
        <w:sectPr>
          <w:headerReference w:type="default" r:id="rId48"/>
          <w:pgSz w:w="12240" w:h="15840"/>
          <w:pgMar w:header="690" w:footer="0" w:top="1040" w:bottom="280" w:left="1440" w:right="1440"/>
        </w:sectPr>
      </w:pPr>
    </w:p>
    <w:p>
      <w:pPr>
        <w:pStyle w:val="BodyText"/>
        <w:spacing w:line="249" w:lineRule="auto" w:before="112"/>
        <w:ind w:right="256"/>
      </w:pPr>
      <w:r>
        <w:rPr>
          <w:color w:val="0B0B0B"/>
        </w:rPr>
        <w:t>El artículo 90 de la citada Ley, dispone que están obligadas al pago del impuesto establecido</w:t>
      </w:r>
      <w:r>
        <w:rPr>
          <w:color w:val="0B0B0B"/>
          <w:spacing w:val="-1"/>
        </w:rPr>
        <w:t> </w:t>
      </w:r>
      <w:r>
        <w:rPr>
          <w:color w:val="0B0B0B"/>
        </w:rPr>
        <w:t>en el</w:t>
      </w:r>
      <w:r>
        <w:rPr>
          <w:color w:val="0B0B0B"/>
          <w:spacing w:val="-1"/>
        </w:rPr>
        <w:t> </w:t>
      </w:r>
      <w:r>
        <w:rPr>
          <w:color w:val="0B0B0B"/>
        </w:rPr>
        <w:t>Título</w:t>
      </w:r>
      <w:r>
        <w:rPr>
          <w:color w:val="0B0B0B"/>
          <w:spacing w:val="-1"/>
        </w:rPr>
        <w:t> </w:t>
      </w:r>
      <w:r>
        <w:rPr>
          <w:color w:val="0B0B0B"/>
        </w:rPr>
        <w:t>IV</w:t>
      </w:r>
      <w:r>
        <w:rPr>
          <w:color w:val="0B0B0B"/>
          <w:spacing w:val="-1"/>
        </w:rPr>
        <w:t> </w:t>
      </w:r>
      <w:r>
        <w:rPr>
          <w:color w:val="0B0B0B"/>
        </w:rPr>
        <w:t>de</w:t>
      </w:r>
      <w:r>
        <w:rPr>
          <w:color w:val="0B0B0B"/>
          <w:spacing w:val="-1"/>
        </w:rPr>
        <w:t> </w:t>
      </w:r>
      <w:r>
        <w:rPr>
          <w:color w:val="0B0B0B"/>
        </w:rPr>
        <w:t>dicha</w:t>
      </w:r>
      <w:r>
        <w:rPr>
          <w:color w:val="0B0B0B"/>
          <w:spacing w:val="-1"/>
        </w:rPr>
        <w:t> </w:t>
      </w:r>
      <w:r>
        <w:rPr>
          <w:color w:val="0B0B0B"/>
        </w:rPr>
        <w:t>Ley,</w:t>
      </w:r>
      <w:r>
        <w:rPr>
          <w:color w:val="0B0B0B"/>
          <w:spacing w:val="-1"/>
        </w:rPr>
        <w:t> </w:t>
      </w:r>
      <w:r>
        <w:rPr>
          <w:color w:val="0B0B0B"/>
        </w:rPr>
        <w:t>las personas</w:t>
      </w:r>
      <w:r>
        <w:rPr>
          <w:color w:val="0B0B0B"/>
          <w:spacing w:val="-1"/>
        </w:rPr>
        <w:t> </w:t>
      </w:r>
      <w:r>
        <w:rPr>
          <w:color w:val="0B0B0B"/>
        </w:rPr>
        <w:t>físicas</w:t>
      </w:r>
      <w:r>
        <w:rPr>
          <w:color w:val="0B0B0B"/>
          <w:spacing w:val="-1"/>
        </w:rPr>
        <w:t> </w:t>
      </w:r>
      <w:r>
        <w:rPr>
          <w:color w:val="0B0B0B"/>
        </w:rPr>
        <w:t>residentes</w:t>
      </w:r>
      <w:r>
        <w:rPr>
          <w:color w:val="0B0B0B"/>
          <w:spacing w:val="-2"/>
        </w:rPr>
        <w:t> </w:t>
      </w:r>
      <w:r>
        <w:rPr>
          <w:color w:val="0B0B0B"/>
        </w:rPr>
        <w:t>en México</w:t>
      </w:r>
      <w:r>
        <w:rPr>
          <w:color w:val="0B0B0B"/>
          <w:spacing w:val="-1"/>
        </w:rPr>
        <w:t> </w:t>
      </w:r>
      <w:r>
        <w:rPr>
          <w:color w:val="0B0B0B"/>
        </w:rPr>
        <w:t>que obtengan ingresos en efectivo, en bienes,</w:t>
      </w:r>
      <w:r>
        <w:rPr>
          <w:color w:val="0B0B0B"/>
        </w:rPr>
        <w:t> devengado cuando en los términos del referido Título se señale, en crédito, en servicios en los casos que señale la Ley del ISR, o de cualquier otro tipo.</w:t>
      </w:r>
    </w:p>
    <w:p>
      <w:pPr>
        <w:pStyle w:val="BodyText"/>
        <w:spacing w:line="249" w:lineRule="auto" w:before="104"/>
        <w:ind w:right="256"/>
      </w:pPr>
      <w:r>
        <w:rPr>
          <w:color w:val="0B0B0B"/>
        </w:rPr>
        <w:t>Por su parte, el artículo 94, primer párrafo de la Ley del ISR, señala que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asimismo, precisa diversos conceptos que se asimilan a dichos ingresos.</w:t>
      </w:r>
    </w:p>
    <w:p>
      <w:pPr>
        <w:pStyle w:val="BodyText"/>
        <w:spacing w:line="249" w:lineRule="auto" w:before="105"/>
        <w:ind w:right="258"/>
      </w:pPr>
      <w:r>
        <w:rPr>
          <w:color w:val="0B0B0B"/>
        </w:rPr>
        <w:t>Al respecto, el artículo 96, primer párrafo de la mencionada Ley, indica que quienes hagan pagos por los conceptos a que se refiere el Título IV, Capítulo I de la Ley del ISR, están obligados a efectuar retenciones y enteros mensuales que tendrán el carácter de pagos provisionales a cuenta del impuesto anual.</w:t>
      </w:r>
    </w:p>
    <w:p>
      <w:pPr>
        <w:pStyle w:val="BodyText"/>
        <w:spacing w:line="249" w:lineRule="auto" w:before="105"/>
        <w:ind w:right="258"/>
      </w:pPr>
      <w:r>
        <w:rPr>
          <w:color w:val="0B0B0B"/>
        </w:rPr>
        <w:t>Por otro lado, el artículo 93 de la multicitada Ley, establece que no se pagará el ISR por la obtención de los ingresos señalados en dicho artículo, es decir, de manera restrictiva, solamente los ingresos que dicho numeral señala, no serán sujetos al pago del ISR.</w:t>
      </w:r>
    </w:p>
    <w:p>
      <w:pPr>
        <w:pStyle w:val="BodyText"/>
        <w:spacing w:line="249" w:lineRule="auto" w:before="104"/>
        <w:ind w:right="257"/>
      </w:pPr>
      <w:r>
        <w:rPr>
          <w:color w:val="0B0B0B"/>
        </w:rPr>
        <w:t>El</w:t>
      </w:r>
      <w:r>
        <w:rPr>
          <w:color w:val="0B0B0B"/>
          <w:spacing w:val="-2"/>
        </w:rPr>
        <w:t> </w:t>
      </w:r>
      <w:r>
        <w:rPr>
          <w:color w:val="0B0B0B"/>
        </w:rPr>
        <w:t>artículo</w:t>
      </w:r>
      <w:r>
        <w:rPr>
          <w:color w:val="0B0B0B"/>
          <w:spacing w:val="-2"/>
        </w:rPr>
        <w:t> </w:t>
      </w:r>
      <w:r>
        <w:rPr>
          <w:color w:val="0B0B0B"/>
        </w:rPr>
        <w:t>140</w:t>
      </w:r>
      <w:r>
        <w:rPr>
          <w:color w:val="0B0B0B"/>
          <w:spacing w:val="-1"/>
        </w:rPr>
        <w:t> </w:t>
      </w:r>
      <w:r>
        <w:rPr>
          <w:color w:val="0B0B0B"/>
        </w:rPr>
        <w:t>de</w:t>
      </w:r>
      <w:r>
        <w:rPr>
          <w:color w:val="0B0B0B"/>
          <w:spacing w:val="-2"/>
        </w:rPr>
        <w:t> </w:t>
      </w:r>
      <w:r>
        <w:rPr>
          <w:color w:val="0B0B0B"/>
        </w:rPr>
        <w:t>la</w:t>
      </w:r>
      <w:r>
        <w:rPr>
          <w:color w:val="0B0B0B"/>
          <w:spacing w:val="-1"/>
        </w:rPr>
        <w:t> </w:t>
      </w:r>
      <w:r>
        <w:rPr>
          <w:color w:val="0B0B0B"/>
        </w:rPr>
        <w:t>Ley</w:t>
      </w:r>
      <w:r>
        <w:rPr>
          <w:color w:val="0B0B0B"/>
          <w:spacing w:val="-1"/>
        </w:rPr>
        <w:t> </w:t>
      </w:r>
      <w:r>
        <w:rPr>
          <w:color w:val="0B0B0B"/>
        </w:rPr>
        <w:t>del</w:t>
      </w:r>
      <w:r>
        <w:rPr>
          <w:color w:val="0B0B0B"/>
          <w:spacing w:val="-2"/>
        </w:rPr>
        <w:t> </w:t>
      </w:r>
      <w:r>
        <w:rPr>
          <w:color w:val="0B0B0B"/>
        </w:rPr>
        <w:t>ISR,</w:t>
      </w:r>
      <w:r>
        <w:rPr>
          <w:color w:val="0B0B0B"/>
          <w:spacing w:val="-2"/>
        </w:rPr>
        <w:t> </w:t>
      </w:r>
      <w:r>
        <w:rPr>
          <w:color w:val="0B0B0B"/>
        </w:rPr>
        <w:t>dispone que</w:t>
      </w:r>
      <w:r>
        <w:rPr>
          <w:color w:val="0B0B0B"/>
          <w:spacing w:val="-2"/>
        </w:rPr>
        <w:t> </w:t>
      </w:r>
      <w:r>
        <w:rPr>
          <w:color w:val="0B0B0B"/>
        </w:rPr>
        <w:t>las</w:t>
      </w:r>
      <w:r>
        <w:rPr>
          <w:color w:val="0B0B0B"/>
          <w:spacing w:val="-1"/>
        </w:rPr>
        <w:t> </w:t>
      </w:r>
      <w:r>
        <w:rPr>
          <w:color w:val="0B0B0B"/>
        </w:rPr>
        <w:t>personas</w:t>
      </w:r>
      <w:r>
        <w:rPr>
          <w:color w:val="0B0B0B"/>
          <w:spacing w:val="-2"/>
        </w:rPr>
        <w:t> </w:t>
      </w:r>
      <w:r>
        <w:rPr>
          <w:color w:val="0B0B0B"/>
        </w:rPr>
        <w:t>físicas</w:t>
      </w:r>
      <w:r>
        <w:rPr>
          <w:color w:val="0B0B0B"/>
          <w:spacing w:val="-2"/>
        </w:rPr>
        <w:t> </w:t>
      </w:r>
      <w:r>
        <w:rPr>
          <w:color w:val="0B0B0B"/>
        </w:rPr>
        <w:t>deberán</w:t>
      </w:r>
      <w:r>
        <w:rPr>
          <w:color w:val="0B0B0B"/>
          <w:spacing w:val="-2"/>
        </w:rPr>
        <w:t> </w:t>
      </w:r>
      <w:r>
        <w:rPr>
          <w:color w:val="0B0B0B"/>
        </w:rPr>
        <w:t>acumular</w:t>
      </w:r>
      <w:r>
        <w:rPr>
          <w:color w:val="0B0B0B"/>
          <w:spacing w:val="-2"/>
        </w:rPr>
        <w:t> </w:t>
      </w:r>
      <w:r>
        <w:rPr>
          <w:color w:val="0B0B0B"/>
        </w:rPr>
        <w:t>a sus demás ingresos, los percibidos por dividendos o utilidades. Al respecto, el artículo 10, primer párrafo</w:t>
      </w:r>
      <w:r>
        <w:rPr>
          <w:color w:val="0B0B0B"/>
        </w:rPr>
        <w:t> de la referida Ley, establece que, las personas morales que distribuyan dividendos, deberán calcular y enterar el ISR que corresponda a los mismos,</w:t>
      </w:r>
      <w:r>
        <w:rPr>
          <w:color w:val="0B0B0B"/>
        </w:rPr>
        <w:t> mientras</w:t>
      </w:r>
      <w:r>
        <w:rPr>
          <w:color w:val="0B0B0B"/>
        </w:rPr>
        <w:t> que el tercer párrafo de dicho artículo, señala que no se estará obligado al pago del ISR cuando los dividendos provengan de la cuenta de utilidad fiscal neta.</w:t>
      </w:r>
    </w:p>
    <w:p>
      <w:pPr>
        <w:pStyle w:val="BodyText"/>
        <w:spacing w:line="249" w:lineRule="auto" w:before="106"/>
        <w:ind w:right="258"/>
      </w:pPr>
      <w:r>
        <w:rPr>
          <w:color w:val="0B0B0B"/>
        </w:rPr>
        <w:t>El artículo 25 de la Ley del ISR, establece las deducciones que podrán efectuar los contribuyentes personas</w:t>
      </w:r>
      <w:r>
        <w:rPr>
          <w:color w:val="0B0B0B"/>
          <w:spacing w:val="-1"/>
        </w:rPr>
        <w:t> </w:t>
      </w:r>
      <w:r>
        <w:rPr>
          <w:color w:val="0B0B0B"/>
        </w:rPr>
        <w:t>morales y el artículo 27 de la</w:t>
      </w:r>
      <w:r>
        <w:rPr>
          <w:color w:val="0B0B0B"/>
          <w:spacing w:val="-1"/>
        </w:rPr>
        <w:t> </w:t>
      </w:r>
      <w:r>
        <w:rPr>
          <w:color w:val="0B0B0B"/>
        </w:rPr>
        <w:t>citada</w:t>
      </w:r>
      <w:r>
        <w:rPr>
          <w:color w:val="0B0B0B"/>
          <w:spacing w:val="-1"/>
        </w:rPr>
        <w:t> </w:t>
      </w:r>
      <w:r>
        <w:rPr>
          <w:color w:val="0B0B0B"/>
        </w:rPr>
        <w:t>Ley, señala</w:t>
      </w:r>
      <w:r>
        <w:rPr>
          <w:color w:val="0B0B0B"/>
          <w:spacing w:val="-1"/>
        </w:rPr>
        <w:t> </w:t>
      </w:r>
      <w:r>
        <w:rPr>
          <w:color w:val="0B0B0B"/>
        </w:rPr>
        <w:t>los</w:t>
      </w:r>
      <w:r>
        <w:rPr>
          <w:color w:val="0B0B0B"/>
          <w:spacing w:val="-1"/>
        </w:rPr>
        <w:t> </w:t>
      </w:r>
      <w:r>
        <w:rPr>
          <w:color w:val="0B0B0B"/>
        </w:rPr>
        <w:t>requisitos que deberán reunir las deducciones autorizadas, precisando en su fracción I, que</w:t>
      </w:r>
      <w:r>
        <w:rPr>
          <w:color w:val="0B0B0B"/>
          <w:spacing w:val="40"/>
        </w:rPr>
        <w:t> </w:t>
      </w:r>
      <w:r>
        <w:rPr>
          <w:color w:val="0B0B0B"/>
        </w:rPr>
        <w:t>estas</w:t>
      </w:r>
      <w:r>
        <w:rPr>
          <w:color w:val="0B0B0B"/>
        </w:rPr>
        <w:t> deberán ser estrictamente indispensables para los fines de la actividad del </w:t>
      </w:r>
      <w:r>
        <w:rPr>
          <w:color w:val="0B0B0B"/>
          <w:spacing w:val="-2"/>
        </w:rPr>
        <w:t>contribuyente.</w:t>
      </w:r>
    </w:p>
    <w:p>
      <w:pPr>
        <w:pStyle w:val="BodyText"/>
        <w:spacing w:line="249" w:lineRule="auto" w:before="104"/>
        <w:ind w:right="256"/>
      </w:pPr>
      <w:r>
        <w:rPr>
          <w:color w:val="0B0B0B"/>
        </w:rPr>
        <w:t>Bajo ese contexto, se ha detectado</w:t>
      </w:r>
      <w:r>
        <w:rPr>
          <w:color w:val="0B0B0B"/>
        </w:rPr>
        <w:t> que algunos contribuyentes personas morales, utilizan a asociaciones civiles o alguna otra forma de sociedad o asociación, para efectuar el pago de cantidades a sus trabajadores, o bien, a sus socios o accionistas, bajo conceptos tales como incentivos laborales, bonos, comisiones, compensaciones complementarias por invención, otras compensaciones laborales, primas o algún otro concepto similar, de conformidad con los artículos 153-J, fracción IX y 163, fracción II de la Ley Federal del Trabajo, sin efectuar la retención y entero a que están obligados las personas que realicen dichos pagos (aún por medio de terceros contratados para tal efecto), conforme a los artículos 10 y 96 de la Ley del ISR.</w:t>
      </w:r>
    </w:p>
    <w:p>
      <w:pPr>
        <w:pStyle w:val="BodyText"/>
        <w:spacing w:line="249" w:lineRule="auto" w:before="108"/>
        <w:ind w:right="257"/>
      </w:pPr>
      <w:r>
        <w:rPr>
          <w:color w:val="0B0B0B"/>
        </w:rPr>
        <w:t>Bajo tal esquema, los trabajadores, socios o accionistas de la empresa contratante, reciben recursos económicos y un CFDI por conceptos tales como compensación laboral conforme a la Ley Federal del Trabajo, compensación complementaria u otro nombre similar, sin que dicha persona moral contratante considere esos recursos para sus trabajadores, o bien, sus socios o accionistas, como ingresos por sueldos o salarios, ingresos asimilados a salarios, o bien, pago de dividendos, según corresponda, en consecuencia, no los consideran sujetos al pago del ISR, lo cual es incorrecto, pues si bien los conceptos antes señalados pueden ser otorgados por el patrón</w:t>
      </w:r>
      <w:r>
        <w:rPr>
          <w:color w:val="0B0B0B"/>
          <w:spacing w:val="-1"/>
        </w:rPr>
        <w:t> </w:t>
      </w:r>
      <w:r>
        <w:rPr>
          <w:color w:val="0B0B0B"/>
        </w:rPr>
        <w:t>en</w:t>
      </w:r>
      <w:r>
        <w:rPr>
          <w:color w:val="0B0B0B"/>
          <w:spacing w:val="-1"/>
        </w:rPr>
        <w:t> </w:t>
      </w:r>
      <w:r>
        <w:rPr>
          <w:color w:val="0B0B0B"/>
        </w:rPr>
        <w:t>beneficio</w:t>
      </w:r>
      <w:r>
        <w:rPr>
          <w:color w:val="0B0B0B"/>
          <w:spacing w:val="-1"/>
        </w:rPr>
        <w:t> </w:t>
      </w:r>
      <w:r>
        <w:rPr>
          <w:color w:val="0B0B0B"/>
        </w:rPr>
        <w:t>de</w:t>
      </w:r>
      <w:r>
        <w:rPr>
          <w:color w:val="0B0B0B"/>
          <w:spacing w:val="-1"/>
        </w:rPr>
        <w:t> </w:t>
      </w:r>
      <w:r>
        <w:rPr>
          <w:color w:val="0B0B0B"/>
        </w:rPr>
        <w:t>sus</w:t>
      </w:r>
      <w:r>
        <w:rPr>
          <w:color w:val="0B0B0B"/>
          <w:spacing w:val="-1"/>
        </w:rPr>
        <w:t> </w:t>
      </w:r>
      <w:r>
        <w:rPr>
          <w:color w:val="0B0B0B"/>
        </w:rPr>
        <w:t>trabajadores</w:t>
      </w:r>
      <w:r>
        <w:rPr>
          <w:color w:val="0B0B0B"/>
          <w:spacing w:val="-1"/>
        </w:rPr>
        <w:t> </w:t>
      </w:r>
      <w:r>
        <w:rPr>
          <w:color w:val="0B0B0B"/>
        </w:rPr>
        <w:t>o</w:t>
      </w:r>
      <w:r>
        <w:rPr>
          <w:color w:val="0B0B0B"/>
          <w:spacing w:val="-1"/>
        </w:rPr>
        <w:t> </w:t>
      </w:r>
      <w:r>
        <w:rPr>
          <w:color w:val="0B0B0B"/>
        </w:rPr>
        <w:t>socios</w:t>
      </w:r>
      <w:r>
        <w:rPr>
          <w:color w:val="0B0B0B"/>
          <w:spacing w:val="-1"/>
        </w:rPr>
        <w:t> </w:t>
      </w:r>
      <w:r>
        <w:rPr>
          <w:color w:val="0B0B0B"/>
        </w:rPr>
        <w:t>o</w:t>
      </w:r>
      <w:r>
        <w:rPr>
          <w:color w:val="0B0B0B"/>
          <w:spacing w:val="-1"/>
        </w:rPr>
        <w:t> </w:t>
      </w:r>
      <w:r>
        <w:rPr>
          <w:color w:val="0B0B0B"/>
        </w:rPr>
        <w:t>accionistas,</w:t>
      </w:r>
      <w:r>
        <w:rPr>
          <w:color w:val="0B0B0B"/>
          <w:spacing w:val="-1"/>
        </w:rPr>
        <w:t> </w:t>
      </w:r>
      <w:r>
        <w:rPr>
          <w:color w:val="0B0B0B"/>
        </w:rPr>
        <w:t>de</w:t>
      </w:r>
      <w:r>
        <w:rPr>
          <w:color w:val="0B0B0B"/>
          <w:spacing w:val="-1"/>
        </w:rPr>
        <w:t> </w:t>
      </w:r>
      <w:r>
        <w:rPr>
          <w:color w:val="0B0B0B"/>
        </w:rPr>
        <w:t>conformidad</w:t>
      </w:r>
      <w:r>
        <w:rPr>
          <w:color w:val="0B0B0B"/>
          <w:spacing w:val="-1"/>
        </w:rPr>
        <w:t> </w:t>
      </w:r>
      <w:r>
        <w:rPr>
          <w:color w:val="0B0B0B"/>
        </w:rPr>
        <w:t>con</w:t>
      </w:r>
      <w:r>
        <w:rPr>
          <w:color w:val="0B0B0B"/>
          <w:spacing w:val="-1"/>
        </w:rPr>
        <w:t> </w:t>
      </w:r>
      <w:r>
        <w:rPr>
          <w:color w:val="0B0B0B"/>
        </w:rPr>
        <w:t>las leyes laborales, lo cierto es que solamente la Ley del ISR reconoce aquellos ingresos por los cuales no se está obligado al pago del impuesto, en términos del artículo 93 de dicha Ley.</w:t>
      </w:r>
    </w:p>
    <w:p>
      <w:pPr>
        <w:pStyle w:val="BodyText"/>
        <w:spacing w:line="249" w:lineRule="auto" w:before="110"/>
        <w:ind w:right="257"/>
      </w:pPr>
      <w:r>
        <w:rPr>
          <w:color w:val="0B0B0B"/>
        </w:rPr>
        <w:t>En efecto, en materia fiscal, la situación jurídica o de hecho prevista en la Ley del ISR para configurar la obligación de pago de dicho impuesto, de conformidad con el Título IV de la citada Ley, es amplia, toda vez que, el artículo 94, primer párrafo de la Ley</w:t>
      </w:r>
      <w:r>
        <w:rPr>
          <w:color w:val="0B0B0B"/>
          <w:spacing w:val="-1"/>
        </w:rPr>
        <w:t> </w:t>
      </w:r>
      <w:r>
        <w:rPr>
          <w:color w:val="0B0B0B"/>
        </w:rPr>
        <w:t>del ISR, al disponer: “</w:t>
      </w:r>
      <w:r>
        <w:rPr>
          <w:rFonts w:ascii="Arial" w:hAnsi="Arial"/>
          <w:b/>
          <w:color w:val="0B0B0B"/>
        </w:rPr>
        <w:t>... </w:t>
      </w:r>
      <w:r>
        <w:rPr>
          <w:rFonts w:ascii="Arial" w:hAnsi="Arial"/>
          <w:i/>
          <w:color w:val="0B0B0B"/>
        </w:rPr>
        <w:t>y demás prestaciones que deriven de una relación laboral </w:t>
      </w:r>
      <w:r>
        <w:rPr>
          <w:rFonts w:ascii="Arial" w:hAnsi="Arial"/>
          <w:b/>
          <w:i/>
          <w:color w:val="0B0B0B"/>
        </w:rPr>
        <w:t>…</w:t>
      </w:r>
      <w:r>
        <w:rPr>
          <w:color w:val="0B0B0B"/>
        </w:rPr>
        <w:t>”, abarcó cualquier concepto, con independencia de que dicho recurso corresponda o no a</w:t>
      </w:r>
      <w:r>
        <w:rPr>
          <w:color w:val="0B0B0B"/>
          <w:spacing w:val="15"/>
        </w:rPr>
        <w:t> </w:t>
      </w:r>
      <w:r>
        <w:rPr>
          <w:color w:val="0B0B0B"/>
        </w:rPr>
        <w:t>cualquier</w:t>
      </w:r>
      <w:r>
        <w:rPr>
          <w:color w:val="0B0B0B"/>
          <w:spacing w:val="16"/>
        </w:rPr>
        <w:t> </w:t>
      </w:r>
      <w:r>
        <w:rPr>
          <w:color w:val="0B0B0B"/>
        </w:rPr>
        <w:t>otra</w:t>
      </w:r>
      <w:r>
        <w:rPr>
          <w:color w:val="0B0B0B"/>
          <w:spacing w:val="15"/>
        </w:rPr>
        <w:t> </w:t>
      </w:r>
      <w:r>
        <w:rPr>
          <w:color w:val="0B0B0B"/>
        </w:rPr>
        <w:t>figura</w:t>
      </w:r>
      <w:r>
        <w:rPr>
          <w:color w:val="0B0B0B"/>
          <w:spacing w:val="16"/>
        </w:rPr>
        <w:t> </w:t>
      </w:r>
      <w:r>
        <w:rPr>
          <w:color w:val="0B0B0B"/>
        </w:rPr>
        <w:t>o</w:t>
      </w:r>
      <w:r>
        <w:rPr>
          <w:color w:val="0B0B0B"/>
          <w:spacing w:val="15"/>
        </w:rPr>
        <w:t> </w:t>
      </w:r>
      <w:r>
        <w:rPr>
          <w:color w:val="0B0B0B"/>
        </w:rPr>
        <w:t>devenga</w:t>
      </w:r>
      <w:r>
        <w:rPr>
          <w:color w:val="0B0B0B"/>
          <w:spacing w:val="15"/>
        </w:rPr>
        <w:t> </w:t>
      </w:r>
      <w:r>
        <w:rPr>
          <w:color w:val="0B0B0B"/>
        </w:rPr>
        <w:t>de</w:t>
      </w:r>
      <w:r>
        <w:rPr>
          <w:color w:val="0B0B0B"/>
          <w:spacing w:val="14"/>
        </w:rPr>
        <w:t> </w:t>
      </w:r>
      <w:r>
        <w:rPr>
          <w:color w:val="0B0B0B"/>
        </w:rPr>
        <w:t>cualquier</w:t>
      </w:r>
      <w:r>
        <w:rPr>
          <w:color w:val="0B0B0B"/>
          <w:spacing w:val="16"/>
        </w:rPr>
        <w:t> </w:t>
      </w:r>
      <w:r>
        <w:rPr>
          <w:color w:val="0B0B0B"/>
        </w:rPr>
        <w:t>otra</w:t>
      </w:r>
      <w:r>
        <w:rPr>
          <w:color w:val="0B0B0B"/>
          <w:spacing w:val="15"/>
        </w:rPr>
        <w:t> </w:t>
      </w:r>
      <w:r>
        <w:rPr>
          <w:color w:val="0B0B0B"/>
        </w:rPr>
        <w:t>obligación</w:t>
      </w:r>
      <w:r>
        <w:rPr>
          <w:color w:val="0B0B0B"/>
          <w:spacing w:val="16"/>
        </w:rPr>
        <w:t> </w:t>
      </w:r>
      <w:r>
        <w:rPr>
          <w:color w:val="0B0B0B"/>
        </w:rPr>
        <w:t>prevista</w:t>
      </w:r>
      <w:r>
        <w:rPr>
          <w:color w:val="0B0B0B"/>
          <w:spacing w:val="15"/>
        </w:rPr>
        <w:t> </w:t>
      </w:r>
      <w:r>
        <w:rPr>
          <w:color w:val="0B0B0B"/>
        </w:rPr>
        <w:t>en</w:t>
      </w:r>
      <w:r>
        <w:rPr>
          <w:color w:val="0B0B0B"/>
          <w:spacing w:val="14"/>
        </w:rPr>
        <w:t> </w:t>
      </w:r>
      <w:r>
        <w:rPr>
          <w:color w:val="0B0B0B"/>
        </w:rPr>
        <w:t>una</w:t>
      </w:r>
      <w:r>
        <w:rPr>
          <w:color w:val="0B0B0B"/>
          <w:spacing w:val="15"/>
        </w:rPr>
        <w:t> </w:t>
      </w:r>
      <w:r>
        <w:rPr>
          <w:color w:val="0B0B0B"/>
        </w:rPr>
        <w:t>ley</w:t>
      </w:r>
      <w:r>
        <w:rPr>
          <w:color w:val="0B0B0B"/>
          <w:spacing w:val="16"/>
        </w:rPr>
        <w:t> </w:t>
      </w:r>
      <w:r>
        <w:rPr>
          <w:color w:val="0B0B0B"/>
        </w:rPr>
        <w:t>de</w:t>
      </w:r>
    </w:p>
    <w:p>
      <w:pPr>
        <w:pStyle w:val="BodyText"/>
        <w:spacing w:after="0" w:line="249" w:lineRule="auto"/>
        <w:sectPr>
          <w:headerReference w:type="default" r:id="rId49"/>
          <w:pgSz w:w="12240" w:h="15840"/>
          <w:pgMar w:header="690" w:footer="0" w:top="1040" w:bottom="280" w:left="1440" w:right="1440"/>
        </w:sectPr>
      </w:pPr>
    </w:p>
    <w:p>
      <w:pPr>
        <w:pStyle w:val="BodyText"/>
        <w:spacing w:line="249" w:lineRule="auto" w:before="112"/>
        <w:ind w:right="257"/>
      </w:pPr>
      <w:r>
        <w:rPr>
          <w:color w:val="0B0B0B"/>
        </w:rPr>
        <w:t>otra</w:t>
      </w:r>
      <w:r>
        <w:rPr>
          <w:color w:val="0B0B0B"/>
          <w:spacing w:val="-2"/>
        </w:rPr>
        <w:t> </w:t>
      </w:r>
      <w:r>
        <w:rPr>
          <w:color w:val="0B0B0B"/>
        </w:rPr>
        <w:t>materia,</w:t>
      </w:r>
      <w:r>
        <w:rPr>
          <w:color w:val="0B0B0B"/>
          <w:spacing w:val="-2"/>
        </w:rPr>
        <w:t> </w:t>
      </w:r>
      <w:r>
        <w:rPr>
          <w:color w:val="0B0B0B"/>
        </w:rPr>
        <w:t>como</w:t>
      </w:r>
      <w:r>
        <w:rPr>
          <w:color w:val="0B0B0B"/>
          <w:spacing w:val="-1"/>
        </w:rPr>
        <w:t> </w:t>
      </w:r>
      <w:r>
        <w:rPr>
          <w:color w:val="0B0B0B"/>
        </w:rPr>
        <w:t>lo es</w:t>
      </w:r>
      <w:r>
        <w:rPr>
          <w:color w:val="0B0B0B"/>
          <w:spacing w:val="-1"/>
        </w:rPr>
        <w:t> </w:t>
      </w:r>
      <w:r>
        <w:rPr>
          <w:color w:val="0B0B0B"/>
        </w:rPr>
        <w:t>la</w:t>
      </w:r>
      <w:r>
        <w:rPr>
          <w:color w:val="0B0B0B"/>
          <w:spacing w:val="-1"/>
        </w:rPr>
        <w:t> </w:t>
      </w:r>
      <w:r>
        <w:rPr>
          <w:color w:val="0B0B0B"/>
        </w:rPr>
        <w:t>materia laboral, pues donde</w:t>
      </w:r>
      <w:r>
        <w:rPr>
          <w:color w:val="0B0B0B"/>
          <w:spacing w:val="-1"/>
        </w:rPr>
        <w:t> </w:t>
      </w:r>
      <w:r>
        <w:rPr>
          <w:color w:val="0B0B0B"/>
        </w:rPr>
        <w:t>la</w:t>
      </w:r>
      <w:r>
        <w:rPr>
          <w:color w:val="0B0B0B"/>
          <w:spacing w:val="-1"/>
        </w:rPr>
        <w:t> </w:t>
      </w:r>
      <w:r>
        <w:rPr>
          <w:color w:val="0B0B0B"/>
        </w:rPr>
        <w:t>ley</w:t>
      </w:r>
      <w:r>
        <w:rPr>
          <w:color w:val="0B0B0B"/>
          <w:spacing w:val="-1"/>
        </w:rPr>
        <w:t> </w:t>
      </w:r>
      <w:r>
        <w:rPr>
          <w:color w:val="0B0B0B"/>
        </w:rPr>
        <w:t>no</w:t>
      </w:r>
      <w:r>
        <w:rPr>
          <w:color w:val="0B0B0B"/>
          <w:spacing w:val="-1"/>
        </w:rPr>
        <w:t> </w:t>
      </w:r>
      <w:r>
        <w:rPr>
          <w:color w:val="0B0B0B"/>
        </w:rPr>
        <w:t>distingue,</w:t>
      </w:r>
      <w:r>
        <w:rPr>
          <w:color w:val="0B0B0B"/>
          <w:spacing w:val="-1"/>
        </w:rPr>
        <w:t> </w:t>
      </w:r>
      <w:r>
        <w:rPr>
          <w:color w:val="0B0B0B"/>
        </w:rPr>
        <w:t>no es</w:t>
      </w:r>
      <w:r>
        <w:rPr>
          <w:color w:val="0B0B0B"/>
          <w:spacing w:val="-1"/>
        </w:rPr>
        <w:t> </w:t>
      </w:r>
      <w:r>
        <w:rPr>
          <w:color w:val="0B0B0B"/>
        </w:rPr>
        <w:t>dable distinguir, razón por</w:t>
      </w:r>
      <w:r>
        <w:rPr>
          <w:color w:val="0B0B0B"/>
        </w:rPr>
        <w:t> la cual, aunque los recursos económicos entregados a las personas físicas, incluso a través de asociaciones o sociedades,</w:t>
      </w:r>
      <w:r>
        <w:rPr>
          <w:color w:val="0B0B0B"/>
        </w:rPr>
        <w:t> llegaran a corresponder a programas de capacitación y adiestramiento con el objeto de incrementar</w:t>
      </w:r>
      <w:r>
        <w:rPr>
          <w:color w:val="0B0B0B"/>
        </w:rPr>
        <w:t> la productividad, o a una indemnización complementaria por</w:t>
      </w:r>
      <w:r>
        <w:rPr>
          <w:color w:val="0B0B0B"/>
        </w:rPr>
        <w:t> una invención, ello no significa que se deban considerar como ingresos exentos para las personas</w:t>
      </w:r>
      <w:r>
        <w:rPr>
          <w:color w:val="0B0B0B"/>
          <w:spacing w:val="-1"/>
        </w:rPr>
        <w:t> </w:t>
      </w:r>
      <w:r>
        <w:rPr>
          <w:color w:val="0B0B0B"/>
        </w:rPr>
        <w:t>físicas,</w:t>
      </w:r>
      <w:r>
        <w:rPr>
          <w:color w:val="0B0B0B"/>
          <w:spacing w:val="-1"/>
        </w:rPr>
        <w:t> </w:t>
      </w:r>
      <w:r>
        <w:rPr>
          <w:color w:val="0B0B0B"/>
        </w:rPr>
        <w:t>puesto</w:t>
      </w:r>
      <w:r>
        <w:rPr>
          <w:color w:val="0B0B0B"/>
          <w:spacing w:val="-1"/>
        </w:rPr>
        <w:t> </w:t>
      </w:r>
      <w:r>
        <w:rPr>
          <w:color w:val="0B0B0B"/>
        </w:rPr>
        <w:t>que,</w:t>
      </w:r>
      <w:r>
        <w:rPr>
          <w:color w:val="0B0B0B"/>
          <w:spacing w:val="-1"/>
        </w:rPr>
        <w:t> </w:t>
      </w:r>
      <w:r>
        <w:rPr>
          <w:color w:val="0B0B0B"/>
        </w:rPr>
        <w:t>los</w:t>
      </w:r>
      <w:r>
        <w:rPr>
          <w:color w:val="0B0B0B"/>
          <w:spacing w:val="-1"/>
        </w:rPr>
        <w:t> </w:t>
      </w:r>
      <w:r>
        <w:rPr>
          <w:color w:val="0B0B0B"/>
        </w:rPr>
        <w:t>ingresos</w:t>
      </w:r>
      <w:r>
        <w:rPr>
          <w:color w:val="0B0B0B"/>
          <w:spacing w:val="-1"/>
        </w:rPr>
        <w:t> </w:t>
      </w:r>
      <w:r>
        <w:rPr>
          <w:color w:val="0B0B0B"/>
        </w:rPr>
        <w:t>por</w:t>
      </w:r>
      <w:r>
        <w:rPr>
          <w:color w:val="0B0B0B"/>
          <w:spacing w:val="-1"/>
        </w:rPr>
        <w:t> </w:t>
      </w:r>
      <w:r>
        <w:rPr>
          <w:color w:val="0B0B0B"/>
        </w:rPr>
        <w:t>los</w:t>
      </w:r>
      <w:r>
        <w:rPr>
          <w:color w:val="0B0B0B"/>
          <w:spacing w:val="-1"/>
        </w:rPr>
        <w:t> </w:t>
      </w:r>
      <w:r>
        <w:rPr>
          <w:color w:val="0B0B0B"/>
        </w:rPr>
        <w:t>cuales</w:t>
      </w:r>
      <w:r>
        <w:rPr>
          <w:color w:val="0B0B0B"/>
          <w:spacing w:val="-1"/>
        </w:rPr>
        <w:t> </w:t>
      </w:r>
      <w:r>
        <w:rPr>
          <w:color w:val="0B0B0B"/>
        </w:rPr>
        <w:t>no</w:t>
      </w:r>
      <w:r>
        <w:rPr>
          <w:color w:val="0B0B0B"/>
          <w:spacing w:val="-1"/>
        </w:rPr>
        <w:t> </w:t>
      </w:r>
      <w:r>
        <w:rPr>
          <w:color w:val="0B0B0B"/>
        </w:rPr>
        <w:t>se</w:t>
      </w:r>
      <w:r>
        <w:rPr>
          <w:color w:val="0B0B0B"/>
          <w:spacing w:val="-1"/>
        </w:rPr>
        <w:t> </w:t>
      </w:r>
      <w:r>
        <w:rPr>
          <w:color w:val="0B0B0B"/>
        </w:rPr>
        <w:t>estará</w:t>
      </w:r>
      <w:r>
        <w:rPr>
          <w:color w:val="0B0B0B"/>
          <w:spacing w:val="-1"/>
        </w:rPr>
        <w:t> </w:t>
      </w:r>
      <w:r>
        <w:rPr>
          <w:color w:val="0B0B0B"/>
        </w:rPr>
        <w:t>obligado</w:t>
      </w:r>
      <w:r>
        <w:rPr>
          <w:color w:val="0B0B0B"/>
          <w:spacing w:val="-1"/>
        </w:rPr>
        <w:t> </w:t>
      </w:r>
      <w:r>
        <w:rPr>
          <w:color w:val="0B0B0B"/>
        </w:rPr>
        <w:t>al</w:t>
      </w:r>
      <w:r>
        <w:rPr>
          <w:color w:val="0B0B0B"/>
          <w:spacing w:val="-1"/>
        </w:rPr>
        <w:t> </w:t>
      </w:r>
      <w:r>
        <w:rPr>
          <w:color w:val="0B0B0B"/>
        </w:rPr>
        <w:t>pago del</w:t>
      </w:r>
      <w:r>
        <w:rPr>
          <w:color w:val="0B0B0B"/>
          <w:spacing w:val="40"/>
        </w:rPr>
        <w:t> </w:t>
      </w:r>
      <w:r>
        <w:rPr>
          <w:color w:val="0B0B0B"/>
        </w:rPr>
        <w:t>ISR,</w:t>
      </w:r>
      <w:r>
        <w:rPr>
          <w:color w:val="0B0B0B"/>
          <w:spacing w:val="40"/>
        </w:rPr>
        <w:t> </w:t>
      </w:r>
      <w:r>
        <w:rPr>
          <w:color w:val="0B0B0B"/>
        </w:rPr>
        <w:t>se</w:t>
      </w:r>
      <w:r>
        <w:rPr>
          <w:color w:val="0B0B0B"/>
          <w:spacing w:val="40"/>
        </w:rPr>
        <w:t> </w:t>
      </w:r>
      <w:r>
        <w:rPr>
          <w:color w:val="0B0B0B"/>
        </w:rPr>
        <w:t>encuentran</w:t>
      </w:r>
      <w:r>
        <w:rPr>
          <w:color w:val="0B0B0B"/>
          <w:spacing w:val="40"/>
        </w:rPr>
        <w:t> </w:t>
      </w:r>
      <w:r>
        <w:rPr>
          <w:color w:val="0B0B0B"/>
        </w:rPr>
        <w:t>señalados</w:t>
      </w:r>
      <w:r>
        <w:rPr>
          <w:color w:val="0B0B0B"/>
          <w:spacing w:val="40"/>
        </w:rPr>
        <w:t> </w:t>
      </w:r>
      <w:r>
        <w:rPr>
          <w:color w:val="0B0B0B"/>
        </w:rPr>
        <w:t>de</w:t>
      </w:r>
      <w:r>
        <w:rPr>
          <w:color w:val="0B0B0B"/>
          <w:spacing w:val="40"/>
        </w:rPr>
        <w:t> </w:t>
      </w:r>
      <w:r>
        <w:rPr>
          <w:color w:val="0B0B0B"/>
        </w:rPr>
        <w:t>forma</w:t>
      </w:r>
      <w:r>
        <w:rPr>
          <w:color w:val="0B0B0B"/>
          <w:spacing w:val="40"/>
        </w:rPr>
        <w:t> </w:t>
      </w:r>
      <w:r>
        <w:rPr>
          <w:color w:val="0B0B0B"/>
        </w:rPr>
        <w:t>restrictiva</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artículo</w:t>
      </w:r>
      <w:r>
        <w:rPr>
          <w:color w:val="0B0B0B"/>
          <w:spacing w:val="40"/>
        </w:rPr>
        <w:t> </w:t>
      </w:r>
      <w:r>
        <w:rPr>
          <w:color w:val="0B0B0B"/>
        </w:rPr>
        <w:t>93</w:t>
      </w:r>
      <w:r>
        <w:rPr>
          <w:color w:val="0B0B0B"/>
          <w:spacing w:val="40"/>
        </w:rPr>
        <w:t> </w:t>
      </w:r>
      <w:r>
        <w:rPr>
          <w:color w:val="0B0B0B"/>
        </w:rPr>
        <w:t>de</w:t>
      </w:r>
      <w:r>
        <w:rPr>
          <w:color w:val="0B0B0B"/>
          <w:spacing w:val="40"/>
        </w:rPr>
        <w:t> </w:t>
      </w:r>
      <w:r>
        <w:rPr>
          <w:color w:val="0B0B0B"/>
        </w:rPr>
        <w:t>la citada Ley.</w:t>
      </w:r>
    </w:p>
    <w:p>
      <w:pPr>
        <w:pStyle w:val="BodyText"/>
        <w:spacing w:line="249" w:lineRule="auto" w:before="107"/>
        <w:ind w:right="255"/>
      </w:pPr>
      <w:r>
        <w:rPr>
          <w:color w:val="0B0B0B"/>
        </w:rPr>
        <w:t>En ese tenor, el pago que realice un patrón a sus trabajadores o socios o accionistas, por concepto de incentivos laborales, bonos, comisiones, compensaciones complementarias, primas o algún otro similar, incluso a través de asociaciones o sociedades,</w:t>
      </w:r>
      <w:r>
        <w:rPr>
          <w:color w:val="0B0B0B"/>
          <w:spacing w:val="-1"/>
        </w:rPr>
        <w:t> </w:t>
      </w:r>
      <w:r>
        <w:rPr>
          <w:color w:val="0B0B0B"/>
        </w:rPr>
        <w:t>debe</w:t>
      </w:r>
      <w:r>
        <w:rPr>
          <w:color w:val="0B0B0B"/>
          <w:spacing w:val="-1"/>
        </w:rPr>
        <w:t> </w:t>
      </w:r>
      <w:r>
        <w:rPr>
          <w:color w:val="0B0B0B"/>
        </w:rPr>
        <w:t>tener</w:t>
      </w:r>
      <w:r>
        <w:rPr>
          <w:color w:val="0B0B0B"/>
          <w:spacing w:val="-1"/>
        </w:rPr>
        <w:t> </w:t>
      </w:r>
      <w:r>
        <w:rPr>
          <w:color w:val="0B0B0B"/>
        </w:rPr>
        <w:t>el</w:t>
      </w:r>
      <w:r>
        <w:rPr>
          <w:color w:val="0B0B0B"/>
          <w:spacing w:val="-1"/>
        </w:rPr>
        <w:t> </w:t>
      </w:r>
      <w:r>
        <w:rPr>
          <w:color w:val="0B0B0B"/>
        </w:rPr>
        <w:t>tratamiento</w:t>
      </w:r>
      <w:r>
        <w:rPr>
          <w:color w:val="0B0B0B"/>
          <w:spacing w:val="-1"/>
        </w:rPr>
        <w:t> </w:t>
      </w:r>
      <w:r>
        <w:rPr>
          <w:color w:val="0B0B0B"/>
        </w:rPr>
        <w:t>de un ingreso</w:t>
      </w:r>
      <w:r>
        <w:rPr>
          <w:color w:val="0B0B0B"/>
          <w:spacing w:val="-1"/>
        </w:rPr>
        <w:t> </w:t>
      </w:r>
      <w:r>
        <w:rPr>
          <w:color w:val="0B0B0B"/>
        </w:rPr>
        <w:t>gravado</w:t>
      </w:r>
      <w:r>
        <w:rPr>
          <w:color w:val="0B0B0B"/>
          <w:spacing w:val="-1"/>
        </w:rPr>
        <w:t> </w:t>
      </w:r>
      <w:r>
        <w:rPr>
          <w:color w:val="0B0B0B"/>
        </w:rPr>
        <w:t>para la</w:t>
      </w:r>
      <w:r>
        <w:rPr>
          <w:color w:val="0B0B0B"/>
          <w:spacing w:val="-1"/>
        </w:rPr>
        <w:t> </w:t>
      </w:r>
      <w:r>
        <w:rPr>
          <w:color w:val="0B0B0B"/>
        </w:rPr>
        <w:t>determinación del ISR. De manera que, las personas que efectúen dichos pagos (incluso,</w:t>
      </w:r>
      <w:r>
        <w:rPr>
          <w:color w:val="0B0B0B"/>
        </w:rPr>
        <w:t> a través de terceros contratados para tal efecto) están obligadas a efectuar la retención y entero del impuesto, en términos de los artículos 10 y 96 de la Ley del ISR.</w:t>
      </w:r>
    </w:p>
    <w:p>
      <w:pPr>
        <w:pStyle w:val="BodyText"/>
        <w:spacing w:line="249" w:lineRule="auto" w:before="68"/>
        <w:ind w:right="256"/>
      </w:pPr>
      <w:r>
        <w:rPr>
          <w:color w:val="0B0B0B"/>
        </w:rPr>
        <w:t>Adicional al esquema señalado con anterioridad, los referidos empleadores también efectúan la deducción de los pagos realizados a dichas sociedades o asociaciones en la determinación de su ISR y, en su caso, llevan a cabo el acreditamiento del IVA que les trasladan las citadas sociedades o asociaciones;</w:t>
      </w:r>
      <w:r>
        <w:rPr>
          <w:color w:val="0B0B0B"/>
        </w:rPr>
        <w:t> sin embargo, los gastos que pudieran generarse por esa “administración” no constituyen deducciones autorizadas para efectos del ISR, toda vez que no cumplen con lo establecido en el artículo 27, fracción I de la citada Ley, por no tratarse de erogaciones estrictamente</w:t>
      </w:r>
      <w:r>
        <w:rPr>
          <w:color w:val="0B0B0B"/>
          <w:spacing w:val="40"/>
        </w:rPr>
        <w:t> </w:t>
      </w:r>
      <w:r>
        <w:rPr>
          <w:color w:val="0B0B0B"/>
        </w:rPr>
        <w:t>indispensables para los fines de la actividad del contribuyente, asimismo, tampoco el IVA que en su caso les haya sido trasladado por dichas sociedades o asociaciones se considerará acreditable al no cumplir con el requisito del artículo 5o., fracción I, de la Ley del IVA por</w:t>
      </w:r>
      <w:r>
        <w:rPr>
          <w:color w:val="0B0B0B"/>
        </w:rPr>
        <w:t> no corresponder a bienes, servicios o al uso o goce temporal de bienes, estrictamente indispensables para la realización de actividades distintas de la </w:t>
      </w:r>
      <w:r>
        <w:rPr>
          <w:color w:val="0B0B0B"/>
          <w:spacing w:val="-2"/>
        </w:rPr>
        <w:t>importación.</w:t>
      </w:r>
    </w:p>
    <w:p>
      <w:pPr>
        <w:pStyle w:val="BodyText"/>
        <w:spacing w:before="70"/>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49"/>
        </w:numPr>
        <w:tabs>
          <w:tab w:pos="2664" w:val="left" w:leader="none"/>
        </w:tabs>
        <w:spacing w:line="249" w:lineRule="auto" w:before="72" w:after="0"/>
        <w:ind w:left="2664" w:right="257" w:hanging="504"/>
        <w:jc w:val="both"/>
        <w:rPr>
          <w:sz w:val="18"/>
        </w:rPr>
      </w:pPr>
      <w:r>
        <w:rPr>
          <w:color w:val="0B0B0B"/>
          <w:sz w:val="18"/>
        </w:rPr>
        <w:t>Los contribuyentes que para efectos del ISR, realicen pagos a sus trabajadores, socios o accionistas, incluso a través de asociaciones o sociedades, por concepto de incentivos laborales, bonos, comisiones, compensaciones complementarias por invención, primas o algún otro concepto similar, otorgándoles el tratamiento fiscal de ingresos exentos, cuando en realidad se trata de ingresos por sueldos,</w:t>
      </w:r>
      <w:r>
        <w:rPr>
          <w:color w:val="0B0B0B"/>
          <w:sz w:val="18"/>
        </w:rPr>
        <w:t> salarios, ingresos asimilados o pago de </w:t>
      </w:r>
      <w:r>
        <w:rPr>
          <w:color w:val="0B0B0B"/>
          <w:spacing w:val="-2"/>
          <w:sz w:val="18"/>
        </w:rPr>
        <w:t>dividendos.</w:t>
      </w:r>
    </w:p>
    <w:p>
      <w:pPr>
        <w:pStyle w:val="ListParagraph"/>
        <w:numPr>
          <w:ilvl w:val="0"/>
          <w:numId w:val="49"/>
        </w:numPr>
        <w:tabs>
          <w:tab w:pos="2664" w:val="left" w:leader="none"/>
        </w:tabs>
        <w:spacing w:line="249" w:lineRule="auto" w:before="67" w:after="0"/>
        <w:ind w:left="2664" w:right="256" w:hanging="504"/>
        <w:jc w:val="both"/>
        <w:rPr>
          <w:sz w:val="18"/>
        </w:rPr>
      </w:pPr>
      <w:r>
        <w:rPr>
          <w:color w:val="0B0B0B"/>
          <w:sz w:val="18"/>
        </w:rPr>
        <w:t>Quienes omitan efectuar la retención y el entero del ISR por concepto de sueldos,</w:t>
      </w:r>
      <w:r>
        <w:rPr>
          <w:color w:val="0B0B0B"/>
          <w:sz w:val="18"/>
        </w:rPr>
        <w:t> salarios,</w:t>
      </w:r>
      <w:r>
        <w:rPr>
          <w:color w:val="0B0B0B"/>
          <w:sz w:val="18"/>
        </w:rPr>
        <w:t> ingresos asimilados a salarios o dividendos,</w:t>
      </w:r>
      <w:r>
        <w:rPr>
          <w:color w:val="0B0B0B"/>
          <w:sz w:val="18"/>
        </w:rPr>
        <w:t> según corresponda, por las cantidades que entreguen a sus trabajadores,</w:t>
      </w:r>
      <w:r>
        <w:rPr>
          <w:color w:val="0B0B0B"/>
          <w:sz w:val="18"/>
        </w:rPr>
        <w:t> socios o accionistas, incluso a través de asociaciones o sociedades, en los términos de</w:t>
      </w:r>
      <w:r>
        <w:rPr>
          <w:color w:val="0B0B0B"/>
          <w:spacing w:val="40"/>
          <w:sz w:val="18"/>
        </w:rPr>
        <w:t> </w:t>
      </w:r>
      <w:r>
        <w:rPr>
          <w:color w:val="0B0B0B"/>
          <w:sz w:val="18"/>
        </w:rPr>
        <w:t>la fracción anterior.</w:t>
      </w:r>
    </w:p>
    <w:p>
      <w:pPr>
        <w:pStyle w:val="ListParagraph"/>
        <w:numPr>
          <w:ilvl w:val="0"/>
          <w:numId w:val="49"/>
        </w:numPr>
        <w:tabs>
          <w:tab w:pos="2662" w:val="left" w:leader="none"/>
          <w:tab w:pos="2664" w:val="left" w:leader="none"/>
        </w:tabs>
        <w:spacing w:line="249" w:lineRule="auto" w:before="66" w:after="0"/>
        <w:ind w:left="2664" w:right="257" w:hanging="504"/>
        <w:jc w:val="both"/>
        <w:rPr>
          <w:sz w:val="18"/>
        </w:rPr>
      </w:pPr>
      <w:r>
        <w:rPr>
          <w:color w:val="0B0B0B"/>
          <w:sz w:val="18"/>
        </w:rPr>
        <w:t>Las personas físicas que reciban los pagos a que se refiere la fracción I, y no consideren dichos recursos recibidos como ingresos acumulables para efecto del ISR.</w:t>
      </w:r>
    </w:p>
    <w:p>
      <w:pPr>
        <w:pStyle w:val="ListParagraph"/>
        <w:numPr>
          <w:ilvl w:val="0"/>
          <w:numId w:val="49"/>
        </w:numPr>
        <w:tabs>
          <w:tab w:pos="2664" w:val="left" w:leader="none"/>
        </w:tabs>
        <w:spacing w:line="249" w:lineRule="auto" w:before="64" w:after="0"/>
        <w:ind w:left="2664" w:right="257" w:hanging="504"/>
        <w:jc w:val="both"/>
        <w:rPr>
          <w:sz w:val="18"/>
        </w:rPr>
      </w:pPr>
      <w:r>
        <w:rPr>
          <w:color w:val="0B0B0B"/>
          <w:sz w:val="18"/>
        </w:rPr>
        <w:t>Quienes efectúen la deducción de los pagos realizados a asociaciones civiles o alguna otra forma de sociedad o asociación, para que estas a su vez realicen pagos de incentivos laborales, bonos, comisiones, compensaciones complementarias por invención, compensaciones laborales, primas o algún otro concepto similar a dichos trabajadores, socios o accionistas.</w:t>
      </w:r>
    </w:p>
    <w:p>
      <w:pPr>
        <w:pStyle w:val="ListParagraph"/>
        <w:numPr>
          <w:ilvl w:val="0"/>
          <w:numId w:val="49"/>
        </w:numPr>
        <w:tabs>
          <w:tab w:pos="2664" w:val="left" w:leader="none"/>
        </w:tabs>
        <w:spacing w:line="249" w:lineRule="auto" w:before="66" w:after="0"/>
        <w:ind w:left="2664" w:right="260" w:hanging="504"/>
        <w:jc w:val="both"/>
        <w:rPr>
          <w:sz w:val="18"/>
        </w:rPr>
      </w:pPr>
      <w:r>
        <w:rPr>
          <w:color w:val="0B0B0B"/>
          <w:sz w:val="18"/>
        </w:rPr>
        <w:t>Quienes efectúen el acreditamiento del IVA, que corresponda a los pagos realizados en los términos de la fracción anterior.</w:t>
      </w:r>
    </w:p>
    <w:p>
      <w:pPr>
        <w:pStyle w:val="ListParagraph"/>
        <w:numPr>
          <w:ilvl w:val="0"/>
          <w:numId w:val="49"/>
        </w:numPr>
        <w:tabs>
          <w:tab w:pos="2664" w:val="left" w:leader="none"/>
        </w:tabs>
        <w:spacing w:line="249" w:lineRule="auto" w:before="64" w:after="59"/>
        <w:ind w:left="2664" w:right="258"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277" w:hRule="atLeast"/>
        </w:trPr>
        <w:tc>
          <w:tcPr>
            <w:tcW w:w="2694"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22"/>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09" w:hRule="atLeast"/>
        </w:trPr>
        <w:tc>
          <w:tcPr>
            <w:tcW w:w="2694" w:type="dxa"/>
          </w:tcPr>
          <w:p>
            <w:pPr>
              <w:pStyle w:val="TableParagraph"/>
              <w:spacing w:before="22"/>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2024</w:t>
            </w:r>
          </w:p>
        </w:tc>
        <w:tc>
          <w:tcPr>
            <w:tcW w:w="4210" w:type="dxa"/>
          </w:tcPr>
          <w:p>
            <w:pPr>
              <w:pStyle w:val="TableParagraph"/>
              <w:spacing w:line="280" w:lineRule="auto"/>
              <w:ind w:right="57"/>
              <w:jc w:val="both"/>
              <w:rPr>
                <w:sz w:val="16"/>
              </w:rPr>
            </w:pPr>
            <w:r>
              <w:rPr>
                <w:color w:val="0B0B0B"/>
                <w:sz w:val="16"/>
              </w:rPr>
              <w:t>Publicada en el DOF 29 de diciembre de 2023, Anexo </w:t>
            </w:r>
            <w:r>
              <w:rPr>
                <w:color w:val="0B0B0B"/>
                <w:sz w:val="16"/>
              </w:rPr>
              <w:t>3, publicado en el DOF el 5 de enero de 2024, con número de criterio no vinculativo 43/ISR.</w:t>
            </w:r>
          </w:p>
        </w:tc>
      </w:tr>
    </w:tbl>
    <w:p>
      <w:pPr>
        <w:pStyle w:val="TableParagraph"/>
        <w:spacing w:after="0" w:line="280" w:lineRule="auto"/>
        <w:jc w:val="both"/>
        <w:rPr>
          <w:sz w:val="16"/>
        </w:rPr>
        <w:sectPr>
          <w:headerReference w:type="default" r:id="rId50"/>
          <w:pgSz w:w="12240" w:h="15840"/>
          <w:pgMar w:header="690" w:footer="0" w:top="1040" w:bottom="280" w:left="1440" w:right="1440"/>
        </w:sectPr>
      </w:pPr>
    </w:p>
    <w:p>
      <w:pPr>
        <w:pStyle w:val="Heading1"/>
        <w:tabs>
          <w:tab w:pos="2145" w:val="left" w:leader="none"/>
        </w:tabs>
        <w:spacing w:line="268" w:lineRule="auto" w:before="126"/>
        <w:ind w:right="257"/>
      </w:pPr>
      <w:r>
        <w:rPr>
          <w:color w:val="0B0B0B"/>
          <w:spacing w:val="-2"/>
        </w:rPr>
        <w:t>44/ISR/PI</w:t>
      </w:r>
      <w:r>
        <w:rPr>
          <w:color w:val="0B0B0B"/>
        </w:rPr>
        <w:tab/>
        <w:t>Deducción</w:t>
      </w:r>
      <w:r>
        <w:rPr>
          <w:color w:val="0B0B0B"/>
          <w:spacing w:val="40"/>
        </w:rPr>
        <w:t> </w:t>
      </w:r>
      <w:r>
        <w:rPr>
          <w:color w:val="0B0B0B"/>
        </w:rPr>
        <w:t>de</w:t>
      </w:r>
      <w:r>
        <w:rPr>
          <w:color w:val="0B0B0B"/>
          <w:spacing w:val="40"/>
        </w:rPr>
        <w:t> </w:t>
      </w:r>
      <w:r>
        <w:rPr>
          <w:color w:val="0B0B0B"/>
        </w:rPr>
        <w:t>erogaciones</w:t>
      </w:r>
      <w:r>
        <w:rPr>
          <w:color w:val="0B0B0B"/>
          <w:spacing w:val="40"/>
        </w:rPr>
        <w:t> </w:t>
      </w:r>
      <w:r>
        <w:rPr>
          <w:color w:val="0B0B0B"/>
        </w:rPr>
        <w:t>por</w:t>
      </w:r>
      <w:r>
        <w:rPr>
          <w:color w:val="0B0B0B"/>
          <w:spacing w:val="40"/>
        </w:rPr>
        <w:t> </w:t>
      </w:r>
      <w:r>
        <w:rPr>
          <w:color w:val="0B0B0B"/>
        </w:rPr>
        <w:t>concepto</w:t>
      </w:r>
      <w:r>
        <w:rPr>
          <w:color w:val="0B0B0B"/>
          <w:spacing w:val="40"/>
        </w:rPr>
        <w:t> </w:t>
      </w:r>
      <w:r>
        <w:rPr>
          <w:color w:val="0B0B0B"/>
        </w:rPr>
        <w:t>de</w:t>
      </w:r>
      <w:r>
        <w:rPr>
          <w:color w:val="0B0B0B"/>
          <w:spacing w:val="40"/>
        </w:rPr>
        <w:t> </w:t>
      </w:r>
      <w:r>
        <w:rPr>
          <w:color w:val="0B0B0B"/>
        </w:rPr>
        <w:t>prestación</w:t>
      </w:r>
      <w:r>
        <w:rPr>
          <w:color w:val="0B0B0B"/>
          <w:spacing w:val="40"/>
        </w:rPr>
        <w:t> </w:t>
      </w:r>
      <w:r>
        <w:rPr>
          <w:color w:val="0B0B0B"/>
        </w:rPr>
        <w:t>de</w:t>
      </w:r>
      <w:r>
        <w:rPr>
          <w:color w:val="0B0B0B"/>
          <w:spacing w:val="40"/>
        </w:rPr>
        <w:t> </w:t>
      </w:r>
      <w:r>
        <w:rPr>
          <w:color w:val="0B0B0B"/>
        </w:rPr>
        <w:t>servicios.</w:t>
      </w:r>
      <w:r>
        <w:rPr>
          <w:color w:val="0B0B0B"/>
          <w:spacing w:val="40"/>
        </w:rPr>
        <w:t> </w:t>
      </w:r>
      <w:r>
        <w:rPr>
          <w:color w:val="0B0B0B"/>
        </w:rPr>
        <w:t>No</w:t>
      </w:r>
      <w:r>
        <w:rPr>
          <w:color w:val="0B0B0B"/>
          <w:spacing w:val="40"/>
        </w:rPr>
        <w:t> </w:t>
      </w:r>
      <w:r>
        <w:rPr>
          <w:color w:val="0B0B0B"/>
        </w:rPr>
        <w:t>son deducibles si no se acredita que el servicio haya sido efectivamente prestado.</w:t>
      </w:r>
    </w:p>
    <w:p>
      <w:pPr>
        <w:pStyle w:val="BodyText"/>
        <w:spacing w:line="271" w:lineRule="auto" w:before="103"/>
        <w:ind w:right="257"/>
      </w:pPr>
      <w:r>
        <w:rPr>
          <w:color w:val="0B0B0B"/>
        </w:rPr>
        <w:t>El artículo 27 de la Ley del ISR, establece los requisitos que deberán cumplir las erogaciones para efecto de que los contribuyentes puedan considerarlas como deducibles para la determinación del ISR, dentro</w:t>
      </w:r>
      <w:r>
        <w:rPr>
          <w:color w:val="0B0B0B"/>
        </w:rPr>
        <w:t> de los cuales se encuentra</w:t>
      </w:r>
      <w:r>
        <w:rPr>
          <w:color w:val="0B0B0B"/>
        </w:rPr>
        <w:t> ser estrictamente</w:t>
      </w:r>
      <w:r>
        <w:rPr>
          <w:color w:val="0B0B0B"/>
        </w:rPr>
        <w:t> indispensables para los fines de la actividad del contribuyente, estar amparadas con un comprobante fiscal, estar debidamente registradas en contabilidad, entre otros.</w:t>
      </w:r>
    </w:p>
    <w:p>
      <w:pPr>
        <w:pStyle w:val="BodyText"/>
        <w:spacing w:line="268" w:lineRule="auto" w:before="96"/>
        <w:ind w:right="257"/>
      </w:pPr>
      <w:r>
        <w:rPr>
          <w:color w:val="0B0B0B"/>
        </w:rPr>
        <w:t>Por su parte, de la contradicción de tesis 128/2004, resuelta por la Segunda Sala de la Suprema Corte de Justicia de la Nación, se desprende que cuando el gasto efectuado no se encuentre relacionado con el objeto social de la empresa que lo pretende deducir, el gasto no es estrictamente indispensable, por lo tanto, no sería deducible.</w:t>
      </w:r>
    </w:p>
    <w:p>
      <w:pPr>
        <w:pStyle w:val="BodyText"/>
        <w:spacing w:line="271" w:lineRule="auto" w:before="105"/>
        <w:ind w:right="258"/>
      </w:pPr>
      <w:r>
        <w:rPr>
          <w:color w:val="0B0B0B"/>
        </w:rPr>
        <w:t>Ahora bien, cabe mencionar que el requisito de la estricta indispensabilidad de las deducciones solo puede verificarse en operaciones con efectiva existencia, es decir, cuando pueda corroborarse que efectivamente se llevó a cabo y, por lo tanto, que la erogación que derivó de dicha operación es estrictamente indispensable para los fines de la actividad del contribuyente.</w:t>
      </w:r>
    </w:p>
    <w:p>
      <w:pPr>
        <w:pStyle w:val="BodyText"/>
        <w:spacing w:line="271" w:lineRule="auto" w:before="96"/>
        <w:ind w:right="258"/>
      </w:pPr>
      <w:r>
        <w:rPr>
          <w:color w:val="0B0B0B"/>
        </w:rPr>
        <w:t>En ese sentido, no son deducibles las erogaciones efectuadas por concepto de prestación de servicios, pagadas ya sea a una persona residente en México o en el extranjero, si no se acredita que efectivamente se recibió el servicio, toda vez que las autoridades fiscales han detectado que algunos contribuyentes efectúan erogaciones supuestamente relacionadas con la prestación de servicios y generan una deducción, lo que trae como consecuencia la disminución de la base imponible del ISR; sin embargo, aun cuando se tengan los comprobantes</w:t>
      </w:r>
      <w:r>
        <w:rPr>
          <w:color w:val="0B0B0B"/>
        </w:rPr>
        <w:t> que supuestamente</w:t>
      </w:r>
      <w:r>
        <w:rPr>
          <w:color w:val="0B0B0B"/>
        </w:rPr>
        <w:t> amparan la prestación del servicio, no se cuenta con otros elementos necesarios que sirvan para demostrar que se llevó a cabo su efectiva prestación.</w:t>
      </w:r>
    </w:p>
    <w:p>
      <w:pPr>
        <w:pStyle w:val="BodyText"/>
        <w:spacing w:before="9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0"/>
        </w:numPr>
        <w:tabs>
          <w:tab w:pos="2664" w:val="left" w:leader="none"/>
        </w:tabs>
        <w:spacing w:line="271" w:lineRule="auto" w:before="126" w:after="0"/>
        <w:ind w:left="2664" w:right="255" w:hanging="504"/>
        <w:jc w:val="both"/>
        <w:rPr>
          <w:sz w:val="18"/>
        </w:rPr>
      </w:pPr>
      <w:r>
        <w:rPr>
          <w:color w:val="0B0B0B"/>
          <w:sz w:val="18"/>
        </w:rPr>
        <w:t>Quienes deduzcan para efectos de la determinación del ISR erogaciones por concepto de prestación de servicios, cuando no se cuente con elementos que acrediten que efectivamente recibieron dicho servicio, independientemente de que se cuente con un comprobante fiscal con el que se pretenda amparar la </w:t>
      </w:r>
      <w:r>
        <w:rPr>
          <w:color w:val="0B0B0B"/>
          <w:spacing w:val="-2"/>
          <w:sz w:val="18"/>
        </w:rPr>
        <w:t>operación.</w:t>
      </w:r>
    </w:p>
    <w:p>
      <w:pPr>
        <w:pStyle w:val="ListParagraph"/>
        <w:numPr>
          <w:ilvl w:val="0"/>
          <w:numId w:val="50"/>
        </w:numPr>
        <w:tabs>
          <w:tab w:pos="2664" w:val="left" w:leader="none"/>
        </w:tabs>
        <w:spacing w:line="271" w:lineRule="auto" w:before="97" w:after="0"/>
        <w:ind w:left="2664" w:right="258"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1"/>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0"/>
      </w:tblGrid>
      <w:tr>
        <w:trPr>
          <w:trHeight w:val="334" w:hRule="atLeast"/>
        </w:trPr>
        <w:tc>
          <w:tcPr>
            <w:tcW w:w="2676" w:type="dxa"/>
            <w:shd w:val="clear" w:color="auto" w:fill="BDBDBD"/>
          </w:tcPr>
          <w:p>
            <w:pPr>
              <w:pStyle w:val="TableParagraph"/>
              <w:spacing w:before="37"/>
              <w:ind w:left="13"/>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37"/>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032" w:hRule="atLeast"/>
        </w:trPr>
        <w:tc>
          <w:tcPr>
            <w:tcW w:w="2676" w:type="dxa"/>
          </w:tcPr>
          <w:p>
            <w:pPr>
              <w:pStyle w:val="TableParagraph"/>
              <w:spacing w:before="37"/>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2024</w:t>
            </w:r>
          </w:p>
        </w:tc>
        <w:tc>
          <w:tcPr>
            <w:tcW w:w="4210" w:type="dxa"/>
          </w:tcPr>
          <w:p>
            <w:pPr>
              <w:pStyle w:val="TableParagraph"/>
              <w:spacing w:line="304" w:lineRule="auto" w:before="37"/>
              <w:ind w:right="57"/>
              <w:jc w:val="both"/>
              <w:rPr>
                <w:sz w:val="16"/>
              </w:rPr>
            </w:pPr>
            <w:r>
              <w:rPr>
                <w:color w:val="0B0B0B"/>
                <w:sz w:val="16"/>
              </w:rPr>
              <w:t>Publicada en el DOF 29 de diciembre de 2023, Primera Modificación al Anexo 3, publicado en el DOF el 11 de octubre de 2024, con número de criterio no </w:t>
            </w:r>
            <w:r>
              <w:rPr>
                <w:color w:val="0B0B0B"/>
                <w:sz w:val="16"/>
              </w:rPr>
              <w:t>vinculativo </w:t>
            </w:r>
            <w:r>
              <w:rPr>
                <w:color w:val="0B0B0B"/>
                <w:spacing w:val="-2"/>
                <w:sz w:val="16"/>
              </w:rPr>
              <w:t>44/ISR.</w:t>
            </w:r>
          </w:p>
        </w:tc>
      </w:tr>
    </w:tbl>
    <w:p>
      <w:pPr>
        <w:pStyle w:val="BodyText"/>
        <w:spacing w:before="146"/>
        <w:ind w:left="0"/>
        <w:jc w:val="left"/>
      </w:pPr>
    </w:p>
    <w:p>
      <w:pPr>
        <w:pStyle w:val="Heading1"/>
        <w:numPr>
          <w:ilvl w:val="0"/>
          <w:numId w:val="50"/>
        </w:numPr>
        <w:tabs>
          <w:tab w:pos="1123" w:val="left" w:leader="none"/>
        </w:tabs>
        <w:spacing w:line="240" w:lineRule="auto" w:before="1" w:after="0"/>
        <w:ind w:left="1123" w:right="0" w:hanging="432"/>
        <w:jc w:val="left"/>
      </w:pPr>
      <w:r>
        <w:rPr>
          <w:color w:val="0B0B0B"/>
        </w:rPr>
        <w:t>Criterios de la Ley</w:t>
      </w:r>
      <w:r>
        <w:rPr>
          <w:color w:val="0B0B0B"/>
          <w:spacing w:val="-2"/>
        </w:rPr>
        <w:t> </w:t>
      </w:r>
      <w:r>
        <w:rPr>
          <w:color w:val="0B0B0B"/>
        </w:rPr>
        <w:t>del </w:t>
      </w:r>
      <w:r>
        <w:rPr>
          <w:color w:val="0B0B0B"/>
          <w:spacing w:val="-5"/>
        </w:rPr>
        <w:t>IVA</w:t>
      </w:r>
    </w:p>
    <w:p>
      <w:pPr>
        <w:tabs>
          <w:tab w:pos="2145" w:val="left" w:leader="none"/>
        </w:tabs>
        <w:spacing w:line="268" w:lineRule="auto" w:before="126"/>
        <w:ind w:left="2145" w:right="257" w:hanging="1008"/>
        <w:jc w:val="left"/>
        <w:rPr>
          <w:rFonts w:ascii="Arial" w:hAnsi="Arial"/>
          <w:b/>
          <w:sz w:val="18"/>
        </w:rPr>
      </w:pPr>
      <w:r>
        <w:rPr>
          <w:rFonts w:ascii="Arial" w:hAnsi="Arial"/>
          <w:b/>
          <w:color w:val="0B0B0B"/>
          <w:spacing w:val="-2"/>
          <w:sz w:val="18"/>
        </w:rPr>
        <w:t>1/IVA/PI</w:t>
      </w:r>
      <w:r>
        <w:rPr>
          <w:rFonts w:ascii="Arial" w:hAnsi="Arial"/>
          <w:b/>
          <w:color w:val="0B0B0B"/>
          <w:sz w:val="18"/>
        </w:rPr>
        <w:tab/>
        <w:t>Alimentos preparados</w:t>
      </w:r>
      <w:r>
        <w:rPr>
          <w:rFonts w:ascii="Arial" w:hAnsi="Arial"/>
          <w:b/>
          <w:color w:val="0B0B0B"/>
          <w:sz w:val="18"/>
        </w:rPr>
        <w:t> para su consumo</w:t>
      </w:r>
      <w:r>
        <w:rPr>
          <w:rFonts w:ascii="Arial" w:hAnsi="Arial"/>
          <w:b/>
          <w:color w:val="0B0B0B"/>
          <w:spacing w:val="24"/>
          <w:sz w:val="18"/>
        </w:rPr>
        <w:t> </w:t>
      </w:r>
      <w:r>
        <w:rPr>
          <w:rFonts w:ascii="Arial" w:hAnsi="Arial"/>
          <w:b/>
          <w:color w:val="0B0B0B"/>
          <w:sz w:val="18"/>
        </w:rPr>
        <w:t>en el</w:t>
      </w:r>
      <w:r>
        <w:rPr>
          <w:rFonts w:ascii="Arial" w:hAnsi="Arial"/>
          <w:b/>
          <w:color w:val="0B0B0B"/>
          <w:spacing w:val="24"/>
          <w:sz w:val="18"/>
        </w:rPr>
        <w:t> </w:t>
      </w:r>
      <w:r>
        <w:rPr>
          <w:rFonts w:ascii="Arial" w:hAnsi="Arial"/>
          <w:b/>
          <w:color w:val="0B0B0B"/>
          <w:sz w:val="18"/>
        </w:rPr>
        <w:t>lugar de su enajenación por las</w:t>
      </w:r>
      <w:r>
        <w:rPr>
          <w:rFonts w:ascii="Arial" w:hAnsi="Arial"/>
          <w:b/>
          <w:color w:val="0B0B0B"/>
          <w:spacing w:val="40"/>
          <w:sz w:val="18"/>
        </w:rPr>
        <w:t> </w:t>
      </w:r>
      <w:r>
        <w:rPr>
          <w:rFonts w:ascii="Arial" w:hAnsi="Arial"/>
          <w:b/>
          <w:color w:val="0B0B0B"/>
          <w:sz w:val="18"/>
        </w:rPr>
        <w:t>denominadas tiendas de conveniencia.</w:t>
      </w:r>
    </w:p>
    <w:p>
      <w:pPr>
        <w:pStyle w:val="BodyText"/>
        <w:spacing w:line="268" w:lineRule="auto" w:before="104"/>
        <w:ind w:right="259"/>
      </w:pPr>
      <w:r>
        <w:rPr>
          <w:color w:val="0B0B0B"/>
        </w:rPr>
        <w:t>El artículo 2o.-A, fracción I, inciso b) de la Ley del IVA establece que el impuesto se calculará aplicando la tasa del 0% a la enajenación de productos</w:t>
      </w:r>
      <w:r>
        <w:rPr>
          <w:color w:val="0B0B0B"/>
        </w:rPr>
        <w:t> destinados a la alimentación humana y animal.</w:t>
      </w:r>
    </w:p>
    <w:p>
      <w:pPr>
        <w:pStyle w:val="BodyText"/>
        <w:spacing w:line="271" w:lineRule="auto" w:before="104"/>
        <w:ind w:right="255"/>
      </w:pPr>
      <w:r>
        <w:rPr>
          <w:color w:val="0B0B0B"/>
        </w:rPr>
        <w:t>No obstante, el último párrafo de la fracción I de dicho artículo dispone que se aplicará la</w:t>
      </w:r>
      <w:r>
        <w:rPr>
          <w:color w:val="0B0B0B"/>
          <w:spacing w:val="-3"/>
        </w:rPr>
        <w:t> </w:t>
      </w:r>
      <w:r>
        <w:rPr>
          <w:color w:val="0B0B0B"/>
        </w:rPr>
        <w:t>tasa</w:t>
      </w:r>
      <w:r>
        <w:rPr>
          <w:color w:val="0B0B0B"/>
          <w:spacing w:val="-3"/>
        </w:rPr>
        <w:t> </w:t>
      </w:r>
      <w:r>
        <w:rPr>
          <w:color w:val="0B0B0B"/>
        </w:rPr>
        <w:t>del</w:t>
      </w:r>
      <w:r>
        <w:rPr>
          <w:color w:val="0B0B0B"/>
          <w:spacing w:val="-2"/>
        </w:rPr>
        <w:t> </w:t>
      </w:r>
      <w:r>
        <w:rPr>
          <w:color w:val="0B0B0B"/>
        </w:rPr>
        <w:t>16%</w:t>
      </w:r>
      <w:r>
        <w:rPr>
          <w:color w:val="0B0B0B"/>
          <w:spacing w:val="-3"/>
        </w:rPr>
        <w:t> </w:t>
      </w:r>
      <w:r>
        <w:rPr>
          <w:color w:val="0B0B0B"/>
        </w:rPr>
        <w:t>a</w:t>
      </w:r>
      <w:r>
        <w:rPr>
          <w:color w:val="0B0B0B"/>
          <w:spacing w:val="-2"/>
        </w:rPr>
        <w:t> </w:t>
      </w:r>
      <w:r>
        <w:rPr>
          <w:color w:val="0B0B0B"/>
        </w:rPr>
        <w:t>la</w:t>
      </w:r>
      <w:r>
        <w:rPr>
          <w:color w:val="0B0B0B"/>
          <w:spacing w:val="-2"/>
        </w:rPr>
        <w:t> </w:t>
      </w:r>
      <w:r>
        <w:rPr>
          <w:color w:val="0B0B0B"/>
        </w:rPr>
        <w:t>enajenación</w:t>
      </w:r>
      <w:r>
        <w:rPr>
          <w:color w:val="0B0B0B"/>
          <w:spacing w:val="-2"/>
        </w:rPr>
        <w:t> </w:t>
      </w:r>
      <w:r>
        <w:rPr>
          <w:color w:val="0B0B0B"/>
        </w:rPr>
        <w:t>de</w:t>
      </w:r>
      <w:r>
        <w:rPr>
          <w:color w:val="0B0B0B"/>
          <w:spacing w:val="-2"/>
        </w:rPr>
        <w:t> </w:t>
      </w:r>
      <w:r>
        <w:rPr>
          <w:color w:val="0B0B0B"/>
        </w:rPr>
        <w:t>alimentos</w:t>
      </w:r>
      <w:r>
        <w:rPr>
          <w:color w:val="0B0B0B"/>
          <w:spacing w:val="-3"/>
        </w:rPr>
        <w:t> </w:t>
      </w:r>
      <w:r>
        <w:rPr>
          <w:color w:val="0B0B0B"/>
        </w:rPr>
        <w:t>preparados</w:t>
      </w:r>
      <w:r>
        <w:rPr>
          <w:color w:val="0B0B0B"/>
          <w:spacing w:val="-2"/>
        </w:rPr>
        <w:t> </w:t>
      </w:r>
      <w:r>
        <w:rPr>
          <w:color w:val="0B0B0B"/>
        </w:rPr>
        <w:t>para</w:t>
      </w:r>
      <w:r>
        <w:rPr>
          <w:color w:val="0B0B0B"/>
          <w:spacing w:val="-2"/>
        </w:rPr>
        <w:t> </w:t>
      </w:r>
      <w:r>
        <w:rPr>
          <w:color w:val="0B0B0B"/>
        </w:rPr>
        <w:t>su</w:t>
      </w:r>
      <w:r>
        <w:rPr>
          <w:color w:val="0B0B0B"/>
          <w:spacing w:val="-3"/>
        </w:rPr>
        <w:t> </w:t>
      </w:r>
      <w:r>
        <w:rPr>
          <w:color w:val="0B0B0B"/>
        </w:rPr>
        <w:t>consumo</w:t>
      </w:r>
      <w:r>
        <w:rPr>
          <w:color w:val="0B0B0B"/>
          <w:spacing w:val="-3"/>
        </w:rPr>
        <w:t> </w:t>
      </w:r>
      <w:r>
        <w:rPr>
          <w:color w:val="0B0B0B"/>
        </w:rPr>
        <w:t>en</w:t>
      </w:r>
      <w:r>
        <w:rPr>
          <w:color w:val="0B0B0B"/>
          <w:spacing w:val="-3"/>
        </w:rPr>
        <w:t> </w:t>
      </w:r>
      <w:r>
        <w:rPr>
          <w:color w:val="0B0B0B"/>
        </w:rPr>
        <w:t>el</w:t>
      </w:r>
      <w:r>
        <w:rPr>
          <w:color w:val="0B0B0B"/>
          <w:spacing w:val="-3"/>
        </w:rPr>
        <w:t> </w:t>
      </w:r>
      <w:r>
        <w:rPr>
          <w:color w:val="0B0B0B"/>
        </w:rPr>
        <w:t>lugar o establecimiento en que se enajenen, inclusive cuando no cuenten con instalaciones para ser</w:t>
      </w:r>
      <w:r>
        <w:rPr>
          <w:color w:val="0B0B0B"/>
        </w:rPr>
        <w:t> consumidos en los mismos, cuando sean para llevar o para entrega a </w:t>
      </w:r>
      <w:r>
        <w:rPr>
          <w:color w:val="0B0B0B"/>
          <w:spacing w:val="-2"/>
        </w:rPr>
        <w:t>domicilio.</w:t>
      </w:r>
    </w:p>
    <w:p>
      <w:pPr>
        <w:pStyle w:val="BodyText"/>
        <w:spacing w:after="0" w:line="271" w:lineRule="auto"/>
        <w:sectPr>
          <w:headerReference w:type="default" r:id="rId51"/>
          <w:pgSz w:w="12240" w:h="15840"/>
          <w:pgMar w:header="690" w:footer="0" w:top="1040" w:bottom="280" w:left="1440" w:right="1440"/>
        </w:sectPr>
      </w:pPr>
    </w:p>
    <w:p>
      <w:pPr>
        <w:pStyle w:val="BodyText"/>
        <w:spacing w:line="268" w:lineRule="auto" w:before="124"/>
        <w:ind w:right="258"/>
      </w:pPr>
      <w:r>
        <w:rPr>
          <w:color w:val="0B0B0B"/>
        </w:rPr>
        <w:t>Se consideran alimentos preparados para su consumo en el lugar de su enajenación, los que resulten de la combinación de aquellos productos que, por sí solos y por su destino ordinario, pueden ser consumidos sin necesidad de someterse a otro proceso de</w:t>
      </w:r>
      <w:r>
        <w:rPr>
          <w:color w:val="0B0B0B"/>
          <w:spacing w:val="-1"/>
        </w:rPr>
        <w:t> </w:t>
      </w:r>
      <w:r>
        <w:rPr>
          <w:color w:val="0B0B0B"/>
        </w:rPr>
        <w:t>elaboración</w:t>
      </w:r>
      <w:r>
        <w:rPr>
          <w:color w:val="0B0B0B"/>
          <w:spacing w:val="-1"/>
        </w:rPr>
        <w:t> </w:t>
      </w:r>
      <w:r>
        <w:rPr>
          <w:color w:val="0B0B0B"/>
        </w:rPr>
        <w:t>adicional,</w:t>
      </w:r>
      <w:r>
        <w:rPr>
          <w:color w:val="0B0B0B"/>
          <w:spacing w:val="-2"/>
        </w:rPr>
        <w:t> </w:t>
      </w:r>
      <w:r>
        <w:rPr>
          <w:color w:val="0B0B0B"/>
        </w:rPr>
        <w:t>cuando</w:t>
      </w:r>
      <w:r>
        <w:rPr>
          <w:color w:val="0B0B0B"/>
          <w:spacing w:val="-1"/>
        </w:rPr>
        <w:t> </w:t>
      </w:r>
      <w:r>
        <w:rPr>
          <w:color w:val="0B0B0B"/>
        </w:rPr>
        <w:t>queden</w:t>
      </w:r>
      <w:r>
        <w:rPr>
          <w:color w:val="0B0B0B"/>
          <w:spacing w:val="-1"/>
        </w:rPr>
        <w:t> </w:t>
      </w:r>
      <w:r>
        <w:rPr>
          <w:color w:val="0B0B0B"/>
        </w:rPr>
        <w:t>a</w:t>
      </w:r>
      <w:r>
        <w:rPr>
          <w:color w:val="0B0B0B"/>
          <w:spacing w:val="-1"/>
        </w:rPr>
        <w:t> </w:t>
      </w:r>
      <w:r>
        <w:rPr>
          <w:color w:val="0B0B0B"/>
        </w:rPr>
        <w:t>disposición</w:t>
      </w:r>
      <w:r>
        <w:rPr>
          <w:color w:val="0B0B0B"/>
          <w:spacing w:val="-1"/>
        </w:rPr>
        <w:t> </w:t>
      </w:r>
      <w:r>
        <w:rPr>
          <w:color w:val="0B0B0B"/>
        </w:rPr>
        <w:t>del</w:t>
      </w:r>
      <w:r>
        <w:rPr>
          <w:color w:val="0B0B0B"/>
          <w:spacing w:val="-1"/>
        </w:rPr>
        <w:t> </w:t>
      </w:r>
      <w:r>
        <w:rPr>
          <w:color w:val="0B0B0B"/>
        </w:rPr>
        <w:t>adquirente</w:t>
      </w:r>
      <w:r>
        <w:rPr>
          <w:color w:val="0B0B0B"/>
          <w:spacing w:val="-1"/>
        </w:rPr>
        <w:t> </w:t>
      </w:r>
      <w:r>
        <w:rPr>
          <w:color w:val="0B0B0B"/>
        </w:rPr>
        <w:t>los instrumentos o utensilios necesarios para su cocción o calentamiento.</w:t>
      </w:r>
    </w:p>
    <w:p>
      <w:pPr>
        <w:pStyle w:val="BodyText"/>
        <w:spacing w:before="97"/>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1"/>
          <w:numId w:val="50"/>
        </w:numPr>
        <w:tabs>
          <w:tab w:pos="2664" w:val="left" w:leader="none"/>
        </w:tabs>
        <w:spacing w:line="268" w:lineRule="auto" w:before="124" w:after="0"/>
        <w:ind w:left="2664" w:right="258" w:hanging="504"/>
        <w:jc w:val="both"/>
        <w:rPr>
          <w:sz w:val="18"/>
        </w:rPr>
      </w:pPr>
      <w:r>
        <w:rPr>
          <w:color w:val="0B0B0B"/>
          <w:sz w:val="18"/>
        </w:rPr>
        <w:t>Las tiendas denominadas “de conveniencia” que calculen el gravamen a la tasa del</w:t>
      </w:r>
      <w:r>
        <w:rPr>
          <w:color w:val="0B0B0B"/>
          <w:spacing w:val="-1"/>
          <w:sz w:val="18"/>
        </w:rPr>
        <w:t> </w:t>
      </w:r>
      <w:r>
        <w:rPr>
          <w:color w:val="0B0B0B"/>
          <w:sz w:val="18"/>
        </w:rPr>
        <w:t>0%,</w:t>
      </w:r>
      <w:r>
        <w:rPr>
          <w:color w:val="0B0B0B"/>
          <w:spacing w:val="-1"/>
          <w:sz w:val="18"/>
        </w:rPr>
        <w:t> </w:t>
      </w:r>
      <w:r>
        <w:rPr>
          <w:color w:val="0B0B0B"/>
          <w:sz w:val="18"/>
        </w:rPr>
        <w:t>por</w:t>
      </w:r>
      <w:r>
        <w:rPr>
          <w:color w:val="0B0B0B"/>
          <w:spacing w:val="-1"/>
          <w:sz w:val="18"/>
        </w:rPr>
        <w:t> </w:t>
      </w:r>
      <w:r>
        <w:rPr>
          <w:color w:val="0B0B0B"/>
          <w:sz w:val="18"/>
        </w:rPr>
        <w:t>las enajenaciones que</w:t>
      </w:r>
      <w:r>
        <w:rPr>
          <w:color w:val="0B0B0B"/>
          <w:spacing w:val="-1"/>
          <w:sz w:val="18"/>
        </w:rPr>
        <w:t> </w:t>
      </w:r>
      <w:r>
        <w:rPr>
          <w:color w:val="0B0B0B"/>
          <w:sz w:val="18"/>
        </w:rPr>
        <w:t>realizan</w:t>
      </w:r>
      <w:r>
        <w:rPr>
          <w:color w:val="0B0B0B"/>
          <w:spacing w:val="-1"/>
          <w:sz w:val="18"/>
        </w:rPr>
        <w:t> </w:t>
      </w:r>
      <w:r>
        <w:rPr>
          <w:color w:val="0B0B0B"/>
          <w:sz w:val="18"/>
        </w:rPr>
        <w:t>de</w:t>
      </w:r>
      <w:r>
        <w:rPr>
          <w:color w:val="0B0B0B"/>
          <w:spacing w:val="-1"/>
          <w:sz w:val="18"/>
        </w:rPr>
        <w:t> </w:t>
      </w:r>
      <w:r>
        <w:rPr>
          <w:color w:val="0B0B0B"/>
          <w:sz w:val="18"/>
        </w:rPr>
        <w:t>los</w:t>
      </w:r>
      <w:r>
        <w:rPr>
          <w:color w:val="0B0B0B"/>
          <w:spacing w:val="-1"/>
          <w:sz w:val="18"/>
        </w:rPr>
        <w:t> </w:t>
      </w:r>
      <w:r>
        <w:rPr>
          <w:color w:val="0B0B0B"/>
          <w:sz w:val="18"/>
        </w:rPr>
        <w:t>alimentos preparados para</w:t>
      </w:r>
      <w:r>
        <w:rPr>
          <w:color w:val="0B0B0B"/>
          <w:spacing w:val="-1"/>
          <w:sz w:val="18"/>
        </w:rPr>
        <w:t> </w:t>
      </w:r>
      <w:r>
        <w:rPr>
          <w:color w:val="0B0B0B"/>
          <w:sz w:val="18"/>
        </w:rPr>
        <w:t>su consumo, a que se refiere el tercer párrafo de este criterio.</w:t>
      </w:r>
    </w:p>
    <w:p>
      <w:pPr>
        <w:pStyle w:val="ListParagraph"/>
        <w:numPr>
          <w:ilvl w:val="1"/>
          <w:numId w:val="50"/>
        </w:numPr>
        <w:tabs>
          <w:tab w:pos="2664" w:val="left" w:leader="none"/>
        </w:tabs>
        <w:spacing w:line="268" w:lineRule="auto" w:before="99"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3"/>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31" w:hRule="atLeast"/>
        </w:trPr>
        <w:tc>
          <w:tcPr>
            <w:tcW w:w="2778" w:type="dxa"/>
            <w:shd w:val="clear" w:color="auto" w:fill="BDBDBD"/>
          </w:tcPr>
          <w:p>
            <w:pPr>
              <w:pStyle w:val="TableParagraph"/>
              <w:spacing w:before="35"/>
              <w:ind w:left="12" w:right="1"/>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35"/>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6" w:hRule="atLeast"/>
        </w:trPr>
        <w:tc>
          <w:tcPr>
            <w:tcW w:w="2778" w:type="dxa"/>
            <w:tcBorders>
              <w:bottom w:val="nil"/>
            </w:tcBorders>
          </w:tcPr>
          <w:p>
            <w:pPr>
              <w:pStyle w:val="TableParagraph"/>
              <w:tabs>
                <w:tab w:pos="1179" w:val="left" w:leader="none"/>
                <w:tab w:pos="2526" w:val="left" w:leader="none"/>
              </w:tabs>
              <w:spacing w:before="3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5"/>
                <w:sz w:val="16"/>
              </w:rPr>
              <w:t>de</w:t>
            </w:r>
          </w:p>
        </w:tc>
        <w:tc>
          <w:tcPr>
            <w:tcW w:w="4126" w:type="dxa"/>
            <w:tcBorders>
              <w:bottom w:val="nil"/>
            </w:tcBorders>
          </w:tcPr>
          <w:p>
            <w:pPr>
              <w:pStyle w:val="TableParagraph"/>
              <w:spacing w:before="35"/>
              <w:rPr>
                <w:sz w:val="16"/>
              </w:rPr>
            </w:pPr>
            <w:r>
              <w:rPr>
                <w:color w:val="0B0B0B"/>
                <w:sz w:val="16"/>
              </w:rPr>
              <w:t>Publicada</w:t>
            </w:r>
            <w:r>
              <w:rPr>
                <w:color w:val="0B0B0B"/>
                <w:spacing w:val="50"/>
                <w:sz w:val="16"/>
              </w:rPr>
              <w:t> </w:t>
            </w:r>
            <w:r>
              <w:rPr>
                <w:color w:val="0B0B0B"/>
                <w:sz w:val="16"/>
              </w:rPr>
              <w:t>en</w:t>
            </w:r>
            <w:r>
              <w:rPr>
                <w:color w:val="0B0B0B"/>
                <w:spacing w:val="50"/>
                <w:sz w:val="16"/>
              </w:rPr>
              <w:t> </w:t>
            </w:r>
            <w:r>
              <w:rPr>
                <w:color w:val="0B0B0B"/>
                <w:sz w:val="16"/>
              </w:rPr>
              <w:t>el</w:t>
            </w:r>
            <w:r>
              <w:rPr>
                <w:color w:val="0B0B0B"/>
                <w:spacing w:val="50"/>
                <w:sz w:val="16"/>
              </w:rPr>
              <w:t> </w:t>
            </w:r>
            <w:r>
              <w:rPr>
                <w:color w:val="0B0B0B"/>
                <w:sz w:val="16"/>
              </w:rPr>
              <w:t>DOF</w:t>
            </w:r>
            <w:r>
              <w:rPr>
                <w:color w:val="0B0B0B"/>
                <w:spacing w:val="51"/>
                <w:sz w:val="16"/>
              </w:rPr>
              <w:t> </w:t>
            </w:r>
            <w:r>
              <w:rPr>
                <w:color w:val="0B0B0B"/>
                <w:sz w:val="16"/>
              </w:rPr>
              <w:t>el</w:t>
            </w:r>
            <w:r>
              <w:rPr>
                <w:color w:val="0B0B0B"/>
                <w:spacing w:val="50"/>
                <w:sz w:val="16"/>
              </w:rPr>
              <w:t> </w:t>
            </w:r>
            <w:r>
              <w:rPr>
                <w:color w:val="0B0B0B"/>
                <w:sz w:val="16"/>
              </w:rPr>
              <w:t>26</w:t>
            </w:r>
            <w:r>
              <w:rPr>
                <w:color w:val="0B0B0B"/>
                <w:spacing w:val="50"/>
                <w:sz w:val="16"/>
              </w:rPr>
              <w:t> </w:t>
            </w:r>
            <w:r>
              <w:rPr>
                <w:color w:val="0B0B0B"/>
                <w:sz w:val="16"/>
              </w:rPr>
              <w:t>de</w:t>
            </w:r>
            <w:r>
              <w:rPr>
                <w:color w:val="0B0B0B"/>
                <w:spacing w:val="51"/>
                <w:sz w:val="16"/>
              </w:rPr>
              <w:t> </w:t>
            </w:r>
            <w:r>
              <w:rPr>
                <w:color w:val="0B0B0B"/>
                <w:sz w:val="16"/>
              </w:rPr>
              <w:t>diciembre</w:t>
            </w:r>
            <w:r>
              <w:rPr>
                <w:color w:val="0B0B0B"/>
                <w:spacing w:val="50"/>
                <w:sz w:val="16"/>
              </w:rPr>
              <w:t> </w:t>
            </w:r>
            <w:r>
              <w:rPr>
                <w:color w:val="0B0B0B"/>
                <w:sz w:val="16"/>
              </w:rPr>
              <w:t>de</w:t>
            </w:r>
            <w:r>
              <w:rPr>
                <w:color w:val="0B0B0B"/>
                <w:spacing w:val="50"/>
                <w:sz w:val="16"/>
              </w:rPr>
              <w:t> </w:t>
            </w:r>
            <w:r>
              <w:rPr>
                <w:color w:val="0B0B0B"/>
                <w:spacing w:val="-2"/>
                <w:sz w:val="16"/>
              </w:rPr>
              <w:t>2008,</w:t>
            </w:r>
          </w:p>
        </w:tc>
      </w:tr>
      <w:tr>
        <w:trPr>
          <w:trHeight w:val="230" w:hRule="atLeast"/>
        </w:trPr>
        <w:tc>
          <w:tcPr>
            <w:tcW w:w="2778" w:type="dxa"/>
            <w:tcBorders>
              <w:top w:val="nil"/>
              <w:bottom w:val="nil"/>
            </w:tcBorders>
          </w:tcPr>
          <w:p>
            <w:pPr>
              <w:pStyle w:val="TableParagraph"/>
              <w:spacing w:before="19"/>
              <w:rPr>
                <w:sz w:val="16"/>
              </w:rPr>
            </w:pPr>
            <w:r>
              <w:rPr>
                <w:color w:val="0B0B0B"/>
                <w:sz w:val="16"/>
              </w:rPr>
              <w:t>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2008</w:t>
            </w:r>
          </w:p>
        </w:tc>
        <w:tc>
          <w:tcPr>
            <w:tcW w:w="4126" w:type="dxa"/>
            <w:tcBorders>
              <w:top w:val="nil"/>
              <w:bottom w:val="nil"/>
            </w:tcBorders>
          </w:tcPr>
          <w:p>
            <w:pPr>
              <w:pStyle w:val="TableParagraph"/>
              <w:spacing w:before="19"/>
              <w:rPr>
                <w:sz w:val="16"/>
              </w:rPr>
            </w:pPr>
            <w:r>
              <w:rPr>
                <w:color w:val="0B0B0B"/>
                <w:sz w:val="16"/>
              </w:rPr>
              <w:t>Anexo</w:t>
            </w:r>
            <w:r>
              <w:rPr>
                <w:color w:val="0B0B0B"/>
                <w:spacing w:val="72"/>
                <w:w w:val="150"/>
                <w:sz w:val="16"/>
              </w:rPr>
              <w:t> </w:t>
            </w:r>
            <w:r>
              <w:rPr>
                <w:color w:val="0B0B0B"/>
                <w:sz w:val="16"/>
              </w:rPr>
              <w:t>26,</w:t>
            </w:r>
            <w:r>
              <w:rPr>
                <w:color w:val="0B0B0B"/>
                <w:spacing w:val="75"/>
                <w:w w:val="150"/>
                <w:sz w:val="16"/>
              </w:rPr>
              <w:t> </w:t>
            </w:r>
            <w:r>
              <w:rPr>
                <w:color w:val="0B0B0B"/>
                <w:sz w:val="16"/>
              </w:rPr>
              <w:t>publicado</w:t>
            </w:r>
            <w:r>
              <w:rPr>
                <w:color w:val="0B0B0B"/>
                <w:spacing w:val="72"/>
                <w:w w:val="150"/>
                <w:sz w:val="16"/>
              </w:rPr>
              <w:t> </w:t>
            </w:r>
            <w:r>
              <w:rPr>
                <w:color w:val="0B0B0B"/>
                <w:sz w:val="16"/>
              </w:rPr>
              <w:t>en</w:t>
            </w:r>
            <w:r>
              <w:rPr>
                <w:color w:val="0B0B0B"/>
                <w:spacing w:val="73"/>
                <w:w w:val="150"/>
                <w:sz w:val="16"/>
              </w:rPr>
              <w:t> </w:t>
            </w:r>
            <w:r>
              <w:rPr>
                <w:color w:val="0B0B0B"/>
                <w:sz w:val="16"/>
              </w:rPr>
              <w:t>la</w:t>
            </w:r>
            <w:r>
              <w:rPr>
                <w:color w:val="0B0B0B"/>
                <w:spacing w:val="72"/>
                <w:w w:val="150"/>
                <w:sz w:val="16"/>
              </w:rPr>
              <w:t> </w:t>
            </w:r>
            <w:r>
              <w:rPr>
                <w:color w:val="0B0B0B"/>
                <w:sz w:val="16"/>
              </w:rPr>
              <w:t>misma</w:t>
            </w:r>
            <w:r>
              <w:rPr>
                <w:color w:val="0B0B0B"/>
                <w:spacing w:val="73"/>
                <w:w w:val="150"/>
                <w:sz w:val="16"/>
              </w:rPr>
              <w:t> </w:t>
            </w:r>
            <w:r>
              <w:rPr>
                <w:color w:val="0B0B0B"/>
                <w:sz w:val="16"/>
              </w:rPr>
              <w:t>fecha</w:t>
            </w:r>
            <w:r>
              <w:rPr>
                <w:color w:val="0B0B0B"/>
                <w:spacing w:val="72"/>
                <w:w w:val="150"/>
                <w:sz w:val="16"/>
              </w:rPr>
              <w:t> </w:t>
            </w:r>
            <w:r>
              <w:rPr>
                <w:color w:val="0B0B0B"/>
                <w:sz w:val="16"/>
              </w:rPr>
              <w:t>de</w:t>
            </w:r>
            <w:r>
              <w:rPr>
                <w:color w:val="0B0B0B"/>
                <w:spacing w:val="73"/>
                <w:w w:val="150"/>
                <w:sz w:val="16"/>
              </w:rPr>
              <w:t> </w:t>
            </w:r>
            <w:r>
              <w:rPr>
                <w:color w:val="0B0B0B"/>
                <w:spacing w:val="-5"/>
                <w:sz w:val="16"/>
              </w:rPr>
              <w:t>la</w:t>
            </w:r>
          </w:p>
        </w:tc>
      </w:tr>
      <w:tr>
        <w:trPr>
          <w:trHeight w:val="230" w:hRule="atLeast"/>
        </w:trPr>
        <w:tc>
          <w:tcPr>
            <w:tcW w:w="2778" w:type="dxa"/>
            <w:tcBorders>
              <w:top w:val="nil"/>
              <w:bottom w:val="nil"/>
            </w:tcBorders>
          </w:tcPr>
          <w:p>
            <w:pPr>
              <w:pStyle w:val="TableParagraph"/>
              <w:spacing w:before="0"/>
              <w:ind w:left="0"/>
              <w:rPr>
                <w:rFonts w:ascii="Times New Roman"/>
                <w:sz w:val="16"/>
              </w:rPr>
            </w:pPr>
          </w:p>
        </w:tc>
        <w:tc>
          <w:tcPr>
            <w:tcW w:w="4126" w:type="dxa"/>
            <w:tcBorders>
              <w:top w:val="nil"/>
              <w:bottom w:val="nil"/>
            </w:tcBorders>
          </w:tcPr>
          <w:p>
            <w:pPr>
              <w:pStyle w:val="TableParagraph"/>
              <w:spacing w:before="20"/>
              <w:rPr>
                <w:sz w:val="16"/>
              </w:rPr>
            </w:pPr>
            <w:r>
              <w:rPr>
                <w:color w:val="0B0B0B"/>
                <w:sz w:val="16"/>
              </w:rPr>
              <w:t>Modificación,</w:t>
            </w:r>
            <w:r>
              <w:rPr>
                <w:color w:val="0B0B0B"/>
                <w:spacing w:val="60"/>
                <w:sz w:val="16"/>
              </w:rPr>
              <w:t> </w:t>
            </w:r>
            <w:r>
              <w:rPr>
                <w:color w:val="0B0B0B"/>
                <w:sz w:val="16"/>
              </w:rPr>
              <w:t>con</w:t>
            </w:r>
            <w:r>
              <w:rPr>
                <w:color w:val="0B0B0B"/>
                <w:spacing w:val="60"/>
                <w:sz w:val="16"/>
              </w:rPr>
              <w:t> </w:t>
            </w:r>
            <w:r>
              <w:rPr>
                <w:color w:val="0B0B0B"/>
                <w:sz w:val="16"/>
              </w:rPr>
              <w:t>número</w:t>
            </w:r>
            <w:r>
              <w:rPr>
                <w:color w:val="0B0B0B"/>
                <w:spacing w:val="62"/>
                <w:sz w:val="16"/>
              </w:rPr>
              <w:t> </w:t>
            </w:r>
            <w:r>
              <w:rPr>
                <w:color w:val="0B0B0B"/>
                <w:sz w:val="16"/>
              </w:rPr>
              <w:t>de</w:t>
            </w:r>
            <w:r>
              <w:rPr>
                <w:color w:val="0B0B0B"/>
                <w:spacing w:val="60"/>
                <w:sz w:val="16"/>
              </w:rPr>
              <w:t> </w:t>
            </w:r>
            <w:r>
              <w:rPr>
                <w:color w:val="0B0B0B"/>
                <w:sz w:val="16"/>
              </w:rPr>
              <w:t>criterio</w:t>
            </w:r>
            <w:r>
              <w:rPr>
                <w:color w:val="0B0B0B"/>
                <w:spacing w:val="60"/>
                <w:sz w:val="16"/>
              </w:rPr>
              <w:t> </w:t>
            </w:r>
            <w:r>
              <w:rPr>
                <w:color w:val="0B0B0B"/>
                <w:sz w:val="16"/>
              </w:rPr>
              <w:t>no</w:t>
            </w:r>
            <w:r>
              <w:rPr>
                <w:color w:val="0B0B0B"/>
                <w:spacing w:val="61"/>
                <w:sz w:val="16"/>
              </w:rPr>
              <w:t> </w:t>
            </w:r>
            <w:r>
              <w:rPr>
                <w:color w:val="0B0B0B"/>
                <w:spacing w:val="-2"/>
                <w:sz w:val="16"/>
              </w:rPr>
              <w:t>vinculativo</w:t>
            </w:r>
          </w:p>
        </w:tc>
      </w:tr>
      <w:tr>
        <w:trPr>
          <w:trHeight w:val="316" w:hRule="atLeast"/>
        </w:trPr>
        <w:tc>
          <w:tcPr>
            <w:tcW w:w="2778" w:type="dxa"/>
            <w:tcBorders>
              <w:top w:val="nil"/>
            </w:tcBorders>
          </w:tcPr>
          <w:p>
            <w:pPr>
              <w:pStyle w:val="TableParagraph"/>
              <w:spacing w:before="0"/>
              <w:ind w:left="0"/>
              <w:rPr>
                <w:rFonts w:ascii="Times New Roman"/>
                <w:sz w:val="16"/>
              </w:rPr>
            </w:pPr>
          </w:p>
        </w:tc>
        <w:tc>
          <w:tcPr>
            <w:tcW w:w="4126" w:type="dxa"/>
            <w:tcBorders>
              <w:top w:val="nil"/>
            </w:tcBorders>
          </w:tcPr>
          <w:p>
            <w:pPr>
              <w:pStyle w:val="TableParagraph"/>
              <w:spacing w:before="19"/>
              <w:rPr>
                <w:sz w:val="16"/>
              </w:rPr>
            </w:pPr>
            <w:r>
              <w:rPr>
                <w:color w:val="0B0B0B"/>
                <w:spacing w:val="-2"/>
                <w:sz w:val="16"/>
              </w:rPr>
              <w:t>2/IVA.</w:t>
            </w:r>
          </w:p>
        </w:tc>
      </w:tr>
    </w:tbl>
    <w:p>
      <w:pPr>
        <w:pStyle w:val="BodyText"/>
        <w:spacing w:before="145"/>
        <w:ind w:left="0"/>
        <w:jc w:val="left"/>
      </w:pPr>
    </w:p>
    <w:p>
      <w:pPr>
        <w:pStyle w:val="Heading1"/>
        <w:tabs>
          <w:tab w:pos="2145" w:val="left" w:leader="none"/>
        </w:tabs>
        <w:ind w:left="1137" w:firstLine="0"/>
      </w:pPr>
      <w:r>
        <w:rPr>
          <w:color w:val="0B0B0B"/>
          <w:spacing w:val="-2"/>
        </w:rPr>
        <w:t>2/IVA/PI</w:t>
      </w:r>
      <w:r>
        <w:rPr>
          <w:color w:val="0B0B0B"/>
        </w:rPr>
        <w:tab/>
        <w:t>Alimentos</w:t>
      </w:r>
      <w:r>
        <w:rPr>
          <w:color w:val="0B0B0B"/>
          <w:spacing w:val="-4"/>
        </w:rPr>
        <w:t> </w:t>
      </w:r>
      <w:r>
        <w:rPr>
          <w:color w:val="0B0B0B"/>
          <w:spacing w:val="-2"/>
        </w:rPr>
        <w:t>preparados.</w:t>
      </w:r>
    </w:p>
    <w:p>
      <w:pPr>
        <w:pStyle w:val="BodyText"/>
        <w:spacing w:line="268" w:lineRule="auto" w:before="125"/>
        <w:ind w:right="255"/>
      </w:pPr>
      <w:r>
        <w:rPr>
          <w:color w:val="0B0B0B"/>
        </w:rPr>
        <w:t>El artículo 2o.-A, fracción I, último párrafo de la Ley del IVA establece que se aplicará la</w:t>
      </w:r>
      <w:r>
        <w:rPr>
          <w:color w:val="0B0B0B"/>
          <w:spacing w:val="-3"/>
        </w:rPr>
        <w:t> </w:t>
      </w:r>
      <w:r>
        <w:rPr>
          <w:color w:val="0B0B0B"/>
        </w:rPr>
        <w:t>tasa</w:t>
      </w:r>
      <w:r>
        <w:rPr>
          <w:color w:val="0B0B0B"/>
          <w:spacing w:val="-3"/>
        </w:rPr>
        <w:t> </w:t>
      </w:r>
      <w:r>
        <w:rPr>
          <w:color w:val="0B0B0B"/>
        </w:rPr>
        <w:t>del</w:t>
      </w:r>
      <w:r>
        <w:rPr>
          <w:color w:val="0B0B0B"/>
          <w:spacing w:val="-2"/>
        </w:rPr>
        <w:t> </w:t>
      </w:r>
      <w:r>
        <w:rPr>
          <w:color w:val="0B0B0B"/>
        </w:rPr>
        <w:t>16%</w:t>
      </w:r>
      <w:r>
        <w:rPr>
          <w:color w:val="0B0B0B"/>
          <w:spacing w:val="-3"/>
        </w:rPr>
        <w:t> </w:t>
      </w:r>
      <w:r>
        <w:rPr>
          <w:color w:val="0B0B0B"/>
        </w:rPr>
        <w:t>a</w:t>
      </w:r>
      <w:r>
        <w:rPr>
          <w:color w:val="0B0B0B"/>
          <w:spacing w:val="-2"/>
        </w:rPr>
        <w:t> </w:t>
      </w:r>
      <w:r>
        <w:rPr>
          <w:color w:val="0B0B0B"/>
        </w:rPr>
        <w:t>la</w:t>
      </w:r>
      <w:r>
        <w:rPr>
          <w:color w:val="0B0B0B"/>
          <w:spacing w:val="-2"/>
        </w:rPr>
        <w:t> </w:t>
      </w:r>
      <w:r>
        <w:rPr>
          <w:color w:val="0B0B0B"/>
        </w:rPr>
        <w:t>enajenación</w:t>
      </w:r>
      <w:r>
        <w:rPr>
          <w:color w:val="0B0B0B"/>
          <w:spacing w:val="-2"/>
        </w:rPr>
        <w:t> </w:t>
      </w:r>
      <w:r>
        <w:rPr>
          <w:color w:val="0B0B0B"/>
        </w:rPr>
        <w:t>de</w:t>
      </w:r>
      <w:r>
        <w:rPr>
          <w:color w:val="0B0B0B"/>
          <w:spacing w:val="-2"/>
        </w:rPr>
        <w:t> </w:t>
      </w:r>
      <w:r>
        <w:rPr>
          <w:color w:val="0B0B0B"/>
        </w:rPr>
        <w:t>alimentos</w:t>
      </w:r>
      <w:r>
        <w:rPr>
          <w:color w:val="0B0B0B"/>
          <w:spacing w:val="-3"/>
        </w:rPr>
        <w:t> </w:t>
      </w:r>
      <w:r>
        <w:rPr>
          <w:color w:val="0B0B0B"/>
        </w:rPr>
        <w:t>preparados</w:t>
      </w:r>
      <w:r>
        <w:rPr>
          <w:color w:val="0B0B0B"/>
          <w:spacing w:val="-2"/>
        </w:rPr>
        <w:t> </w:t>
      </w:r>
      <w:r>
        <w:rPr>
          <w:color w:val="0B0B0B"/>
        </w:rPr>
        <w:t>para</w:t>
      </w:r>
      <w:r>
        <w:rPr>
          <w:color w:val="0B0B0B"/>
          <w:spacing w:val="-2"/>
        </w:rPr>
        <w:t> </w:t>
      </w:r>
      <w:r>
        <w:rPr>
          <w:color w:val="0B0B0B"/>
        </w:rPr>
        <w:t>su</w:t>
      </w:r>
      <w:r>
        <w:rPr>
          <w:color w:val="0B0B0B"/>
          <w:spacing w:val="-3"/>
        </w:rPr>
        <w:t> </w:t>
      </w:r>
      <w:r>
        <w:rPr>
          <w:color w:val="0B0B0B"/>
        </w:rPr>
        <w:t>consumo</w:t>
      </w:r>
      <w:r>
        <w:rPr>
          <w:color w:val="0B0B0B"/>
          <w:spacing w:val="-3"/>
        </w:rPr>
        <w:t> </w:t>
      </w:r>
      <w:r>
        <w:rPr>
          <w:color w:val="0B0B0B"/>
        </w:rPr>
        <w:t>en</w:t>
      </w:r>
      <w:r>
        <w:rPr>
          <w:color w:val="0B0B0B"/>
          <w:spacing w:val="-3"/>
        </w:rPr>
        <w:t> </w:t>
      </w:r>
      <w:r>
        <w:rPr>
          <w:color w:val="0B0B0B"/>
        </w:rPr>
        <w:t>el</w:t>
      </w:r>
      <w:r>
        <w:rPr>
          <w:color w:val="0B0B0B"/>
          <w:spacing w:val="-3"/>
        </w:rPr>
        <w:t> </w:t>
      </w:r>
      <w:r>
        <w:rPr>
          <w:color w:val="0B0B0B"/>
        </w:rPr>
        <w:t>lugar o establecimiento en que se enajenen, inclusive cuando no cuenten con instalaciones para ser</w:t>
      </w:r>
      <w:r>
        <w:rPr>
          <w:color w:val="0B0B0B"/>
        </w:rPr>
        <w:t> consumidos en los mismos, cuando sean para llevar o para entrega a </w:t>
      </w:r>
      <w:r>
        <w:rPr>
          <w:color w:val="0B0B0B"/>
          <w:spacing w:val="-2"/>
        </w:rPr>
        <w:t>domicilio.</w:t>
      </w:r>
    </w:p>
    <w:p>
      <w:pPr>
        <w:pStyle w:val="BodyText"/>
        <w:spacing w:line="268" w:lineRule="auto" w:before="97"/>
        <w:ind w:right="256"/>
      </w:pPr>
      <w:r>
        <w:rPr>
          <w:color w:val="0B0B0B"/>
        </w:rPr>
        <w:t>En</w:t>
      </w:r>
      <w:r>
        <w:rPr>
          <w:color w:val="0B0B0B"/>
          <w:spacing w:val="33"/>
        </w:rPr>
        <w:t> </w:t>
      </w:r>
      <w:r>
        <w:rPr>
          <w:color w:val="0B0B0B"/>
        </w:rPr>
        <w:t>ese</w:t>
      </w:r>
      <w:r>
        <w:rPr>
          <w:color w:val="0B0B0B"/>
          <w:spacing w:val="33"/>
        </w:rPr>
        <w:t> </w:t>
      </w:r>
      <w:r>
        <w:rPr>
          <w:color w:val="0B0B0B"/>
        </w:rPr>
        <w:t>sentido,</w:t>
      </w:r>
      <w:r>
        <w:rPr>
          <w:color w:val="0B0B0B"/>
          <w:spacing w:val="33"/>
        </w:rPr>
        <w:t> </w:t>
      </w:r>
      <w:r>
        <w:rPr>
          <w:color w:val="0B0B0B"/>
        </w:rPr>
        <w:t>se</w:t>
      </w:r>
      <w:r>
        <w:rPr>
          <w:color w:val="0B0B0B"/>
          <w:spacing w:val="33"/>
        </w:rPr>
        <w:t> </w:t>
      </w:r>
      <w:r>
        <w:rPr>
          <w:color w:val="0B0B0B"/>
        </w:rPr>
        <w:t>consideran</w:t>
      </w:r>
      <w:r>
        <w:rPr>
          <w:color w:val="0B0B0B"/>
          <w:spacing w:val="34"/>
        </w:rPr>
        <w:t> </w:t>
      </w:r>
      <w:r>
        <w:rPr>
          <w:color w:val="0B0B0B"/>
        </w:rPr>
        <w:t>alimentos</w:t>
      </w:r>
      <w:r>
        <w:rPr>
          <w:color w:val="0B0B0B"/>
          <w:spacing w:val="35"/>
        </w:rPr>
        <w:t> </w:t>
      </w:r>
      <w:r>
        <w:rPr>
          <w:color w:val="0B0B0B"/>
        </w:rPr>
        <w:t>preparados</w:t>
      </w:r>
      <w:r>
        <w:rPr>
          <w:color w:val="0B0B0B"/>
          <w:spacing w:val="34"/>
        </w:rPr>
        <w:t> </w:t>
      </w:r>
      <w:r>
        <w:rPr>
          <w:color w:val="0B0B0B"/>
        </w:rPr>
        <w:t>para</w:t>
      </w:r>
      <w:r>
        <w:rPr>
          <w:color w:val="0B0B0B"/>
          <w:spacing w:val="33"/>
        </w:rPr>
        <w:t> </w:t>
      </w:r>
      <w:r>
        <w:rPr>
          <w:color w:val="0B0B0B"/>
        </w:rPr>
        <w:t>su</w:t>
      </w:r>
      <w:r>
        <w:rPr>
          <w:color w:val="0B0B0B"/>
          <w:spacing w:val="34"/>
        </w:rPr>
        <w:t> </w:t>
      </w:r>
      <w:r>
        <w:rPr>
          <w:color w:val="0B0B0B"/>
        </w:rPr>
        <w:t>consumo</w:t>
      </w:r>
      <w:r>
        <w:rPr>
          <w:color w:val="0B0B0B"/>
          <w:spacing w:val="33"/>
        </w:rPr>
        <w:t> </w:t>
      </w:r>
      <w:r>
        <w:rPr>
          <w:color w:val="0B0B0B"/>
        </w:rPr>
        <w:t>en</w:t>
      </w:r>
      <w:r>
        <w:rPr>
          <w:color w:val="0B0B0B"/>
          <w:spacing w:val="32"/>
        </w:rPr>
        <w:t> </w:t>
      </w:r>
      <w:r>
        <w:rPr>
          <w:color w:val="0B0B0B"/>
        </w:rPr>
        <w:t>el</w:t>
      </w:r>
      <w:r>
        <w:rPr>
          <w:color w:val="0B0B0B"/>
          <w:spacing w:val="33"/>
        </w:rPr>
        <w:t> </w:t>
      </w:r>
      <w:r>
        <w:rPr>
          <w:color w:val="0B0B0B"/>
        </w:rPr>
        <w:t>lugar de su enajenación, los alimentos enajenados como parte del servicio genérico de comidas, prestado por hoteles, restaurantes, fondas, loncherías,</w:t>
      </w:r>
      <w:r>
        <w:rPr>
          <w:color w:val="0B0B0B"/>
        </w:rPr>
        <w:t> torterías,</w:t>
      </w:r>
      <w:r>
        <w:rPr>
          <w:color w:val="0B0B0B"/>
        </w:rPr>
        <w:t> taquerías, pizzerías,</w:t>
      </w:r>
      <w:r>
        <w:rPr>
          <w:color w:val="0B0B0B"/>
        </w:rPr>
        <w:t> cocinas económicas, cafeterías, comedores, rosticerías, bares, cantinas, servicios de banquetes o cualesquiera otros de la misma naturaleza, en cualquiera de las</w:t>
      </w:r>
      <w:r>
        <w:rPr>
          <w:color w:val="0B0B0B"/>
          <w:spacing w:val="-2"/>
        </w:rPr>
        <w:t> </w:t>
      </w:r>
      <w:r>
        <w:rPr>
          <w:color w:val="0B0B0B"/>
        </w:rPr>
        <w:t>siguientes</w:t>
      </w:r>
      <w:r>
        <w:rPr>
          <w:color w:val="0B0B0B"/>
          <w:spacing w:val="-1"/>
        </w:rPr>
        <w:t> </w:t>
      </w:r>
      <w:r>
        <w:rPr>
          <w:color w:val="0B0B0B"/>
        </w:rPr>
        <w:t>modalidades:</w:t>
      </w:r>
      <w:r>
        <w:rPr>
          <w:color w:val="0B0B0B"/>
          <w:spacing w:val="-2"/>
        </w:rPr>
        <w:t> </w:t>
      </w:r>
      <w:r>
        <w:rPr>
          <w:color w:val="0B0B0B"/>
        </w:rPr>
        <w:t>servicio</w:t>
      </w:r>
      <w:r>
        <w:rPr>
          <w:color w:val="0B0B0B"/>
          <w:spacing w:val="-1"/>
        </w:rPr>
        <w:t> </w:t>
      </w:r>
      <w:r>
        <w:rPr>
          <w:color w:val="0B0B0B"/>
        </w:rPr>
        <w:t>en</w:t>
      </w:r>
      <w:r>
        <w:rPr>
          <w:color w:val="0B0B0B"/>
          <w:spacing w:val="-1"/>
        </w:rPr>
        <w:t> </w:t>
      </w:r>
      <w:r>
        <w:rPr>
          <w:color w:val="0B0B0B"/>
        </w:rPr>
        <w:t>el</w:t>
      </w:r>
      <w:r>
        <w:rPr>
          <w:color w:val="0B0B0B"/>
          <w:spacing w:val="-2"/>
        </w:rPr>
        <w:t> </w:t>
      </w:r>
      <w:r>
        <w:rPr>
          <w:color w:val="0B0B0B"/>
        </w:rPr>
        <w:t>plato,</w:t>
      </w:r>
      <w:r>
        <w:rPr>
          <w:color w:val="0B0B0B"/>
          <w:spacing w:val="-2"/>
        </w:rPr>
        <w:t> </w:t>
      </w:r>
      <w:r>
        <w:rPr>
          <w:color w:val="0B0B0B"/>
        </w:rPr>
        <w:t>en</w:t>
      </w:r>
      <w:r>
        <w:rPr>
          <w:color w:val="0B0B0B"/>
          <w:spacing w:val="-2"/>
        </w:rPr>
        <w:t> </w:t>
      </w:r>
      <w:r>
        <w:rPr>
          <w:color w:val="0B0B0B"/>
        </w:rPr>
        <w:t>la</w:t>
      </w:r>
      <w:r>
        <w:rPr>
          <w:color w:val="0B0B0B"/>
          <w:spacing w:val="-2"/>
        </w:rPr>
        <w:t> </w:t>
      </w:r>
      <w:r>
        <w:rPr>
          <w:color w:val="0B0B0B"/>
        </w:rPr>
        <w:t>mesa,</w:t>
      </w:r>
      <w:r>
        <w:rPr>
          <w:color w:val="0B0B0B"/>
          <w:spacing w:val="-2"/>
        </w:rPr>
        <w:t> </w:t>
      </w:r>
      <w:r>
        <w:rPr>
          <w:color w:val="0B0B0B"/>
        </w:rPr>
        <w:t>a</w:t>
      </w:r>
      <w:r>
        <w:rPr>
          <w:color w:val="0B0B0B"/>
          <w:spacing w:val="-2"/>
        </w:rPr>
        <w:t> </w:t>
      </w:r>
      <w:r>
        <w:rPr>
          <w:color w:val="0B0B0B"/>
        </w:rPr>
        <w:t>domicilio,</w:t>
      </w:r>
      <w:r>
        <w:rPr>
          <w:color w:val="0B0B0B"/>
          <w:spacing w:val="-1"/>
        </w:rPr>
        <w:t> </w:t>
      </w:r>
      <w:r>
        <w:rPr>
          <w:color w:val="0B0B0B"/>
        </w:rPr>
        <w:t>al</w:t>
      </w:r>
      <w:r>
        <w:rPr>
          <w:color w:val="0B0B0B"/>
          <w:spacing w:val="-2"/>
        </w:rPr>
        <w:t> </w:t>
      </w:r>
      <w:r>
        <w:rPr>
          <w:color w:val="0B0B0B"/>
        </w:rPr>
        <w:t>cuarto,</w:t>
      </w:r>
      <w:r>
        <w:rPr>
          <w:color w:val="0B0B0B"/>
          <w:spacing w:val="-2"/>
        </w:rPr>
        <w:t> </w:t>
      </w:r>
      <w:r>
        <w:rPr>
          <w:color w:val="0B0B0B"/>
        </w:rPr>
        <w:t>para llevar y autoservicio.</w:t>
      </w:r>
    </w:p>
    <w:p>
      <w:pPr>
        <w:pStyle w:val="BodyText"/>
        <w:spacing w:line="268" w:lineRule="auto" w:before="95"/>
        <w:ind w:right="257"/>
      </w:pPr>
      <w:r>
        <w:rPr>
          <w:color w:val="0B0B0B"/>
        </w:rPr>
        <w:t>Tratándose de establecimientos distintos a los anteriores, como por ejemplo las denominadas</w:t>
      </w:r>
      <w:r>
        <w:rPr>
          <w:color w:val="0B0B0B"/>
          <w:spacing w:val="-2"/>
        </w:rPr>
        <w:t> </w:t>
      </w:r>
      <w:r>
        <w:rPr>
          <w:color w:val="0B0B0B"/>
        </w:rPr>
        <w:t>tiendas</w:t>
      </w:r>
      <w:r>
        <w:rPr>
          <w:color w:val="0B0B0B"/>
          <w:spacing w:val="-2"/>
        </w:rPr>
        <w:t> </w:t>
      </w:r>
      <w:r>
        <w:rPr>
          <w:color w:val="0B0B0B"/>
        </w:rPr>
        <w:t>de</w:t>
      </w:r>
      <w:r>
        <w:rPr>
          <w:color w:val="0B0B0B"/>
          <w:spacing w:val="-1"/>
        </w:rPr>
        <w:t> </w:t>
      </w:r>
      <w:r>
        <w:rPr>
          <w:color w:val="0B0B0B"/>
        </w:rPr>
        <w:t>autoservicio,</w:t>
      </w:r>
      <w:r>
        <w:rPr>
          <w:color w:val="0B0B0B"/>
          <w:spacing w:val="-2"/>
        </w:rPr>
        <w:t> </w:t>
      </w:r>
      <w:r>
        <w:rPr>
          <w:color w:val="0B0B0B"/>
        </w:rPr>
        <w:t>se</w:t>
      </w:r>
      <w:r>
        <w:rPr>
          <w:color w:val="0B0B0B"/>
          <w:spacing w:val="-2"/>
        </w:rPr>
        <w:t> </w:t>
      </w:r>
      <w:r>
        <w:rPr>
          <w:color w:val="0B0B0B"/>
        </w:rPr>
        <w:t>considera</w:t>
      </w:r>
      <w:r>
        <w:rPr>
          <w:color w:val="0B0B0B"/>
          <w:spacing w:val="-1"/>
        </w:rPr>
        <w:t> </w:t>
      </w:r>
      <w:r>
        <w:rPr>
          <w:color w:val="0B0B0B"/>
        </w:rPr>
        <w:t>que</w:t>
      </w:r>
      <w:r>
        <w:rPr>
          <w:color w:val="0B0B0B"/>
          <w:spacing w:val="-2"/>
        </w:rPr>
        <w:t> </w:t>
      </w:r>
      <w:r>
        <w:rPr>
          <w:color w:val="0B0B0B"/>
        </w:rPr>
        <w:t>prestan</w:t>
      </w:r>
      <w:r>
        <w:rPr>
          <w:color w:val="0B0B0B"/>
          <w:spacing w:val="-1"/>
        </w:rPr>
        <w:t> </w:t>
      </w:r>
      <w:r>
        <w:rPr>
          <w:color w:val="0B0B0B"/>
        </w:rPr>
        <w:t>el</w:t>
      </w:r>
      <w:r>
        <w:rPr>
          <w:color w:val="0B0B0B"/>
          <w:spacing w:val="-2"/>
        </w:rPr>
        <w:t> </w:t>
      </w:r>
      <w:r>
        <w:rPr>
          <w:color w:val="0B0B0B"/>
        </w:rPr>
        <w:t>servicio</w:t>
      </w:r>
      <w:r>
        <w:rPr>
          <w:color w:val="0B0B0B"/>
          <w:spacing w:val="-2"/>
        </w:rPr>
        <w:t> </w:t>
      </w:r>
      <w:r>
        <w:rPr>
          <w:color w:val="0B0B0B"/>
        </w:rPr>
        <w:t>genérico</w:t>
      </w:r>
      <w:r>
        <w:rPr>
          <w:color w:val="0B0B0B"/>
          <w:spacing w:val="-1"/>
        </w:rPr>
        <w:t> </w:t>
      </w:r>
      <w:r>
        <w:rPr>
          <w:color w:val="0B0B0B"/>
        </w:rPr>
        <w:t>de comidas,</w:t>
      </w:r>
      <w:r>
        <w:rPr>
          <w:color w:val="0B0B0B"/>
          <w:spacing w:val="-2"/>
        </w:rPr>
        <w:t> </w:t>
      </w:r>
      <w:r>
        <w:rPr>
          <w:color w:val="0B0B0B"/>
        </w:rPr>
        <w:t>únicamente</w:t>
      </w:r>
      <w:r>
        <w:rPr>
          <w:color w:val="0B0B0B"/>
          <w:spacing w:val="-2"/>
        </w:rPr>
        <w:t> </w:t>
      </w:r>
      <w:r>
        <w:rPr>
          <w:color w:val="0B0B0B"/>
        </w:rPr>
        <w:t>por</w:t>
      </w:r>
      <w:r>
        <w:rPr>
          <w:color w:val="0B0B0B"/>
          <w:spacing w:val="-2"/>
        </w:rPr>
        <w:t> </w:t>
      </w:r>
      <w:r>
        <w:rPr>
          <w:color w:val="0B0B0B"/>
        </w:rPr>
        <w:t>la</w:t>
      </w:r>
      <w:r>
        <w:rPr>
          <w:color w:val="0B0B0B"/>
          <w:spacing w:val="-2"/>
        </w:rPr>
        <w:t> </w:t>
      </w:r>
      <w:r>
        <w:rPr>
          <w:color w:val="0B0B0B"/>
        </w:rPr>
        <w:t>enajenación</w:t>
      </w:r>
      <w:r>
        <w:rPr>
          <w:color w:val="0B0B0B"/>
          <w:spacing w:val="-2"/>
        </w:rPr>
        <w:t> </w:t>
      </w:r>
      <w:r>
        <w:rPr>
          <w:color w:val="0B0B0B"/>
        </w:rPr>
        <w:t>de</w:t>
      </w:r>
      <w:r>
        <w:rPr>
          <w:color w:val="0B0B0B"/>
          <w:spacing w:val="-1"/>
        </w:rPr>
        <w:t> </w:t>
      </w:r>
      <w:r>
        <w:rPr>
          <w:color w:val="0B0B0B"/>
        </w:rPr>
        <w:t>alimentos</w:t>
      </w:r>
      <w:r>
        <w:rPr>
          <w:color w:val="0B0B0B"/>
          <w:spacing w:val="-3"/>
        </w:rPr>
        <w:t> </w:t>
      </w:r>
      <w:r>
        <w:rPr>
          <w:color w:val="0B0B0B"/>
        </w:rPr>
        <w:t>preparados</w:t>
      </w:r>
      <w:r>
        <w:rPr>
          <w:color w:val="0B0B0B"/>
          <w:spacing w:val="-2"/>
        </w:rPr>
        <w:t> </w:t>
      </w:r>
      <w:r>
        <w:rPr>
          <w:color w:val="0B0B0B"/>
        </w:rPr>
        <w:t>o</w:t>
      </w:r>
      <w:r>
        <w:rPr>
          <w:color w:val="0B0B0B"/>
          <w:spacing w:val="-2"/>
        </w:rPr>
        <w:t> </w:t>
      </w:r>
      <w:r>
        <w:rPr>
          <w:color w:val="0B0B0B"/>
        </w:rPr>
        <w:t>compuestos,</w:t>
      </w:r>
      <w:r>
        <w:rPr>
          <w:color w:val="0B0B0B"/>
          <w:spacing w:val="-2"/>
        </w:rPr>
        <w:t> </w:t>
      </w:r>
      <w:r>
        <w:rPr>
          <w:color w:val="0B0B0B"/>
        </w:rPr>
        <w:t>listos para su consumo y ofertados a granel, independientemente de que los hayan preparado</w:t>
      </w:r>
      <w:r>
        <w:rPr>
          <w:color w:val="0B0B0B"/>
          <w:spacing w:val="-3"/>
        </w:rPr>
        <w:t> </w:t>
      </w:r>
      <w:r>
        <w:rPr>
          <w:color w:val="0B0B0B"/>
        </w:rPr>
        <w:t>o</w:t>
      </w:r>
      <w:r>
        <w:rPr>
          <w:color w:val="0B0B0B"/>
          <w:spacing w:val="-3"/>
        </w:rPr>
        <w:t> </w:t>
      </w:r>
      <w:r>
        <w:rPr>
          <w:color w:val="0B0B0B"/>
        </w:rPr>
        <w:t>combinado,</w:t>
      </w:r>
      <w:r>
        <w:rPr>
          <w:color w:val="0B0B0B"/>
          <w:spacing w:val="-3"/>
        </w:rPr>
        <w:t> </w:t>
      </w:r>
      <w:r>
        <w:rPr>
          <w:color w:val="0B0B0B"/>
        </w:rPr>
        <w:t>o</w:t>
      </w:r>
      <w:r>
        <w:rPr>
          <w:color w:val="0B0B0B"/>
          <w:spacing w:val="-3"/>
        </w:rPr>
        <w:t> </w:t>
      </w:r>
      <w:r>
        <w:rPr>
          <w:color w:val="0B0B0B"/>
        </w:rPr>
        <w:t>adquirido</w:t>
      </w:r>
      <w:r>
        <w:rPr>
          <w:color w:val="0B0B0B"/>
          <w:spacing w:val="-2"/>
        </w:rPr>
        <w:t> </w:t>
      </w:r>
      <w:r>
        <w:rPr>
          <w:color w:val="0B0B0B"/>
        </w:rPr>
        <w:t>ya</w:t>
      </w:r>
      <w:r>
        <w:rPr>
          <w:color w:val="0B0B0B"/>
          <w:spacing w:val="-3"/>
        </w:rPr>
        <w:t> </w:t>
      </w:r>
      <w:r>
        <w:rPr>
          <w:color w:val="0B0B0B"/>
        </w:rPr>
        <w:t>preparados</w:t>
      </w:r>
      <w:r>
        <w:rPr>
          <w:color w:val="0B0B0B"/>
          <w:spacing w:val="-3"/>
        </w:rPr>
        <w:t> </w:t>
      </w:r>
      <w:r>
        <w:rPr>
          <w:color w:val="0B0B0B"/>
        </w:rPr>
        <w:t>o</w:t>
      </w:r>
      <w:r>
        <w:rPr>
          <w:color w:val="0B0B0B"/>
          <w:spacing w:val="-3"/>
        </w:rPr>
        <w:t> </w:t>
      </w:r>
      <w:r>
        <w:rPr>
          <w:color w:val="0B0B0B"/>
        </w:rPr>
        <w:t>combinados.</w:t>
      </w:r>
      <w:r>
        <w:rPr>
          <w:color w:val="0B0B0B"/>
          <w:spacing w:val="-3"/>
        </w:rPr>
        <w:t> </w:t>
      </w:r>
      <w:r>
        <w:rPr>
          <w:color w:val="0B0B0B"/>
        </w:rPr>
        <w:t>Por</w:t>
      </w:r>
      <w:r>
        <w:rPr>
          <w:color w:val="0B0B0B"/>
          <w:spacing w:val="-3"/>
        </w:rPr>
        <w:t> </w:t>
      </w:r>
      <w:r>
        <w:rPr>
          <w:color w:val="0B0B0B"/>
        </w:rPr>
        <w:t>consiguiente,</w:t>
      </w:r>
      <w:r>
        <w:rPr>
          <w:color w:val="0B0B0B"/>
          <w:spacing w:val="-3"/>
        </w:rPr>
        <w:t> </w:t>
      </w:r>
      <w:r>
        <w:rPr>
          <w:color w:val="0B0B0B"/>
        </w:rPr>
        <w:t>la enajenación de dichos alimentos ha estado afecta a la tasa general del IVA.</w:t>
      </w:r>
    </w:p>
    <w:p>
      <w:pPr>
        <w:pStyle w:val="BodyText"/>
        <w:spacing w:line="268" w:lineRule="auto" w:before="96"/>
        <w:ind w:right="258"/>
      </w:pPr>
      <w:r>
        <w:rPr>
          <w:color w:val="0B0B0B"/>
        </w:rPr>
        <w:t>Las enajenaciones de los alimentos mencionados en el párrafo anterior que hagan los proveedores a los establecimientos a que se refiere el citado párrafo, únicamente estarán afectas a la tasa general del impuesto</w:t>
      </w:r>
      <w:r>
        <w:rPr>
          <w:color w:val="0B0B0B"/>
        </w:rPr>
        <w:t> cuando los proveedores presten un servicio genérico de comidas en los términos del segundo párrafo.</w:t>
      </w:r>
    </w:p>
    <w:p>
      <w:pPr>
        <w:pStyle w:val="BodyText"/>
        <w:spacing w:before="99"/>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1"/>
        </w:numPr>
        <w:tabs>
          <w:tab w:pos="2664" w:val="left" w:leader="none"/>
        </w:tabs>
        <w:spacing w:line="268" w:lineRule="auto" w:before="124" w:after="0"/>
        <w:ind w:left="2664" w:right="259" w:hanging="504"/>
        <w:jc w:val="both"/>
        <w:rPr>
          <w:sz w:val="18"/>
        </w:rPr>
      </w:pPr>
      <w:r>
        <w:rPr>
          <w:color w:val="0B0B0B"/>
          <w:sz w:val="18"/>
        </w:rPr>
        <w:t>Los establecimientos a que se refiere el tercer párrafo de este criterio que no calculen el gravamen a la tasa general por las enajenaciones que realizan de</w:t>
      </w:r>
      <w:r>
        <w:rPr>
          <w:color w:val="0B0B0B"/>
          <w:spacing w:val="40"/>
          <w:sz w:val="18"/>
        </w:rPr>
        <w:t> </w:t>
      </w:r>
      <w:r>
        <w:rPr>
          <w:color w:val="0B0B0B"/>
          <w:sz w:val="18"/>
        </w:rPr>
        <w:t>los alimentos antes señalados.</w:t>
      </w:r>
    </w:p>
    <w:p>
      <w:pPr>
        <w:pStyle w:val="ListParagraph"/>
        <w:numPr>
          <w:ilvl w:val="0"/>
          <w:numId w:val="51"/>
        </w:numPr>
        <w:tabs>
          <w:tab w:pos="2664" w:val="left" w:leader="none"/>
        </w:tabs>
        <w:spacing w:line="266" w:lineRule="auto" w:before="99"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6"/>
        <w:ind w:left="0"/>
        <w:jc w:val="left"/>
        <w:rPr>
          <w:sz w:val="7"/>
        </w:rPr>
      </w:pPr>
    </w:p>
    <w:tbl>
      <w:tblPr>
        <w:tblW w:w="0" w:type="auto"/>
        <w:jc w:val="left"/>
        <w:tblInd w:w="2138"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96"/>
        <w:gridCol w:w="4126"/>
      </w:tblGrid>
      <w:tr>
        <w:trPr>
          <w:trHeight w:val="331" w:hRule="atLeast"/>
        </w:trPr>
        <w:tc>
          <w:tcPr>
            <w:tcW w:w="2796" w:type="dxa"/>
            <w:shd w:val="clear" w:color="auto" w:fill="BDBDBD"/>
          </w:tcPr>
          <w:p>
            <w:pPr>
              <w:pStyle w:val="TableParagraph"/>
              <w:spacing w:before="35"/>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35"/>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3" w:hRule="atLeast"/>
        </w:trPr>
        <w:tc>
          <w:tcPr>
            <w:tcW w:w="2796" w:type="dxa"/>
          </w:tcPr>
          <w:p>
            <w:pPr>
              <w:pStyle w:val="TableParagraph"/>
              <w:tabs>
                <w:tab w:pos="1192" w:val="left" w:leader="none"/>
                <w:tab w:pos="2545" w:val="left" w:leader="none"/>
              </w:tabs>
              <w:spacing w:line="300" w:lineRule="auto" w:before="35"/>
              <w:ind w:right="55"/>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2009</w:t>
            </w:r>
          </w:p>
        </w:tc>
        <w:tc>
          <w:tcPr>
            <w:tcW w:w="4126" w:type="dxa"/>
          </w:tcPr>
          <w:p>
            <w:pPr>
              <w:pStyle w:val="TableParagraph"/>
              <w:spacing w:line="302" w:lineRule="auto" w:before="35"/>
              <w:ind w:right="57"/>
              <w:jc w:val="both"/>
              <w:rPr>
                <w:sz w:val="16"/>
              </w:rPr>
            </w:pPr>
            <w:r>
              <w:rPr>
                <w:color w:val="0B0B0B"/>
                <w:sz w:val="16"/>
              </w:rPr>
              <w:t>Publicada en el DOF el 7 de agosto de 2009, Anexo 3, publicado en el DOF el 11 de agosto de 2009, </w:t>
            </w:r>
            <w:r>
              <w:rPr>
                <w:color w:val="0B0B0B"/>
                <w:sz w:val="16"/>
              </w:rPr>
              <w:t>con número de criterio no vinculativo 3/IVA.</w:t>
            </w:r>
          </w:p>
        </w:tc>
      </w:tr>
    </w:tbl>
    <w:p>
      <w:pPr>
        <w:pStyle w:val="TableParagraph"/>
        <w:spacing w:after="0" w:line="302" w:lineRule="auto"/>
        <w:jc w:val="both"/>
        <w:rPr>
          <w:sz w:val="16"/>
        </w:rPr>
        <w:sectPr>
          <w:headerReference w:type="default" r:id="rId52"/>
          <w:pgSz w:w="12240" w:h="15840"/>
          <w:pgMar w:header="690" w:footer="0" w:top="1040" w:bottom="280" w:left="1440" w:right="1440"/>
        </w:sectPr>
      </w:pPr>
    </w:p>
    <w:p>
      <w:pPr>
        <w:pStyle w:val="Heading1"/>
        <w:tabs>
          <w:tab w:pos="2145" w:val="left" w:leader="none"/>
        </w:tabs>
        <w:spacing w:before="110"/>
        <w:ind w:left="1137" w:firstLine="0"/>
      </w:pPr>
      <w:r>
        <w:rPr>
          <w:color w:val="0B0B0B"/>
          <w:spacing w:val="-2"/>
        </w:rPr>
        <w:t>3/IVA/PI</w:t>
      </w:r>
      <w:r>
        <w:rPr>
          <w:color w:val="0B0B0B"/>
        </w:rPr>
        <w:tab/>
        <w:t>Servicio</w:t>
      </w:r>
      <w:r>
        <w:rPr>
          <w:color w:val="0B0B0B"/>
          <w:spacing w:val="-8"/>
        </w:rPr>
        <w:t> </w:t>
      </w:r>
      <w:r>
        <w:rPr>
          <w:color w:val="0B0B0B"/>
        </w:rPr>
        <w:t>de</w:t>
      </w:r>
      <w:r>
        <w:rPr>
          <w:color w:val="0B0B0B"/>
          <w:spacing w:val="-7"/>
        </w:rPr>
        <w:t> </w:t>
      </w:r>
      <w:r>
        <w:rPr>
          <w:color w:val="0B0B0B"/>
        </w:rPr>
        <w:t>itinerancia</w:t>
      </w:r>
      <w:r>
        <w:rPr>
          <w:color w:val="0B0B0B"/>
          <w:spacing w:val="-7"/>
        </w:rPr>
        <w:t> </w:t>
      </w:r>
      <w:r>
        <w:rPr>
          <w:color w:val="0B0B0B"/>
        </w:rPr>
        <w:t>internacional</w:t>
      </w:r>
      <w:r>
        <w:rPr>
          <w:color w:val="0B0B0B"/>
          <w:spacing w:val="-7"/>
        </w:rPr>
        <w:t> </w:t>
      </w:r>
      <w:r>
        <w:rPr>
          <w:color w:val="0B0B0B"/>
        </w:rPr>
        <w:t>o</w:t>
      </w:r>
      <w:r>
        <w:rPr>
          <w:color w:val="0B0B0B"/>
          <w:spacing w:val="-7"/>
        </w:rPr>
        <w:t> </w:t>
      </w:r>
      <w:r>
        <w:rPr>
          <w:color w:val="0B0B0B"/>
          <w:spacing w:val="-2"/>
        </w:rPr>
        <w:t>global.</w:t>
      </w:r>
    </w:p>
    <w:p>
      <w:pPr>
        <w:pStyle w:val="BodyText"/>
        <w:spacing w:line="249" w:lineRule="auto" w:before="97"/>
        <w:ind w:right="258"/>
      </w:pPr>
      <w:r>
        <w:rPr>
          <w:color w:val="0B0B0B"/>
        </w:rPr>
        <w:t>El artículo 29, fracción IV de la Ley del IVA, establece que se aplicará la tasa del 0% a la prestación de servicios cuando la misma se exporte, considerando como</w:t>
      </w:r>
      <w:r>
        <w:rPr>
          <w:color w:val="0B0B0B"/>
          <w:spacing w:val="40"/>
        </w:rPr>
        <w:t> </w:t>
      </w:r>
      <w:r>
        <w:rPr>
          <w:color w:val="0B0B0B"/>
        </w:rPr>
        <w:t>exportación de servicios, el aprovechamiento en el extranjero de servicios prestados por residentes en el país.</w:t>
      </w:r>
    </w:p>
    <w:p>
      <w:pPr>
        <w:pStyle w:val="BodyText"/>
        <w:spacing w:line="249" w:lineRule="auto" w:before="88"/>
        <w:ind w:right="256"/>
      </w:pPr>
      <w:r>
        <w:rPr>
          <w:color w:val="0B0B0B"/>
        </w:rPr>
        <w:t>No obstante, el servicio de itinerancia internacional o global, que prestan los operadores de telefonía celular ubicados en México, a los clientes de compañías operadoras del extranjero, cuando dichos clientes</w:t>
      </w:r>
      <w:r>
        <w:rPr>
          <w:color w:val="0B0B0B"/>
        </w:rPr>
        <w:t> se</w:t>
      </w:r>
      <w:r>
        <w:rPr>
          <w:color w:val="0B0B0B"/>
        </w:rPr>
        <w:t> encuentran en el área de cobertura de su red, consistente en permitirles conectarse y hacer y recibir automáticamente llamadas de voz y envíos de datos, es un servicio que se aprovecha en territorio nacional, por lo que no debe considerarse como exportación de servicios. Por tanto, al monto que se facture por</w:t>
      </w:r>
      <w:r>
        <w:rPr>
          <w:color w:val="0B0B0B"/>
        </w:rPr>
        <w:t> este concepto a los operadores de telefonía celular del extranjero o a cualquier otra persona, debe aplicarse y trasladarse la tasa del 16%.</w:t>
      </w:r>
    </w:p>
    <w:p>
      <w:pPr>
        <w:pStyle w:val="BodyText"/>
        <w:spacing w:before="92"/>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2"/>
        </w:numPr>
        <w:tabs>
          <w:tab w:pos="2664" w:val="left" w:leader="none"/>
        </w:tabs>
        <w:spacing w:line="249" w:lineRule="auto" w:before="97" w:after="0"/>
        <w:ind w:left="2664" w:right="260" w:hanging="504"/>
        <w:jc w:val="both"/>
        <w:rPr>
          <w:sz w:val="18"/>
        </w:rPr>
      </w:pPr>
      <w:r>
        <w:rPr>
          <w:color w:val="0B0B0B"/>
          <w:sz w:val="18"/>
        </w:rPr>
        <w:t>Los operadores de telefonía celular que apliquen el artículo 29, fracción IV de la Ley del IVA y calculen el gravamen a la tasa del 0% al servicio de itinerancia internacional o global.</w:t>
      </w:r>
    </w:p>
    <w:p>
      <w:pPr>
        <w:pStyle w:val="ListParagraph"/>
        <w:numPr>
          <w:ilvl w:val="0"/>
          <w:numId w:val="52"/>
        </w:numPr>
        <w:tabs>
          <w:tab w:pos="2664" w:val="left" w:leader="none"/>
        </w:tabs>
        <w:spacing w:line="249" w:lineRule="auto" w:before="87"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3"/>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912"/>
      </w:tblGrid>
      <w:tr>
        <w:trPr>
          <w:trHeight w:val="301" w:hRule="atLeast"/>
        </w:trPr>
        <w:tc>
          <w:tcPr>
            <w:tcW w:w="2974"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3912" w:type="dxa"/>
            <w:shd w:val="clear" w:color="auto" w:fill="BDBDBD"/>
          </w:tcPr>
          <w:p>
            <w:pPr>
              <w:pStyle w:val="TableParagraph"/>
              <w:spacing w:before="22"/>
              <w:ind w:left="12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3" w:hRule="atLeast"/>
        </w:trPr>
        <w:tc>
          <w:tcPr>
            <w:tcW w:w="2974" w:type="dxa"/>
          </w:tcPr>
          <w:p>
            <w:pPr>
              <w:pStyle w:val="TableParagraph"/>
              <w:tabs>
                <w:tab w:pos="892" w:val="left" w:leader="none"/>
                <w:tab w:pos="1653" w:val="left" w:leader="none"/>
                <w:tab w:pos="2722" w:val="left" w:leader="none"/>
              </w:tabs>
              <w:spacing w:line="280" w:lineRule="auto"/>
              <w:ind w:right="56"/>
              <w:rPr>
                <w:sz w:val="16"/>
              </w:rPr>
            </w:pPr>
            <w:r>
              <w:rPr>
                <w:color w:val="0B0B0B"/>
                <w:spacing w:val="-2"/>
                <w:sz w:val="16"/>
              </w:rPr>
              <w:t>Décima</w:t>
            </w:r>
            <w:r>
              <w:rPr>
                <w:color w:val="0B0B0B"/>
                <w:sz w:val="16"/>
              </w:rPr>
              <w:tab/>
            </w: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3912" w:type="dxa"/>
          </w:tcPr>
          <w:p>
            <w:pPr>
              <w:pStyle w:val="TableParagraph"/>
              <w:spacing w:line="280" w:lineRule="auto"/>
              <w:ind w:right="59"/>
              <w:jc w:val="both"/>
              <w:rPr>
                <w:sz w:val="16"/>
              </w:rPr>
            </w:pPr>
            <w:r>
              <w:rPr>
                <w:color w:val="0B0B0B"/>
                <w:sz w:val="16"/>
              </w:rPr>
              <w:t>Publicada</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28</w:t>
            </w:r>
            <w:r>
              <w:rPr>
                <w:color w:val="0B0B0B"/>
                <w:spacing w:val="-2"/>
                <w:sz w:val="16"/>
              </w:rPr>
              <w:t> </w:t>
            </w:r>
            <w:r>
              <w:rPr>
                <w:color w:val="0B0B0B"/>
                <w:sz w:val="16"/>
              </w:rPr>
              <w:t>de</w:t>
            </w:r>
            <w:r>
              <w:rPr>
                <w:color w:val="0B0B0B"/>
                <w:spacing w:val="-2"/>
                <w:sz w:val="16"/>
              </w:rPr>
              <w:t> </w:t>
            </w:r>
            <w:r>
              <w:rPr>
                <w:color w:val="0B0B0B"/>
                <w:sz w:val="16"/>
              </w:rPr>
              <w:t>marzo</w:t>
            </w:r>
            <w:r>
              <w:rPr>
                <w:color w:val="0B0B0B"/>
                <w:spacing w:val="-2"/>
                <w:sz w:val="16"/>
              </w:rPr>
              <w:t> </w:t>
            </w:r>
            <w:r>
              <w:rPr>
                <w:color w:val="0B0B0B"/>
                <w:sz w:val="16"/>
              </w:rPr>
              <w:t>de</w:t>
            </w:r>
            <w:r>
              <w:rPr>
                <w:color w:val="0B0B0B"/>
                <w:spacing w:val="-2"/>
                <w:sz w:val="16"/>
              </w:rPr>
              <w:t> </w:t>
            </w:r>
            <w:r>
              <w:rPr>
                <w:color w:val="0B0B0B"/>
                <w:sz w:val="16"/>
              </w:rPr>
              <w:t>2007,</w:t>
            </w:r>
            <w:r>
              <w:rPr>
                <w:color w:val="0B0B0B"/>
                <w:spacing w:val="-2"/>
                <w:sz w:val="16"/>
              </w:rPr>
              <w:t> </w:t>
            </w:r>
            <w:r>
              <w:rPr>
                <w:color w:val="0B0B0B"/>
                <w:sz w:val="16"/>
              </w:rPr>
              <w:t>Anexo 26, publicado en la misma fecha de la Modificación, con número de criterio no vinculativo 1/IVA.</w:t>
            </w:r>
          </w:p>
        </w:tc>
      </w:tr>
    </w:tbl>
    <w:p>
      <w:pPr>
        <w:pStyle w:val="BodyText"/>
        <w:spacing w:before="101"/>
        <w:ind w:left="0"/>
        <w:jc w:val="left"/>
      </w:pPr>
    </w:p>
    <w:p>
      <w:pPr>
        <w:pStyle w:val="Heading1"/>
        <w:tabs>
          <w:tab w:pos="2145" w:val="left" w:leader="none"/>
        </w:tabs>
        <w:spacing w:line="249" w:lineRule="auto"/>
        <w:ind w:right="257"/>
      </w:pPr>
      <w:r>
        <w:rPr>
          <w:color w:val="0B0B0B"/>
          <w:spacing w:val="-2"/>
        </w:rPr>
        <w:t>4/IVA/PI</w:t>
      </w:r>
      <w:r>
        <w:rPr>
          <w:color w:val="0B0B0B"/>
        </w:rPr>
        <w:tab/>
        <w:t>Prestación</w:t>
      </w:r>
      <w:r>
        <w:rPr>
          <w:color w:val="0B0B0B"/>
          <w:spacing w:val="80"/>
        </w:rPr>
        <w:t> </w:t>
      </w:r>
      <w:r>
        <w:rPr>
          <w:color w:val="0B0B0B"/>
        </w:rPr>
        <w:t>de</w:t>
      </w:r>
      <w:r>
        <w:rPr>
          <w:color w:val="0B0B0B"/>
          <w:spacing w:val="80"/>
        </w:rPr>
        <w:t> </w:t>
      </w:r>
      <w:r>
        <w:rPr>
          <w:color w:val="0B0B0B"/>
        </w:rPr>
        <w:t>servicios</w:t>
      </w:r>
      <w:r>
        <w:rPr>
          <w:color w:val="0B0B0B"/>
          <w:spacing w:val="80"/>
        </w:rPr>
        <w:t> </w:t>
      </w:r>
      <w:r>
        <w:rPr>
          <w:color w:val="0B0B0B"/>
        </w:rPr>
        <w:t>en</w:t>
      </w:r>
      <w:r>
        <w:rPr>
          <w:color w:val="0B0B0B"/>
          <w:spacing w:val="80"/>
        </w:rPr>
        <w:t> </w:t>
      </w:r>
      <w:r>
        <w:rPr>
          <w:color w:val="0B0B0B"/>
        </w:rPr>
        <w:t>territorio</w:t>
      </w:r>
      <w:r>
        <w:rPr>
          <w:color w:val="0B0B0B"/>
          <w:spacing w:val="80"/>
        </w:rPr>
        <w:t> </w:t>
      </w:r>
      <w:r>
        <w:rPr>
          <w:color w:val="0B0B0B"/>
        </w:rPr>
        <w:t>nacional</w:t>
      </w:r>
      <w:r>
        <w:rPr>
          <w:color w:val="0B0B0B"/>
          <w:spacing w:val="80"/>
        </w:rPr>
        <w:t> </w:t>
      </w:r>
      <w:r>
        <w:rPr>
          <w:color w:val="0B0B0B"/>
        </w:rPr>
        <w:t>a</w:t>
      </w:r>
      <w:r>
        <w:rPr>
          <w:color w:val="0B0B0B"/>
          <w:spacing w:val="80"/>
        </w:rPr>
        <w:t> </w:t>
      </w:r>
      <w:r>
        <w:rPr>
          <w:color w:val="0B0B0B"/>
        </w:rPr>
        <w:t>través</w:t>
      </w:r>
      <w:r>
        <w:rPr>
          <w:color w:val="0B0B0B"/>
          <w:spacing w:val="80"/>
        </w:rPr>
        <w:t> </w:t>
      </w:r>
      <w:r>
        <w:rPr>
          <w:color w:val="0B0B0B"/>
        </w:rPr>
        <w:t>de</w:t>
      </w:r>
      <w:r>
        <w:rPr>
          <w:color w:val="0B0B0B"/>
          <w:spacing w:val="80"/>
        </w:rPr>
        <w:t> </w:t>
      </w:r>
      <w:r>
        <w:rPr>
          <w:color w:val="0B0B0B"/>
        </w:rPr>
        <w:t>la</w:t>
      </w:r>
      <w:r>
        <w:rPr>
          <w:color w:val="0B0B0B"/>
          <w:spacing w:val="80"/>
        </w:rPr>
        <w:t> </w:t>
      </w:r>
      <w:r>
        <w:rPr>
          <w:color w:val="0B0B0B"/>
        </w:rPr>
        <w:t>figura</w:t>
      </w:r>
      <w:r>
        <w:rPr>
          <w:color w:val="0B0B0B"/>
          <w:spacing w:val="80"/>
        </w:rPr>
        <w:t> </w:t>
      </w:r>
      <w:r>
        <w:rPr>
          <w:color w:val="0B0B0B"/>
        </w:rPr>
        <w:t>de comisionista mercantil.</w:t>
      </w:r>
    </w:p>
    <w:p>
      <w:pPr>
        <w:pStyle w:val="BodyText"/>
        <w:spacing w:line="249" w:lineRule="auto" w:before="87"/>
        <w:ind w:right="258"/>
      </w:pPr>
      <w:r>
        <w:rPr>
          <w:color w:val="0B0B0B"/>
        </w:rPr>
        <w:t>El artículo 29, fracción IV, inciso d) de la Ley del IVA, señala que se considera exportación de servicios al aprovechamiento en el extranjero de servicios prestados</w:t>
      </w:r>
      <w:r>
        <w:rPr>
          <w:color w:val="0B0B0B"/>
          <w:spacing w:val="40"/>
        </w:rPr>
        <w:t> </w:t>
      </w:r>
      <w:r>
        <w:rPr>
          <w:color w:val="0B0B0B"/>
        </w:rPr>
        <w:t>por residentes en el país, por concepto de comisiones y mediaciones.</w:t>
      </w:r>
    </w:p>
    <w:p>
      <w:pPr>
        <w:pStyle w:val="BodyText"/>
        <w:spacing w:line="249" w:lineRule="auto" w:before="89"/>
        <w:ind w:right="258"/>
      </w:pPr>
      <w:r>
        <w:rPr>
          <w:color w:val="0B0B0B"/>
        </w:rPr>
        <w:t>Por lo que cualquier aprovechamiento en el extranjero de servicios prestados por residentes en el país, por concepto distinto al de comisiones y mediaciones no se considera exportación de servicios.</w:t>
      </w:r>
    </w:p>
    <w:p>
      <w:pPr>
        <w:pStyle w:val="BodyText"/>
        <w:spacing w:before="87"/>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3"/>
        </w:numPr>
        <w:tabs>
          <w:tab w:pos="2664" w:val="left" w:leader="none"/>
        </w:tabs>
        <w:spacing w:line="249" w:lineRule="auto" w:before="95" w:after="0"/>
        <w:ind w:left="2664" w:right="258" w:hanging="504"/>
        <w:jc w:val="both"/>
        <w:rPr>
          <w:sz w:val="18"/>
        </w:rPr>
      </w:pPr>
      <w:r>
        <w:rPr>
          <w:color w:val="0B0B0B"/>
          <w:sz w:val="18"/>
        </w:rPr>
        <w:t>Considerar que la prestación de servicios, tales como: portuarios, fletamento, remolque, eliminación de desechos, reparación, carga, descarga, amarre, desamarre, almacenaje, reparación, mantenimiento, inspección, transportación, publicidad, así como cualquier otro identificado con alguna actividad específica, realizados en territorio nacional es aprovechada en el extranjero por efectuarse</w:t>
      </w:r>
      <w:r>
        <w:rPr>
          <w:color w:val="0B0B0B"/>
          <w:spacing w:val="40"/>
          <w:sz w:val="18"/>
        </w:rPr>
        <w:t> </w:t>
      </w:r>
      <w:r>
        <w:rPr>
          <w:color w:val="0B0B0B"/>
          <w:sz w:val="18"/>
        </w:rPr>
        <w:t>a través de un comisionista mercantil y con motivo de ello están sujetas a la</w:t>
      </w:r>
      <w:r>
        <w:rPr>
          <w:color w:val="0B0B0B"/>
          <w:spacing w:val="40"/>
          <w:sz w:val="18"/>
        </w:rPr>
        <w:t> </w:t>
      </w:r>
      <w:r>
        <w:rPr>
          <w:color w:val="0B0B0B"/>
          <w:sz w:val="18"/>
        </w:rPr>
        <w:t>tasa del 0% para efectos del IVA.</w:t>
      </w:r>
    </w:p>
    <w:p>
      <w:pPr>
        <w:pStyle w:val="ListParagraph"/>
        <w:numPr>
          <w:ilvl w:val="0"/>
          <w:numId w:val="53"/>
        </w:numPr>
        <w:tabs>
          <w:tab w:pos="2664" w:val="left" w:leader="none"/>
        </w:tabs>
        <w:spacing w:line="249" w:lineRule="auto" w:before="92"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3"/>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01" w:hRule="atLeast"/>
        </w:trPr>
        <w:tc>
          <w:tcPr>
            <w:tcW w:w="2760" w:type="dxa"/>
            <w:shd w:val="clear" w:color="auto" w:fill="BDBDBD"/>
          </w:tcPr>
          <w:p>
            <w:pPr>
              <w:pStyle w:val="TableParagraph"/>
              <w:spacing w:before="21"/>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1"/>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2" w:hRule="atLeast"/>
        </w:trPr>
        <w:tc>
          <w:tcPr>
            <w:tcW w:w="2760" w:type="dxa"/>
          </w:tcPr>
          <w:p>
            <w:pPr>
              <w:pStyle w:val="TableParagraph"/>
              <w:tabs>
                <w:tab w:pos="1215" w:val="left" w:leader="none"/>
                <w:tab w:pos="2509" w:val="left" w:leader="none"/>
              </w:tabs>
              <w:spacing w:line="280" w:lineRule="auto" w:before="22"/>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2010</w:t>
            </w:r>
          </w:p>
        </w:tc>
        <w:tc>
          <w:tcPr>
            <w:tcW w:w="4126" w:type="dxa"/>
          </w:tcPr>
          <w:p>
            <w:pPr>
              <w:pStyle w:val="TableParagraph"/>
              <w:spacing w:line="280" w:lineRule="auto" w:before="22"/>
              <w:ind w:right="56"/>
              <w:jc w:val="both"/>
              <w:rPr>
                <w:sz w:val="16"/>
              </w:rPr>
            </w:pPr>
            <w:r>
              <w:rPr>
                <w:color w:val="0B0B0B"/>
                <w:sz w:val="16"/>
              </w:rPr>
              <w:t>Publicada en el DOF el 3 de diciembre de 2010, Anexo 3, publicado en el DOF el 7 de diciembre de 2010, con número de criterio no vinculativo 5/IVA.</w:t>
            </w:r>
          </w:p>
        </w:tc>
      </w:tr>
    </w:tbl>
    <w:p>
      <w:pPr>
        <w:pStyle w:val="BodyText"/>
        <w:spacing w:before="100"/>
        <w:ind w:left="0"/>
        <w:jc w:val="left"/>
      </w:pPr>
    </w:p>
    <w:p>
      <w:pPr>
        <w:pStyle w:val="Heading1"/>
        <w:tabs>
          <w:tab w:pos="2145" w:val="left" w:leader="none"/>
        </w:tabs>
        <w:ind w:left="1137" w:firstLine="0"/>
      </w:pPr>
      <w:r>
        <w:rPr>
          <w:color w:val="0B0B0B"/>
          <w:spacing w:val="-2"/>
        </w:rPr>
        <w:t>5/IVA/PI</w:t>
      </w:r>
      <w:r>
        <w:rPr>
          <w:color w:val="0B0B0B"/>
        </w:rPr>
        <w:tab/>
        <w:t>Enajenación</w:t>
      </w:r>
      <w:r>
        <w:rPr>
          <w:color w:val="0B0B0B"/>
          <w:spacing w:val="-8"/>
        </w:rPr>
        <w:t> </w:t>
      </w:r>
      <w:r>
        <w:rPr>
          <w:color w:val="0B0B0B"/>
        </w:rPr>
        <w:t>de</w:t>
      </w:r>
      <w:r>
        <w:rPr>
          <w:color w:val="0B0B0B"/>
          <w:spacing w:val="-8"/>
        </w:rPr>
        <w:t> </w:t>
      </w:r>
      <w:r>
        <w:rPr>
          <w:color w:val="0B0B0B"/>
        </w:rPr>
        <w:t>efectos</w:t>
      </w:r>
      <w:r>
        <w:rPr>
          <w:color w:val="0B0B0B"/>
          <w:spacing w:val="-8"/>
        </w:rPr>
        <w:t> </w:t>
      </w:r>
      <w:r>
        <w:rPr>
          <w:color w:val="0B0B0B"/>
          <w:spacing w:val="-2"/>
        </w:rPr>
        <w:t>salvados.</w:t>
      </w:r>
    </w:p>
    <w:p>
      <w:pPr>
        <w:pStyle w:val="BodyText"/>
        <w:spacing w:line="249" w:lineRule="auto" w:before="97"/>
        <w:ind w:right="258"/>
      </w:pPr>
      <w:r>
        <w:rPr>
          <w:color w:val="0B0B0B"/>
        </w:rPr>
        <w:t>Del artículo 1°. de la Ley sobre el Contrato de Seguro, se deriva que el resarcimiento del daño o pago de una suma de dinero realizado por las empresas aseguradoras al verificarse la eventualidad prevista en los contratos de seguro, tiene su causa en los propios contratos, por lo que estas operaciones no pueden considerarse como costo</w:t>
      </w:r>
      <w:r>
        <w:rPr>
          <w:color w:val="0B0B0B"/>
          <w:spacing w:val="40"/>
        </w:rPr>
        <w:t> </w:t>
      </w:r>
      <w:r>
        <w:rPr>
          <w:color w:val="0B0B0B"/>
        </w:rPr>
        <w:t>de adquisición o pago del valor de los efectos salvados para dichas empresas.</w:t>
      </w:r>
    </w:p>
    <w:p>
      <w:pPr>
        <w:pStyle w:val="BodyText"/>
        <w:spacing w:after="0" w:line="249" w:lineRule="auto"/>
        <w:sectPr>
          <w:headerReference w:type="default" r:id="rId53"/>
          <w:pgSz w:w="12240" w:h="15840"/>
          <w:pgMar w:header="690" w:footer="0" w:top="1040" w:bottom="280" w:left="1440" w:right="1440"/>
        </w:sectPr>
      </w:pPr>
    </w:p>
    <w:p>
      <w:pPr>
        <w:pStyle w:val="BodyText"/>
        <w:spacing w:before="122"/>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4"/>
        </w:numPr>
        <w:tabs>
          <w:tab w:pos="2664" w:val="left" w:leader="none"/>
        </w:tabs>
        <w:spacing w:line="266" w:lineRule="auto" w:before="122" w:after="0"/>
        <w:ind w:left="2664" w:right="259" w:hanging="504"/>
        <w:jc w:val="both"/>
        <w:rPr>
          <w:sz w:val="18"/>
        </w:rPr>
      </w:pPr>
      <w:r>
        <w:rPr>
          <w:color w:val="0B0B0B"/>
          <w:sz w:val="18"/>
        </w:rPr>
        <w:t>Expedir un CFDI que señale como precio o contraprestación por la enajenación de los efectos salvados, la cantidad pagada o resarcida por una empresa aseguradora al verificarse la eventualidad prevista en un contrato de seguro contra daños.</w:t>
      </w:r>
    </w:p>
    <w:p>
      <w:pPr>
        <w:pStyle w:val="ListParagraph"/>
        <w:numPr>
          <w:ilvl w:val="0"/>
          <w:numId w:val="54"/>
        </w:numPr>
        <w:tabs>
          <w:tab w:pos="2664" w:val="left" w:leader="none"/>
        </w:tabs>
        <w:spacing w:line="266" w:lineRule="auto" w:before="98" w:after="0"/>
        <w:ind w:left="2664" w:right="257" w:hanging="504"/>
        <w:jc w:val="both"/>
        <w:rPr>
          <w:sz w:val="18"/>
        </w:rPr>
      </w:pPr>
      <w:r>
        <w:rPr>
          <w:color w:val="0B0B0B"/>
          <w:sz w:val="18"/>
        </w:rPr>
        <w:t>Calcular el IVA y trasladarlo a una empresa aseguradora que adquiera los efectos salvados, considerando como valor</w:t>
      </w:r>
      <w:r>
        <w:rPr>
          <w:color w:val="0B0B0B"/>
          <w:sz w:val="18"/>
        </w:rPr>
        <w:t> la cantidad a que se refiere la fracción anterior, expidiendo para tal caso un CFDI que señale como monto del IVA trasladado, el calculado conforme a esta fracción.</w:t>
      </w:r>
    </w:p>
    <w:p>
      <w:pPr>
        <w:pStyle w:val="ListParagraph"/>
        <w:numPr>
          <w:ilvl w:val="0"/>
          <w:numId w:val="54"/>
        </w:numPr>
        <w:tabs>
          <w:tab w:pos="2662" w:val="left" w:leader="none"/>
          <w:tab w:pos="2664" w:val="left" w:leader="none"/>
        </w:tabs>
        <w:spacing w:line="266" w:lineRule="auto" w:before="98" w:after="0"/>
        <w:ind w:left="2664" w:right="257" w:hanging="504"/>
        <w:jc w:val="both"/>
        <w:rPr>
          <w:sz w:val="18"/>
        </w:rPr>
      </w:pPr>
      <w:r>
        <w:rPr>
          <w:color w:val="0B0B0B"/>
          <w:sz w:val="18"/>
        </w:rPr>
        <w:t>Deducir o acreditar fiscalmente el IVA con base en los comprobantes fiscales a que se refieren las anteriores fracciones I y II.</w:t>
      </w:r>
    </w:p>
    <w:p>
      <w:pPr>
        <w:pStyle w:val="ListParagraph"/>
        <w:numPr>
          <w:ilvl w:val="0"/>
          <w:numId w:val="54"/>
        </w:numPr>
        <w:tabs>
          <w:tab w:pos="2664" w:val="left" w:leader="none"/>
        </w:tabs>
        <w:spacing w:line="266" w:lineRule="auto" w:before="100" w:after="0"/>
        <w:ind w:left="2664" w:right="259" w:hanging="504"/>
        <w:jc w:val="both"/>
        <w:rPr>
          <w:sz w:val="18"/>
        </w:rPr>
      </w:pPr>
      <w:r>
        <w:rPr>
          <w:color w:val="0B0B0B"/>
          <w:sz w:val="18"/>
        </w:rPr>
        <w:t>Considerar como costo de adquisición de los efectos salvados, para el artículo 27 del Reglamento de la Ley del IVA, la cantidad a que se refiere la citada fracción I.</w:t>
      </w:r>
    </w:p>
    <w:p>
      <w:pPr>
        <w:pStyle w:val="ListParagraph"/>
        <w:numPr>
          <w:ilvl w:val="0"/>
          <w:numId w:val="54"/>
        </w:numPr>
        <w:tabs>
          <w:tab w:pos="2661" w:val="left" w:leader="none"/>
          <w:tab w:pos="2664" w:val="left" w:leader="none"/>
        </w:tabs>
        <w:spacing w:line="266" w:lineRule="auto" w:before="98" w:after="0"/>
        <w:ind w:left="2664" w:right="259" w:hanging="505"/>
        <w:jc w:val="both"/>
        <w:rPr>
          <w:sz w:val="18"/>
        </w:rPr>
      </w:pPr>
      <w:r>
        <w:rPr>
          <w:color w:val="0B0B0B"/>
          <w:sz w:val="18"/>
        </w:rPr>
        <w:t>Asesorar, aconsejar, prestar servicios o participar en la realización o la implementación de cualquiera de las prácticas anteriores.</w:t>
      </w:r>
    </w:p>
    <w:p>
      <w:pPr>
        <w:pStyle w:val="BodyText"/>
        <w:spacing w:before="5"/>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921"/>
      </w:tblGrid>
      <w:tr>
        <w:trPr>
          <w:trHeight w:val="330" w:hRule="atLeast"/>
        </w:trPr>
        <w:tc>
          <w:tcPr>
            <w:tcW w:w="2974" w:type="dxa"/>
            <w:shd w:val="clear" w:color="auto" w:fill="BDBDBD"/>
          </w:tcPr>
          <w:p>
            <w:pPr>
              <w:pStyle w:val="TableParagraph"/>
              <w:spacing w:before="34"/>
              <w:ind w:left="12"/>
              <w:jc w:val="center"/>
              <w:rPr>
                <w:rFonts w:ascii="Arial"/>
                <w:b/>
                <w:sz w:val="16"/>
              </w:rPr>
            </w:pPr>
            <w:r>
              <w:rPr>
                <w:rFonts w:ascii="Arial"/>
                <w:b/>
                <w:color w:val="0B0B0B"/>
                <w:spacing w:val="-2"/>
                <w:sz w:val="16"/>
              </w:rPr>
              <w:t>Origen</w:t>
            </w:r>
          </w:p>
        </w:tc>
        <w:tc>
          <w:tcPr>
            <w:tcW w:w="3921" w:type="dxa"/>
            <w:shd w:val="clear" w:color="auto" w:fill="BDBDBD"/>
          </w:tcPr>
          <w:p>
            <w:pPr>
              <w:pStyle w:val="TableParagraph"/>
              <w:spacing w:before="34"/>
              <w:ind w:left="121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2" w:hRule="atLeast"/>
        </w:trPr>
        <w:tc>
          <w:tcPr>
            <w:tcW w:w="2974" w:type="dxa"/>
            <w:tcBorders>
              <w:bottom w:val="nil"/>
            </w:tcBorders>
          </w:tcPr>
          <w:p>
            <w:pPr>
              <w:pStyle w:val="TableParagraph"/>
              <w:spacing w:before="32"/>
              <w:rPr>
                <w:sz w:val="16"/>
              </w:rPr>
            </w:pPr>
            <w:r>
              <w:rPr>
                <w:color w:val="0B0B0B"/>
                <w:sz w:val="16"/>
              </w:rPr>
              <w:t>Segunda</w:t>
            </w:r>
            <w:r>
              <w:rPr>
                <w:color w:val="0B0B0B"/>
                <w:spacing w:val="3"/>
                <w:sz w:val="16"/>
              </w:rPr>
              <w:t> </w:t>
            </w:r>
            <w:r>
              <w:rPr>
                <w:color w:val="0B0B0B"/>
                <w:sz w:val="16"/>
              </w:rPr>
              <w:t>Resolución</w:t>
            </w:r>
            <w:r>
              <w:rPr>
                <w:color w:val="0B0B0B"/>
                <w:spacing w:val="4"/>
                <w:sz w:val="16"/>
              </w:rPr>
              <w:t> </w:t>
            </w:r>
            <w:r>
              <w:rPr>
                <w:color w:val="0B0B0B"/>
                <w:sz w:val="16"/>
              </w:rPr>
              <w:t>de</w:t>
            </w:r>
            <w:r>
              <w:rPr>
                <w:color w:val="0B0B0B"/>
                <w:spacing w:val="4"/>
                <w:sz w:val="16"/>
              </w:rPr>
              <w:t> </w:t>
            </w:r>
            <w:r>
              <w:rPr>
                <w:color w:val="0B0B0B"/>
                <w:spacing w:val="-2"/>
                <w:sz w:val="16"/>
              </w:rPr>
              <w:t>Modificaciones</w:t>
            </w:r>
          </w:p>
        </w:tc>
        <w:tc>
          <w:tcPr>
            <w:tcW w:w="3921" w:type="dxa"/>
            <w:tcBorders>
              <w:bottom w:val="nil"/>
            </w:tcBorders>
          </w:tcPr>
          <w:p>
            <w:pPr>
              <w:pStyle w:val="TableParagraph"/>
              <w:spacing w:before="32"/>
              <w:rPr>
                <w:sz w:val="16"/>
              </w:rPr>
            </w:pPr>
            <w:r>
              <w:rPr>
                <w:color w:val="0B0B0B"/>
                <w:sz w:val="16"/>
              </w:rPr>
              <w:t>Publicada</w:t>
            </w:r>
            <w:r>
              <w:rPr>
                <w:color w:val="0B0B0B"/>
                <w:spacing w:val="27"/>
                <w:sz w:val="16"/>
              </w:rPr>
              <w:t> </w:t>
            </w:r>
            <w:r>
              <w:rPr>
                <w:color w:val="0B0B0B"/>
                <w:sz w:val="16"/>
              </w:rPr>
              <w:t>en</w:t>
            </w:r>
            <w:r>
              <w:rPr>
                <w:color w:val="0B0B0B"/>
                <w:spacing w:val="27"/>
                <w:sz w:val="16"/>
              </w:rPr>
              <w:t> </w:t>
            </w:r>
            <w:r>
              <w:rPr>
                <w:color w:val="0B0B0B"/>
                <w:sz w:val="16"/>
              </w:rPr>
              <w:t>el</w:t>
            </w:r>
            <w:r>
              <w:rPr>
                <w:color w:val="0B0B0B"/>
                <w:spacing w:val="27"/>
                <w:sz w:val="16"/>
              </w:rPr>
              <w:t> </w:t>
            </w:r>
            <w:r>
              <w:rPr>
                <w:color w:val="0B0B0B"/>
                <w:sz w:val="16"/>
              </w:rPr>
              <w:t>DOF</w:t>
            </w:r>
            <w:r>
              <w:rPr>
                <w:color w:val="0B0B0B"/>
                <w:spacing w:val="29"/>
                <w:sz w:val="16"/>
              </w:rPr>
              <w:t> </w:t>
            </w:r>
            <w:r>
              <w:rPr>
                <w:color w:val="0B0B0B"/>
                <w:sz w:val="16"/>
              </w:rPr>
              <w:t>el</w:t>
            </w:r>
            <w:r>
              <w:rPr>
                <w:color w:val="0B0B0B"/>
                <w:spacing w:val="27"/>
                <w:sz w:val="16"/>
              </w:rPr>
              <w:t> </w:t>
            </w:r>
            <w:r>
              <w:rPr>
                <w:color w:val="0B0B0B"/>
                <w:sz w:val="16"/>
              </w:rPr>
              <w:t>21</w:t>
            </w:r>
            <w:r>
              <w:rPr>
                <w:color w:val="0B0B0B"/>
                <w:spacing w:val="27"/>
                <w:sz w:val="16"/>
              </w:rPr>
              <w:t> </w:t>
            </w:r>
            <w:r>
              <w:rPr>
                <w:color w:val="0B0B0B"/>
                <w:sz w:val="16"/>
              </w:rPr>
              <w:t>de</w:t>
            </w:r>
            <w:r>
              <w:rPr>
                <w:color w:val="0B0B0B"/>
                <w:spacing w:val="29"/>
                <w:sz w:val="16"/>
              </w:rPr>
              <w:t> </w:t>
            </w:r>
            <w:r>
              <w:rPr>
                <w:color w:val="0B0B0B"/>
                <w:sz w:val="16"/>
              </w:rPr>
              <w:t>diciembre</w:t>
            </w:r>
            <w:r>
              <w:rPr>
                <w:color w:val="0B0B0B"/>
                <w:spacing w:val="27"/>
                <w:sz w:val="16"/>
              </w:rPr>
              <w:t> </w:t>
            </w:r>
            <w:r>
              <w:rPr>
                <w:color w:val="0B0B0B"/>
                <w:sz w:val="16"/>
              </w:rPr>
              <w:t>de</w:t>
            </w:r>
            <w:r>
              <w:rPr>
                <w:color w:val="0B0B0B"/>
                <w:spacing w:val="27"/>
                <w:sz w:val="16"/>
              </w:rPr>
              <w:t> </w:t>
            </w:r>
            <w:r>
              <w:rPr>
                <w:color w:val="0B0B0B"/>
                <w:spacing w:val="-2"/>
                <w:sz w:val="16"/>
              </w:rPr>
              <w:t>2009,</w:t>
            </w:r>
          </w:p>
        </w:tc>
      </w:tr>
      <w:tr>
        <w:trPr>
          <w:trHeight w:val="229" w:hRule="atLeast"/>
        </w:trPr>
        <w:tc>
          <w:tcPr>
            <w:tcW w:w="2974" w:type="dxa"/>
            <w:tcBorders>
              <w:top w:val="nil"/>
              <w:bottom w:val="nil"/>
            </w:tcBorders>
          </w:tcPr>
          <w:p>
            <w:pPr>
              <w:pStyle w:val="TableParagraph"/>
              <w:spacing w:before="20"/>
              <w:rPr>
                <w:sz w:val="16"/>
              </w:rPr>
            </w:pPr>
            <w:r>
              <w:rPr>
                <w:color w:val="0B0B0B"/>
                <w:sz w:val="16"/>
              </w:rPr>
              <w:t>de</w:t>
            </w:r>
            <w:r>
              <w:rPr>
                <w:color w:val="0B0B0B"/>
                <w:spacing w:val="-3"/>
                <w:sz w:val="16"/>
              </w:rPr>
              <w:t> </w:t>
            </w:r>
            <w:r>
              <w:rPr>
                <w:color w:val="0B0B0B"/>
                <w:sz w:val="16"/>
              </w:rPr>
              <w:t>la</w:t>
            </w:r>
            <w:r>
              <w:rPr>
                <w:color w:val="0B0B0B"/>
                <w:spacing w:val="-2"/>
                <w:sz w:val="16"/>
              </w:rPr>
              <w:t> </w:t>
            </w:r>
            <w:r>
              <w:rPr>
                <w:color w:val="0B0B0B"/>
                <w:sz w:val="16"/>
              </w:rPr>
              <w:t>RMF</w:t>
            </w:r>
            <w:r>
              <w:rPr>
                <w:color w:val="0B0B0B"/>
                <w:spacing w:val="-2"/>
                <w:sz w:val="16"/>
              </w:rPr>
              <w:t> </w:t>
            </w:r>
            <w:r>
              <w:rPr>
                <w:color w:val="0B0B0B"/>
                <w:sz w:val="16"/>
              </w:rPr>
              <w:t>para</w:t>
            </w:r>
            <w:r>
              <w:rPr>
                <w:color w:val="0B0B0B"/>
                <w:spacing w:val="-1"/>
                <w:sz w:val="16"/>
              </w:rPr>
              <w:t> </w:t>
            </w:r>
            <w:r>
              <w:rPr>
                <w:color w:val="0B0B0B"/>
                <w:spacing w:val="-4"/>
                <w:sz w:val="16"/>
              </w:rPr>
              <w:t>2009</w:t>
            </w:r>
          </w:p>
        </w:tc>
        <w:tc>
          <w:tcPr>
            <w:tcW w:w="3921" w:type="dxa"/>
            <w:tcBorders>
              <w:top w:val="nil"/>
              <w:bottom w:val="nil"/>
            </w:tcBorders>
          </w:tcPr>
          <w:p>
            <w:pPr>
              <w:pStyle w:val="TableParagraph"/>
              <w:spacing w:before="19"/>
              <w:rPr>
                <w:sz w:val="16"/>
              </w:rPr>
            </w:pPr>
            <w:r>
              <w:rPr>
                <w:color w:val="0B0B0B"/>
                <w:sz w:val="16"/>
              </w:rPr>
              <w:t>Anexo</w:t>
            </w:r>
            <w:r>
              <w:rPr>
                <w:color w:val="0B0B0B"/>
                <w:spacing w:val="58"/>
                <w:w w:val="150"/>
                <w:sz w:val="16"/>
              </w:rPr>
              <w:t> </w:t>
            </w:r>
            <w:r>
              <w:rPr>
                <w:color w:val="0B0B0B"/>
                <w:sz w:val="16"/>
              </w:rPr>
              <w:t>3,</w:t>
            </w:r>
            <w:r>
              <w:rPr>
                <w:color w:val="0B0B0B"/>
                <w:spacing w:val="59"/>
                <w:w w:val="150"/>
                <w:sz w:val="16"/>
              </w:rPr>
              <w:t> </w:t>
            </w:r>
            <w:r>
              <w:rPr>
                <w:color w:val="0B0B0B"/>
                <w:sz w:val="16"/>
              </w:rPr>
              <w:t>publicado</w:t>
            </w:r>
            <w:r>
              <w:rPr>
                <w:color w:val="0B0B0B"/>
                <w:spacing w:val="58"/>
                <w:w w:val="150"/>
                <w:sz w:val="16"/>
              </w:rPr>
              <w:t> </w:t>
            </w:r>
            <w:r>
              <w:rPr>
                <w:color w:val="0B0B0B"/>
                <w:sz w:val="16"/>
              </w:rPr>
              <w:t>en</w:t>
            </w:r>
            <w:r>
              <w:rPr>
                <w:color w:val="0B0B0B"/>
                <w:spacing w:val="59"/>
                <w:w w:val="150"/>
                <w:sz w:val="16"/>
              </w:rPr>
              <w:t> </w:t>
            </w:r>
            <w:r>
              <w:rPr>
                <w:color w:val="0B0B0B"/>
                <w:sz w:val="16"/>
              </w:rPr>
              <w:t>la</w:t>
            </w:r>
            <w:r>
              <w:rPr>
                <w:color w:val="0B0B0B"/>
                <w:spacing w:val="59"/>
                <w:w w:val="150"/>
                <w:sz w:val="16"/>
              </w:rPr>
              <w:t> </w:t>
            </w:r>
            <w:r>
              <w:rPr>
                <w:color w:val="0B0B0B"/>
                <w:sz w:val="16"/>
              </w:rPr>
              <w:t>misma</w:t>
            </w:r>
            <w:r>
              <w:rPr>
                <w:color w:val="0B0B0B"/>
                <w:spacing w:val="58"/>
                <w:w w:val="150"/>
                <w:sz w:val="16"/>
              </w:rPr>
              <w:t> </w:t>
            </w:r>
            <w:r>
              <w:rPr>
                <w:color w:val="0B0B0B"/>
                <w:sz w:val="16"/>
              </w:rPr>
              <w:t>fecha</w:t>
            </w:r>
            <w:r>
              <w:rPr>
                <w:color w:val="0B0B0B"/>
                <w:spacing w:val="59"/>
                <w:w w:val="150"/>
                <w:sz w:val="16"/>
              </w:rPr>
              <w:t> </w:t>
            </w:r>
            <w:r>
              <w:rPr>
                <w:color w:val="0B0B0B"/>
                <w:sz w:val="16"/>
              </w:rPr>
              <w:t>de</w:t>
            </w:r>
            <w:r>
              <w:rPr>
                <w:color w:val="0B0B0B"/>
                <w:spacing w:val="59"/>
                <w:w w:val="150"/>
                <w:sz w:val="16"/>
              </w:rPr>
              <w:t> </w:t>
            </w:r>
            <w:r>
              <w:rPr>
                <w:color w:val="0B0B0B"/>
                <w:spacing w:val="-5"/>
                <w:sz w:val="16"/>
              </w:rPr>
              <w:t>la</w:t>
            </w:r>
          </w:p>
        </w:tc>
      </w:tr>
      <w:tr>
        <w:trPr>
          <w:trHeight w:val="229" w:hRule="atLeast"/>
        </w:trPr>
        <w:tc>
          <w:tcPr>
            <w:tcW w:w="2974" w:type="dxa"/>
            <w:tcBorders>
              <w:top w:val="nil"/>
              <w:bottom w:val="nil"/>
            </w:tcBorders>
          </w:tcPr>
          <w:p>
            <w:pPr>
              <w:pStyle w:val="TableParagraph"/>
              <w:spacing w:before="0"/>
              <w:ind w:left="0"/>
              <w:rPr>
                <w:rFonts w:ascii="Times New Roman"/>
                <w:sz w:val="16"/>
              </w:rPr>
            </w:pPr>
          </w:p>
        </w:tc>
        <w:tc>
          <w:tcPr>
            <w:tcW w:w="3921" w:type="dxa"/>
            <w:tcBorders>
              <w:top w:val="nil"/>
              <w:bottom w:val="nil"/>
            </w:tcBorders>
          </w:tcPr>
          <w:p>
            <w:pPr>
              <w:pStyle w:val="TableParagraph"/>
              <w:spacing w:before="18"/>
              <w:rPr>
                <w:sz w:val="16"/>
              </w:rPr>
            </w:pPr>
            <w:r>
              <w:rPr>
                <w:color w:val="0B0B0B"/>
                <w:sz w:val="16"/>
              </w:rPr>
              <w:t>Modificación,</w:t>
            </w:r>
            <w:r>
              <w:rPr>
                <w:color w:val="0B0B0B"/>
                <w:spacing w:val="25"/>
                <w:sz w:val="16"/>
              </w:rPr>
              <w:t> </w:t>
            </w:r>
            <w:r>
              <w:rPr>
                <w:color w:val="0B0B0B"/>
                <w:sz w:val="16"/>
              </w:rPr>
              <w:t>con</w:t>
            </w:r>
            <w:r>
              <w:rPr>
                <w:color w:val="0B0B0B"/>
                <w:spacing w:val="28"/>
                <w:sz w:val="16"/>
              </w:rPr>
              <w:t> </w:t>
            </w:r>
            <w:r>
              <w:rPr>
                <w:color w:val="0B0B0B"/>
                <w:sz w:val="16"/>
              </w:rPr>
              <w:t>número</w:t>
            </w:r>
            <w:r>
              <w:rPr>
                <w:color w:val="0B0B0B"/>
                <w:spacing w:val="28"/>
                <w:sz w:val="16"/>
              </w:rPr>
              <w:t> </w:t>
            </w:r>
            <w:r>
              <w:rPr>
                <w:color w:val="0B0B0B"/>
                <w:sz w:val="16"/>
              </w:rPr>
              <w:t>de</w:t>
            </w:r>
            <w:r>
              <w:rPr>
                <w:color w:val="0B0B0B"/>
                <w:spacing w:val="27"/>
                <w:sz w:val="16"/>
              </w:rPr>
              <w:t> </w:t>
            </w:r>
            <w:r>
              <w:rPr>
                <w:color w:val="0B0B0B"/>
                <w:sz w:val="16"/>
              </w:rPr>
              <w:t>criterio</w:t>
            </w:r>
            <w:r>
              <w:rPr>
                <w:color w:val="0B0B0B"/>
                <w:spacing w:val="28"/>
                <w:sz w:val="16"/>
              </w:rPr>
              <w:t> </w:t>
            </w:r>
            <w:r>
              <w:rPr>
                <w:color w:val="0B0B0B"/>
                <w:sz w:val="16"/>
              </w:rPr>
              <w:t>no</w:t>
            </w:r>
            <w:r>
              <w:rPr>
                <w:color w:val="0B0B0B"/>
                <w:spacing w:val="28"/>
                <w:sz w:val="16"/>
              </w:rPr>
              <w:t> </w:t>
            </w:r>
            <w:r>
              <w:rPr>
                <w:color w:val="0B0B0B"/>
                <w:spacing w:val="-2"/>
                <w:sz w:val="16"/>
              </w:rPr>
              <w:t>vinculativo</w:t>
            </w:r>
          </w:p>
        </w:tc>
      </w:tr>
      <w:tr>
        <w:trPr>
          <w:trHeight w:val="314" w:hRule="atLeast"/>
        </w:trPr>
        <w:tc>
          <w:tcPr>
            <w:tcW w:w="2974" w:type="dxa"/>
            <w:tcBorders>
              <w:top w:val="nil"/>
            </w:tcBorders>
          </w:tcPr>
          <w:p>
            <w:pPr>
              <w:pStyle w:val="TableParagraph"/>
              <w:spacing w:before="0"/>
              <w:ind w:left="0"/>
              <w:rPr>
                <w:rFonts w:ascii="Times New Roman"/>
                <w:sz w:val="16"/>
              </w:rPr>
            </w:pPr>
          </w:p>
        </w:tc>
        <w:tc>
          <w:tcPr>
            <w:tcW w:w="3921" w:type="dxa"/>
            <w:tcBorders>
              <w:top w:val="nil"/>
            </w:tcBorders>
          </w:tcPr>
          <w:p>
            <w:pPr>
              <w:pStyle w:val="TableParagraph"/>
              <w:spacing w:before="19"/>
              <w:rPr>
                <w:sz w:val="16"/>
              </w:rPr>
            </w:pPr>
            <w:r>
              <w:rPr>
                <w:color w:val="0B0B0B"/>
                <w:spacing w:val="-2"/>
                <w:sz w:val="16"/>
              </w:rPr>
              <w:t>4/IVA.</w:t>
            </w:r>
          </w:p>
        </w:tc>
      </w:tr>
    </w:tbl>
    <w:p>
      <w:pPr>
        <w:pStyle w:val="BodyText"/>
        <w:spacing w:before="139"/>
        <w:ind w:left="0"/>
        <w:jc w:val="left"/>
      </w:pPr>
    </w:p>
    <w:p>
      <w:pPr>
        <w:pStyle w:val="Heading1"/>
        <w:tabs>
          <w:tab w:pos="2144" w:val="left" w:leader="none"/>
        </w:tabs>
        <w:spacing w:line="266" w:lineRule="auto"/>
        <w:ind w:right="259" w:hanging="1009"/>
      </w:pPr>
      <w:r>
        <w:rPr>
          <w:color w:val="0B0B0B"/>
          <w:spacing w:val="-2"/>
        </w:rPr>
        <w:t>6/IVA/PI</w:t>
      </w:r>
      <w:r>
        <w:rPr>
          <w:color w:val="0B0B0B"/>
        </w:rPr>
        <w:tab/>
        <w:t>Retención</w:t>
      </w:r>
      <w:r>
        <w:rPr>
          <w:color w:val="0B0B0B"/>
          <w:spacing w:val="31"/>
        </w:rPr>
        <w:t> </w:t>
      </w:r>
      <w:r>
        <w:rPr>
          <w:color w:val="0B0B0B"/>
        </w:rPr>
        <w:t>a</w:t>
      </w:r>
      <w:r>
        <w:rPr>
          <w:color w:val="0B0B0B"/>
          <w:spacing w:val="31"/>
        </w:rPr>
        <w:t> </w:t>
      </w:r>
      <w:r>
        <w:rPr>
          <w:color w:val="0B0B0B"/>
        </w:rPr>
        <w:t>residentes</w:t>
      </w:r>
      <w:r>
        <w:rPr>
          <w:color w:val="0B0B0B"/>
          <w:spacing w:val="31"/>
        </w:rPr>
        <w:t> </w:t>
      </w:r>
      <w:r>
        <w:rPr>
          <w:color w:val="0B0B0B"/>
        </w:rPr>
        <w:t>en</w:t>
      </w:r>
      <w:r>
        <w:rPr>
          <w:color w:val="0B0B0B"/>
          <w:spacing w:val="30"/>
        </w:rPr>
        <w:t> </w:t>
      </w:r>
      <w:r>
        <w:rPr>
          <w:color w:val="0B0B0B"/>
        </w:rPr>
        <w:t>el</w:t>
      </w:r>
      <w:r>
        <w:rPr>
          <w:color w:val="0B0B0B"/>
          <w:spacing w:val="30"/>
        </w:rPr>
        <w:t> </w:t>
      </w:r>
      <w:r>
        <w:rPr>
          <w:color w:val="0B0B0B"/>
        </w:rPr>
        <w:t>extranjero</w:t>
      </w:r>
      <w:r>
        <w:rPr>
          <w:color w:val="0B0B0B"/>
          <w:spacing w:val="32"/>
        </w:rPr>
        <w:t> </w:t>
      </w:r>
      <w:r>
        <w:rPr>
          <w:color w:val="0B0B0B"/>
        </w:rPr>
        <w:t>sin</w:t>
      </w:r>
      <w:r>
        <w:rPr>
          <w:color w:val="0B0B0B"/>
          <w:spacing w:val="31"/>
        </w:rPr>
        <w:t> </w:t>
      </w:r>
      <w:r>
        <w:rPr>
          <w:color w:val="0B0B0B"/>
        </w:rPr>
        <w:t>establecimiento</w:t>
      </w:r>
      <w:r>
        <w:rPr>
          <w:color w:val="0B0B0B"/>
          <w:spacing w:val="32"/>
        </w:rPr>
        <w:t> </w:t>
      </w:r>
      <w:r>
        <w:rPr>
          <w:color w:val="0B0B0B"/>
        </w:rPr>
        <w:t>permanente</w:t>
      </w:r>
      <w:r>
        <w:rPr>
          <w:color w:val="0B0B0B"/>
          <w:spacing w:val="31"/>
        </w:rPr>
        <w:t> </w:t>
      </w:r>
      <w:r>
        <w:rPr>
          <w:color w:val="0B0B0B"/>
        </w:rPr>
        <w:t>en</w:t>
      </w:r>
      <w:r>
        <w:rPr>
          <w:color w:val="0B0B0B"/>
          <w:spacing w:val="31"/>
        </w:rPr>
        <w:t> </w:t>
      </w:r>
      <w:r>
        <w:rPr>
          <w:color w:val="0B0B0B"/>
        </w:rPr>
        <w:t>el </w:t>
      </w:r>
      <w:r>
        <w:rPr>
          <w:color w:val="0B0B0B"/>
          <w:spacing w:val="-2"/>
        </w:rPr>
        <w:t>país.</w:t>
      </w:r>
    </w:p>
    <w:p>
      <w:pPr>
        <w:pStyle w:val="BodyText"/>
        <w:spacing w:line="266" w:lineRule="auto" w:before="100"/>
        <w:ind w:right="256"/>
      </w:pPr>
      <w:r>
        <w:rPr>
          <w:color w:val="0B0B0B"/>
        </w:rPr>
        <w:t>El</w:t>
      </w:r>
      <w:r>
        <w:rPr>
          <w:color w:val="0B0B0B"/>
          <w:spacing w:val="-3"/>
        </w:rPr>
        <w:t> </w:t>
      </w:r>
      <w:r>
        <w:rPr>
          <w:color w:val="0B0B0B"/>
        </w:rPr>
        <w:t>artículo</w:t>
      </w:r>
      <w:r>
        <w:rPr>
          <w:color w:val="0B0B0B"/>
          <w:spacing w:val="-3"/>
        </w:rPr>
        <w:t> </w:t>
      </w:r>
      <w:r>
        <w:rPr>
          <w:color w:val="0B0B0B"/>
        </w:rPr>
        <w:t>1o.-A,</w:t>
      </w:r>
      <w:r>
        <w:rPr>
          <w:color w:val="0B0B0B"/>
          <w:spacing w:val="-3"/>
        </w:rPr>
        <w:t> </w:t>
      </w:r>
      <w:r>
        <w:rPr>
          <w:color w:val="0B0B0B"/>
        </w:rPr>
        <w:t>fracción</w:t>
      </w:r>
      <w:r>
        <w:rPr>
          <w:color w:val="0B0B0B"/>
          <w:spacing w:val="-3"/>
        </w:rPr>
        <w:t> </w:t>
      </w:r>
      <w:r>
        <w:rPr>
          <w:color w:val="0B0B0B"/>
        </w:rPr>
        <w:t>III</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Ley</w:t>
      </w:r>
      <w:r>
        <w:rPr>
          <w:color w:val="0B0B0B"/>
          <w:spacing w:val="-4"/>
        </w:rPr>
        <w:t> </w:t>
      </w:r>
      <w:r>
        <w:rPr>
          <w:color w:val="0B0B0B"/>
        </w:rPr>
        <w:t>del</w:t>
      </w:r>
      <w:r>
        <w:rPr>
          <w:color w:val="0B0B0B"/>
          <w:spacing w:val="-3"/>
        </w:rPr>
        <w:t> </w:t>
      </w:r>
      <w:r>
        <w:rPr>
          <w:color w:val="0B0B0B"/>
        </w:rPr>
        <w:t>IVA</w:t>
      </w:r>
      <w:r>
        <w:rPr>
          <w:color w:val="0B0B0B"/>
          <w:spacing w:val="-3"/>
        </w:rPr>
        <w:t> </w:t>
      </w:r>
      <w:r>
        <w:rPr>
          <w:color w:val="0B0B0B"/>
        </w:rPr>
        <w:t>establece</w:t>
      </w:r>
      <w:r>
        <w:rPr>
          <w:color w:val="0B0B0B"/>
          <w:spacing w:val="-3"/>
        </w:rPr>
        <w:t> </w:t>
      </w:r>
      <w:r>
        <w:rPr>
          <w:color w:val="0B0B0B"/>
        </w:rPr>
        <w:t>que</w:t>
      </w:r>
      <w:r>
        <w:rPr>
          <w:color w:val="0B0B0B"/>
          <w:spacing w:val="-3"/>
        </w:rPr>
        <w:t> </w:t>
      </w:r>
      <w:r>
        <w:rPr>
          <w:color w:val="0B0B0B"/>
        </w:rPr>
        <w:t>están</w:t>
      </w:r>
      <w:r>
        <w:rPr>
          <w:color w:val="0B0B0B"/>
          <w:spacing w:val="-3"/>
        </w:rPr>
        <w:t> </w:t>
      </w:r>
      <w:r>
        <w:rPr>
          <w:color w:val="0B0B0B"/>
        </w:rPr>
        <w:t>obligados</w:t>
      </w:r>
      <w:r>
        <w:rPr>
          <w:color w:val="0B0B0B"/>
          <w:spacing w:val="-3"/>
        </w:rPr>
        <w:t> </w:t>
      </w:r>
      <w:r>
        <w:rPr>
          <w:color w:val="0B0B0B"/>
        </w:rPr>
        <w:t>a</w:t>
      </w:r>
      <w:r>
        <w:rPr>
          <w:color w:val="0B0B0B"/>
          <w:spacing w:val="-3"/>
        </w:rPr>
        <w:t> </w:t>
      </w:r>
      <w:r>
        <w:rPr>
          <w:color w:val="0B0B0B"/>
        </w:rPr>
        <w:t>efectuar la retención del impuesto que se les traslade, las personas físicas o morales que adquieran bienes tangibles, o los usen o gocen temporalmente, que enajenen u otorguen residentes en el extranjero sin establecimiento permanente en el país.</w:t>
      </w:r>
    </w:p>
    <w:p>
      <w:pPr>
        <w:pStyle w:val="BodyText"/>
        <w:spacing w:line="266" w:lineRule="auto" w:before="99"/>
        <w:ind w:right="257"/>
      </w:pPr>
      <w:r>
        <w:rPr>
          <w:color w:val="0B0B0B"/>
        </w:rPr>
        <w:t>Por otra parte, el artículo 3o., último párrafo de la Ley del IVA establece que se consideran residentes en territorio nacional, además de los señalados en el CFF, las personas físicas o morales residentes</w:t>
      </w:r>
      <w:r>
        <w:rPr>
          <w:color w:val="0B0B0B"/>
        </w:rPr>
        <w:t> en el extranjero que tengan uno o varios establecimientos en el país, por todos los actos o actividades que en los mismos </w:t>
      </w:r>
      <w:r>
        <w:rPr>
          <w:color w:val="0B0B0B"/>
          <w:spacing w:val="-2"/>
        </w:rPr>
        <w:t>realicen.</w:t>
      </w:r>
    </w:p>
    <w:p>
      <w:pPr>
        <w:pStyle w:val="BodyText"/>
        <w:spacing w:line="266" w:lineRule="auto" w:before="96"/>
        <w:ind w:right="257"/>
      </w:pPr>
      <w:r>
        <w:rPr>
          <w:color w:val="0B0B0B"/>
        </w:rPr>
        <w:t>No obstante lo anterior, para determinar si la enajenación o el otorgamiento del uso o goce temporal de bienes tangibles es realizada por residentes en el extranjero sin establecimiento permanente en el país, es necesario atender al concepto de establecimiento permanente previsto en la Ley del ISR y, en su caso, a los tratados para evitar la doble tributación que México tenga en vigor.</w:t>
      </w:r>
    </w:p>
    <w:p>
      <w:pPr>
        <w:pStyle w:val="BodyText"/>
        <w:spacing w:before="98"/>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5"/>
        </w:numPr>
        <w:tabs>
          <w:tab w:pos="2664" w:val="left" w:leader="none"/>
        </w:tabs>
        <w:spacing w:line="266" w:lineRule="auto" w:before="122" w:after="0"/>
        <w:ind w:left="2664" w:right="257" w:hanging="504"/>
        <w:jc w:val="both"/>
        <w:rPr>
          <w:sz w:val="18"/>
        </w:rPr>
      </w:pPr>
      <w:r>
        <w:rPr>
          <w:color w:val="0B0B0B"/>
          <w:sz w:val="18"/>
        </w:rPr>
        <w:t>Las personas físicas o morales que adquieran bienes tangibles, o los usen o gocen temporalmente, que enajenen u otorguen residentes en el extranjero sin establecimiento permanente en el país y no les efectúen la retención a que se refiere</w:t>
      </w:r>
      <w:r>
        <w:rPr>
          <w:color w:val="0B0B0B"/>
          <w:spacing w:val="-3"/>
          <w:sz w:val="18"/>
        </w:rPr>
        <w:t> </w:t>
      </w:r>
      <w:r>
        <w:rPr>
          <w:color w:val="0B0B0B"/>
          <w:sz w:val="18"/>
        </w:rPr>
        <w:t>el</w:t>
      </w:r>
      <w:r>
        <w:rPr>
          <w:color w:val="0B0B0B"/>
          <w:spacing w:val="-3"/>
          <w:sz w:val="18"/>
        </w:rPr>
        <w:t> </w:t>
      </w:r>
      <w:r>
        <w:rPr>
          <w:color w:val="0B0B0B"/>
          <w:sz w:val="18"/>
        </w:rPr>
        <w:t>artículo</w:t>
      </w:r>
      <w:r>
        <w:rPr>
          <w:color w:val="0B0B0B"/>
          <w:spacing w:val="-2"/>
          <w:sz w:val="18"/>
        </w:rPr>
        <w:t> </w:t>
      </w:r>
      <w:r>
        <w:rPr>
          <w:color w:val="0B0B0B"/>
          <w:sz w:val="18"/>
        </w:rPr>
        <w:t>1o.-A,</w:t>
      </w:r>
      <w:r>
        <w:rPr>
          <w:color w:val="0B0B0B"/>
          <w:spacing w:val="-3"/>
          <w:sz w:val="18"/>
        </w:rPr>
        <w:t> </w:t>
      </w:r>
      <w:r>
        <w:rPr>
          <w:color w:val="0B0B0B"/>
          <w:sz w:val="18"/>
        </w:rPr>
        <w:t>fracción</w:t>
      </w:r>
      <w:r>
        <w:rPr>
          <w:color w:val="0B0B0B"/>
          <w:spacing w:val="-3"/>
          <w:sz w:val="18"/>
        </w:rPr>
        <w:t> </w:t>
      </w:r>
      <w:r>
        <w:rPr>
          <w:color w:val="0B0B0B"/>
          <w:sz w:val="18"/>
        </w:rPr>
        <w:t>III</w:t>
      </w:r>
      <w:r>
        <w:rPr>
          <w:color w:val="0B0B0B"/>
          <w:spacing w:val="-3"/>
          <w:sz w:val="18"/>
        </w:rPr>
        <w:t> </w:t>
      </w:r>
      <w:r>
        <w:rPr>
          <w:color w:val="0B0B0B"/>
          <w:sz w:val="18"/>
        </w:rPr>
        <w:t>de</w:t>
      </w:r>
      <w:r>
        <w:rPr>
          <w:color w:val="0B0B0B"/>
          <w:spacing w:val="-2"/>
          <w:sz w:val="18"/>
        </w:rPr>
        <w:t> </w:t>
      </w:r>
      <w:r>
        <w:rPr>
          <w:color w:val="0B0B0B"/>
          <w:sz w:val="18"/>
        </w:rPr>
        <w:t>la</w:t>
      </w:r>
      <w:r>
        <w:rPr>
          <w:color w:val="0B0B0B"/>
          <w:spacing w:val="-3"/>
          <w:sz w:val="18"/>
        </w:rPr>
        <w:t> </w:t>
      </w:r>
      <w:r>
        <w:rPr>
          <w:color w:val="0B0B0B"/>
          <w:sz w:val="18"/>
        </w:rPr>
        <w:t>Ley</w:t>
      </w:r>
      <w:r>
        <w:rPr>
          <w:color w:val="0B0B0B"/>
          <w:spacing w:val="-3"/>
          <w:sz w:val="18"/>
        </w:rPr>
        <w:t> </w:t>
      </w:r>
      <w:r>
        <w:rPr>
          <w:color w:val="0B0B0B"/>
          <w:sz w:val="18"/>
        </w:rPr>
        <w:t>del</w:t>
      </w:r>
      <w:r>
        <w:rPr>
          <w:color w:val="0B0B0B"/>
          <w:spacing w:val="-3"/>
          <w:sz w:val="18"/>
        </w:rPr>
        <w:t> </w:t>
      </w:r>
      <w:r>
        <w:rPr>
          <w:color w:val="0B0B0B"/>
          <w:sz w:val="18"/>
        </w:rPr>
        <w:t>IVA,</w:t>
      </w:r>
      <w:r>
        <w:rPr>
          <w:color w:val="0B0B0B"/>
          <w:spacing w:val="-2"/>
          <w:sz w:val="18"/>
        </w:rPr>
        <w:t> </w:t>
      </w:r>
      <w:r>
        <w:rPr>
          <w:color w:val="0B0B0B"/>
          <w:sz w:val="18"/>
        </w:rPr>
        <w:t>por</w:t>
      </w:r>
      <w:r>
        <w:rPr>
          <w:color w:val="0B0B0B"/>
          <w:spacing w:val="-3"/>
          <w:sz w:val="18"/>
        </w:rPr>
        <w:t> </w:t>
      </w:r>
      <w:r>
        <w:rPr>
          <w:color w:val="0B0B0B"/>
          <w:sz w:val="18"/>
        </w:rPr>
        <w:t>considerar,</w:t>
      </w:r>
      <w:r>
        <w:rPr>
          <w:color w:val="0B0B0B"/>
          <w:spacing w:val="-2"/>
          <w:sz w:val="18"/>
        </w:rPr>
        <w:t> </w:t>
      </w:r>
      <w:r>
        <w:rPr>
          <w:color w:val="0B0B0B"/>
          <w:sz w:val="18"/>
        </w:rPr>
        <w:t>entre</w:t>
      </w:r>
      <w:r>
        <w:rPr>
          <w:color w:val="0B0B0B"/>
          <w:spacing w:val="-3"/>
          <w:sz w:val="18"/>
        </w:rPr>
        <w:t> </w:t>
      </w:r>
      <w:r>
        <w:rPr>
          <w:color w:val="0B0B0B"/>
          <w:sz w:val="18"/>
        </w:rPr>
        <w:t>otros, que el residente en el extranjero de que se trate es residente en territorio nacional conforme al artículo 3o., último párrafo de dicha Ley.</w:t>
      </w:r>
    </w:p>
    <w:p>
      <w:pPr>
        <w:pStyle w:val="ListParagraph"/>
        <w:numPr>
          <w:ilvl w:val="0"/>
          <w:numId w:val="55"/>
        </w:numPr>
        <w:tabs>
          <w:tab w:pos="2664" w:val="left" w:leader="none"/>
        </w:tabs>
        <w:spacing w:line="266" w:lineRule="auto" w:before="97" w:after="0"/>
        <w:ind w:left="2664" w:right="258" w:hanging="504"/>
        <w:jc w:val="both"/>
        <w:rPr>
          <w:sz w:val="18"/>
        </w:rPr>
      </w:pPr>
      <w:r>
        <w:rPr>
          <w:color w:val="0B0B0B"/>
          <w:sz w:val="18"/>
        </w:rPr>
        <w:t>Quienes asesoren, aconsejen, presten servicios o participen en la realización o la implementación de la práctica anterior.</w:t>
      </w:r>
    </w:p>
    <w:p>
      <w:pPr>
        <w:pStyle w:val="BodyText"/>
        <w:spacing w:before="5"/>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34"/>
      </w:tblGrid>
      <w:tr>
        <w:trPr>
          <w:trHeight w:val="330" w:hRule="atLeast"/>
        </w:trPr>
        <w:tc>
          <w:tcPr>
            <w:tcW w:w="2760" w:type="dxa"/>
            <w:shd w:val="clear" w:color="auto" w:fill="BDBDBD"/>
          </w:tcPr>
          <w:p>
            <w:pPr>
              <w:pStyle w:val="TableParagraph"/>
              <w:spacing w:before="34"/>
              <w:ind w:left="13"/>
              <w:jc w:val="center"/>
              <w:rPr>
                <w:rFonts w:ascii="Arial"/>
                <w:b/>
                <w:sz w:val="16"/>
              </w:rPr>
            </w:pPr>
            <w:r>
              <w:rPr>
                <w:rFonts w:ascii="Arial"/>
                <w:b/>
                <w:color w:val="0B0B0B"/>
                <w:spacing w:val="-2"/>
                <w:sz w:val="16"/>
              </w:rPr>
              <w:t>Origen</w:t>
            </w:r>
          </w:p>
        </w:tc>
        <w:tc>
          <w:tcPr>
            <w:tcW w:w="4134" w:type="dxa"/>
            <w:shd w:val="clear" w:color="auto" w:fill="BDBDBD"/>
          </w:tcPr>
          <w:p>
            <w:pPr>
              <w:pStyle w:val="TableParagraph"/>
              <w:spacing w:before="34"/>
              <w:ind w:left="132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8" w:hRule="atLeast"/>
        </w:trPr>
        <w:tc>
          <w:tcPr>
            <w:tcW w:w="2760" w:type="dxa"/>
          </w:tcPr>
          <w:p>
            <w:pPr>
              <w:pStyle w:val="TableParagraph"/>
              <w:tabs>
                <w:tab w:pos="1215" w:val="left" w:leader="none"/>
                <w:tab w:pos="2509" w:val="left" w:leader="none"/>
              </w:tabs>
              <w:spacing w:line="300" w:lineRule="auto" w:before="32"/>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2013</w:t>
            </w:r>
          </w:p>
        </w:tc>
        <w:tc>
          <w:tcPr>
            <w:tcW w:w="4134" w:type="dxa"/>
          </w:tcPr>
          <w:p>
            <w:pPr>
              <w:pStyle w:val="TableParagraph"/>
              <w:spacing w:line="300" w:lineRule="auto" w:before="32"/>
              <w:rPr>
                <w:sz w:val="16"/>
              </w:rPr>
            </w:pPr>
            <w:r>
              <w:rPr>
                <w:color w:val="0B0B0B"/>
                <w:sz w:val="16"/>
              </w:rPr>
              <w:t>Publicada en el DOF el 31 de mayo de 2013, Anexo 3, publicado en la misma fecha de la Modificación.</w:t>
            </w:r>
          </w:p>
        </w:tc>
      </w:tr>
    </w:tbl>
    <w:p>
      <w:pPr>
        <w:pStyle w:val="TableParagraph"/>
        <w:spacing w:after="0" w:line="300" w:lineRule="auto"/>
        <w:rPr>
          <w:sz w:val="16"/>
        </w:rPr>
        <w:sectPr>
          <w:headerReference w:type="default" r:id="rId54"/>
          <w:pgSz w:w="12240" w:h="15840"/>
          <w:pgMar w:header="690" w:footer="0" w:top="1040" w:bottom="280" w:left="1440" w:right="1440"/>
        </w:sectPr>
      </w:pPr>
    </w:p>
    <w:p>
      <w:pPr>
        <w:pStyle w:val="Heading1"/>
        <w:tabs>
          <w:tab w:pos="2145" w:val="left" w:leader="none"/>
        </w:tabs>
        <w:spacing w:line="266" w:lineRule="auto" w:before="121"/>
        <w:ind w:right="257"/>
      </w:pPr>
      <w:r>
        <w:rPr>
          <w:color w:val="0B0B0B"/>
          <w:spacing w:val="-2"/>
        </w:rPr>
        <w:t>7/IVA/PI</w:t>
      </w:r>
      <w:r>
        <w:rPr>
          <w:color w:val="0B0B0B"/>
        </w:rPr>
        <w:tab/>
        <w:t>IVA</w:t>
      </w:r>
      <w:r>
        <w:rPr>
          <w:color w:val="0B0B0B"/>
          <w:spacing w:val="75"/>
        </w:rPr>
        <w:t> </w:t>
      </w:r>
      <w:r>
        <w:rPr>
          <w:color w:val="0B0B0B"/>
        </w:rPr>
        <w:t>en</w:t>
      </w:r>
      <w:r>
        <w:rPr>
          <w:color w:val="0B0B0B"/>
          <w:spacing w:val="77"/>
        </w:rPr>
        <w:t> </w:t>
      </w:r>
      <w:r>
        <w:rPr>
          <w:color w:val="0B0B0B"/>
        </w:rPr>
        <w:t>transportación</w:t>
      </w:r>
      <w:r>
        <w:rPr>
          <w:color w:val="0B0B0B"/>
          <w:spacing w:val="77"/>
        </w:rPr>
        <w:t> </w:t>
      </w:r>
      <w:r>
        <w:rPr>
          <w:color w:val="0B0B0B"/>
        </w:rPr>
        <w:t>aérea</w:t>
      </w:r>
      <w:r>
        <w:rPr>
          <w:color w:val="0B0B0B"/>
          <w:spacing w:val="77"/>
        </w:rPr>
        <w:t> </w:t>
      </w:r>
      <w:r>
        <w:rPr>
          <w:color w:val="0B0B0B"/>
        </w:rPr>
        <w:t>que</w:t>
      </w:r>
      <w:r>
        <w:rPr>
          <w:color w:val="0B0B0B"/>
          <w:spacing w:val="78"/>
        </w:rPr>
        <w:t> </w:t>
      </w:r>
      <w:r>
        <w:rPr>
          <w:color w:val="0B0B0B"/>
        </w:rPr>
        <w:t>inicia</w:t>
      </w:r>
      <w:r>
        <w:rPr>
          <w:color w:val="0B0B0B"/>
          <w:spacing w:val="77"/>
        </w:rPr>
        <w:t> </w:t>
      </w:r>
      <w:r>
        <w:rPr>
          <w:color w:val="0B0B0B"/>
        </w:rPr>
        <w:t>en</w:t>
      </w:r>
      <w:r>
        <w:rPr>
          <w:color w:val="0B0B0B"/>
          <w:spacing w:val="77"/>
        </w:rPr>
        <w:t> </w:t>
      </w:r>
      <w:r>
        <w:rPr>
          <w:color w:val="0B0B0B"/>
        </w:rPr>
        <w:t>la</w:t>
      </w:r>
      <w:r>
        <w:rPr>
          <w:color w:val="0B0B0B"/>
          <w:spacing w:val="77"/>
        </w:rPr>
        <w:t> </w:t>
      </w:r>
      <w:r>
        <w:rPr>
          <w:color w:val="0B0B0B"/>
        </w:rPr>
        <w:t>franja</w:t>
      </w:r>
      <w:r>
        <w:rPr>
          <w:color w:val="0B0B0B"/>
          <w:spacing w:val="77"/>
        </w:rPr>
        <w:t> </w:t>
      </w:r>
      <w:r>
        <w:rPr>
          <w:color w:val="0B0B0B"/>
        </w:rPr>
        <w:t>fronteriza.</w:t>
      </w:r>
      <w:r>
        <w:rPr>
          <w:color w:val="0B0B0B"/>
          <w:spacing w:val="79"/>
        </w:rPr>
        <w:t> </w:t>
      </w:r>
      <w:r>
        <w:rPr>
          <w:color w:val="0B0B0B"/>
        </w:rPr>
        <w:t>No</w:t>
      </w:r>
      <w:r>
        <w:rPr>
          <w:color w:val="0B0B0B"/>
          <w:spacing w:val="77"/>
        </w:rPr>
        <w:t> </w:t>
      </w:r>
      <w:r>
        <w:rPr>
          <w:color w:val="0B0B0B"/>
        </w:rPr>
        <w:t>puede considerarse como prestado solamente el 25% del servicio.</w:t>
      </w:r>
    </w:p>
    <w:p>
      <w:pPr>
        <w:pStyle w:val="BodyText"/>
        <w:spacing w:line="266" w:lineRule="auto" w:before="100"/>
        <w:ind w:right="258"/>
      </w:pPr>
      <w:r>
        <w:rPr>
          <w:color w:val="0B0B0B"/>
        </w:rPr>
        <w:t>El artículo 1o., fracción II de la Ley del IVA establece que las personas físicas y morales</w:t>
      </w:r>
      <w:r>
        <w:rPr>
          <w:color w:val="0B0B0B"/>
          <w:spacing w:val="-2"/>
        </w:rPr>
        <w:t> </w:t>
      </w:r>
      <w:r>
        <w:rPr>
          <w:color w:val="0B0B0B"/>
        </w:rPr>
        <w:t>que</w:t>
      </w:r>
      <w:r>
        <w:rPr>
          <w:color w:val="0B0B0B"/>
          <w:spacing w:val="-3"/>
        </w:rPr>
        <w:t> </w:t>
      </w:r>
      <w:r>
        <w:rPr>
          <w:color w:val="0B0B0B"/>
        </w:rPr>
        <w:t>en</w:t>
      </w:r>
      <w:r>
        <w:rPr>
          <w:color w:val="0B0B0B"/>
          <w:spacing w:val="-3"/>
        </w:rPr>
        <w:t> </w:t>
      </w:r>
      <w:r>
        <w:rPr>
          <w:color w:val="0B0B0B"/>
        </w:rPr>
        <w:t>territorio</w:t>
      </w:r>
      <w:r>
        <w:rPr>
          <w:color w:val="0B0B0B"/>
          <w:spacing w:val="-3"/>
        </w:rPr>
        <w:t> </w:t>
      </w:r>
      <w:r>
        <w:rPr>
          <w:color w:val="0B0B0B"/>
        </w:rPr>
        <w:t>nacional,</w:t>
      </w:r>
      <w:r>
        <w:rPr>
          <w:color w:val="0B0B0B"/>
          <w:spacing w:val="-3"/>
        </w:rPr>
        <w:t> </w:t>
      </w:r>
      <w:r>
        <w:rPr>
          <w:color w:val="0B0B0B"/>
        </w:rPr>
        <w:t>presten</w:t>
      </w:r>
      <w:r>
        <w:rPr>
          <w:color w:val="0B0B0B"/>
          <w:spacing w:val="-3"/>
        </w:rPr>
        <w:t> </w:t>
      </w:r>
      <w:r>
        <w:rPr>
          <w:color w:val="0B0B0B"/>
        </w:rPr>
        <w:t>servicios</w:t>
      </w:r>
      <w:r>
        <w:rPr>
          <w:color w:val="0B0B0B"/>
          <w:spacing w:val="-3"/>
        </w:rPr>
        <w:t> </w:t>
      </w:r>
      <w:r>
        <w:rPr>
          <w:color w:val="0B0B0B"/>
        </w:rPr>
        <w:t>independientes,</w:t>
      </w:r>
      <w:r>
        <w:rPr>
          <w:color w:val="0B0B0B"/>
          <w:spacing w:val="-4"/>
        </w:rPr>
        <w:t> </w:t>
      </w:r>
      <w:r>
        <w:rPr>
          <w:color w:val="0B0B0B"/>
        </w:rPr>
        <w:t>están</w:t>
      </w:r>
      <w:r>
        <w:rPr>
          <w:color w:val="0B0B0B"/>
          <w:spacing w:val="-3"/>
        </w:rPr>
        <w:t> </w:t>
      </w:r>
      <w:r>
        <w:rPr>
          <w:color w:val="0B0B0B"/>
        </w:rPr>
        <w:t>obligadas</w:t>
      </w:r>
      <w:r>
        <w:rPr>
          <w:color w:val="0B0B0B"/>
          <w:spacing w:val="-3"/>
        </w:rPr>
        <w:t> </w:t>
      </w:r>
      <w:r>
        <w:rPr>
          <w:color w:val="0B0B0B"/>
        </w:rPr>
        <w:t>al pago del impuesto a la tasa del 16%.</w:t>
      </w:r>
    </w:p>
    <w:p>
      <w:pPr>
        <w:pStyle w:val="BodyText"/>
        <w:spacing w:line="266" w:lineRule="auto" w:before="98"/>
        <w:ind w:right="257"/>
      </w:pPr>
      <w:r>
        <w:rPr>
          <w:color w:val="0B0B0B"/>
        </w:rPr>
        <w:t>Tratándose de transportación área internacional, el artículo 16, tercer párrafo del mismo ordenamiento legal, precisa que se le dará el mismo tratamiento fiscal a la transportación aérea a las poblaciones mexicanas ubicadas en la franja fronteriza de 20 kilómetros paralela a las líneas divisorias internacionales del norte y sur del país, quedando gravado únicamente el 25% del servicio a la tasa general del impuesto.</w:t>
      </w:r>
    </w:p>
    <w:p>
      <w:pPr>
        <w:pStyle w:val="BodyText"/>
        <w:spacing w:line="266" w:lineRule="auto" w:before="98"/>
        <w:ind w:right="259"/>
      </w:pPr>
      <w:r>
        <w:rPr>
          <w:color w:val="0B0B0B"/>
        </w:rPr>
        <w:t>Por el contrario, si la prestación del servicio se realiza desde alguna población mexicana ubicada en la franja fronteriza hacia cualquier</w:t>
      </w:r>
      <w:r>
        <w:rPr>
          <w:color w:val="0B0B0B"/>
        </w:rPr>
        <w:t> otro</w:t>
      </w:r>
      <w:r>
        <w:rPr>
          <w:color w:val="0B0B0B"/>
        </w:rPr>
        <w:t> destino nacional no ubicado en dicha franja, la prestación del servicio estará gravada en su totalidad a la tasa general del IVA.</w:t>
      </w:r>
    </w:p>
    <w:p>
      <w:pPr>
        <w:pStyle w:val="BodyText"/>
        <w:spacing w:before="98"/>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6"/>
        </w:numPr>
        <w:tabs>
          <w:tab w:pos="2663" w:val="left" w:leader="none"/>
        </w:tabs>
        <w:spacing w:line="266" w:lineRule="auto" w:before="122" w:after="0"/>
        <w:ind w:left="2663" w:right="258" w:hanging="504"/>
        <w:jc w:val="both"/>
        <w:rPr>
          <w:sz w:val="18"/>
        </w:rPr>
      </w:pPr>
      <w:r>
        <w:rPr>
          <w:color w:val="0B0B0B"/>
          <w:sz w:val="18"/>
        </w:rPr>
        <w:t>Aquellos contribuyentes que consideren que únicamente se presta el 25% del servicio en territorio nacional si la prestación del servicio se realiza desde</w:t>
      </w:r>
      <w:r>
        <w:rPr>
          <w:color w:val="0B0B0B"/>
          <w:spacing w:val="40"/>
          <w:sz w:val="18"/>
        </w:rPr>
        <w:t> </w:t>
      </w:r>
      <w:r>
        <w:rPr>
          <w:color w:val="0B0B0B"/>
          <w:sz w:val="18"/>
        </w:rPr>
        <w:t>alguna población mexicana ubicada en la franja fronteriza hacia cualquier otro destino nacional no ubicado en dicha franja.</w:t>
      </w:r>
    </w:p>
    <w:p>
      <w:pPr>
        <w:pStyle w:val="ListParagraph"/>
        <w:numPr>
          <w:ilvl w:val="0"/>
          <w:numId w:val="56"/>
        </w:numPr>
        <w:tabs>
          <w:tab w:pos="2663" w:val="left" w:leader="none"/>
        </w:tabs>
        <w:spacing w:line="266" w:lineRule="auto" w:before="99" w:after="0"/>
        <w:ind w:left="2663" w:right="258" w:hanging="504"/>
        <w:jc w:val="both"/>
        <w:rPr>
          <w:sz w:val="18"/>
        </w:rPr>
      </w:pPr>
      <w:r>
        <w:rPr>
          <w:color w:val="0B0B0B"/>
          <w:sz w:val="18"/>
        </w:rPr>
        <w:t>Quien asesore, aconseje, preste servicios o participe en la realización o implementación de la práctica anterior.</w:t>
      </w:r>
    </w:p>
    <w:p>
      <w:pPr>
        <w:pStyle w:val="BodyText"/>
        <w:spacing w:before="5" w:after="1"/>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34"/>
      </w:tblGrid>
      <w:tr>
        <w:trPr>
          <w:trHeight w:val="329" w:hRule="atLeast"/>
        </w:trPr>
        <w:tc>
          <w:tcPr>
            <w:tcW w:w="2760" w:type="dxa"/>
            <w:shd w:val="clear" w:color="auto" w:fill="BDBDBD"/>
          </w:tcPr>
          <w:p>
            <w:pPr>
              <w:pStyle w:val="TableParagraph"/>
              <w:spacing w:before="33"/>
              <w:ind w:left="13"/>
              <w:jc w:val="center"/>
              <w:rPr>
                <w:rFonts w:ascii="Arial"/>
                <w:b/>
                <w:sz w:val="16"/>
              </w:rPr>
            </w:pPr>
            <w:r>
              <w:rPr>
                <w:rFonts w:ascii="Arial"/>
                <w:b/>
                <w:color w:val="0B0B0B"/>
                <w:spacing w:val="-2"/>
                <w:sz w:val="16"/>
              </w:rPr>
              <w:t>Origen</w:t>
            </w:r>
          </w:p>
        </w:tc>
        <w:tc>
          <w:tcPr>
            <w:tcW w:w="4134" w:type="dxa"/>
            <w:shd w:val="clear" w:color="auto" w:fill="BDBDBD"/>
          </w:tcPr>
          <w:p>
            <w:pPr>
              <w:pStyle w:val="TableParagraph"/>
              <w:spacing w:before="33"/>
              <w:ind w:left="132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8" w:hRule="atLeast"/>
        </w:trPr>
        <w:tc>
          <w:tcPr>
            <w:tcW w:w="2760" w:type="dxa"/>
          </w:tcPr>
          <w:p>
            <w:pPr>
              <w:pStyle w:val="TableParagraph"/>
              <w:tabs>
                <w:tab w:pos="1170" w:val="left" w:leader="none"/>
                <w:tab w:pos="2509" w:val="left" w:leader="none"/>
              </w:tabs>
              <w:spacing w:line="300" w:lineRule="auto" w:before="33"/>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2014</w:t>
            </w:r>
          </w:p>
        </w:tc>
        <w:tc>
          <w:tcPr>
            <w:tcW w:w="4134" w:type="dxa"/>
          </w:tcPr>
          <w:p>
            <w:pPr>
              <w:pStyle w:val="TableParagraph"/>
              <w:spacing w:line="300" w:lineRule="auto" w:before="33"/>
              <w:rPr>
                <w:sz w:val="16"/>
              </w:rPr>
            </w:pPr>
            <w:r>
              <w:rPr>
                <w:color w:val="0B0B0B"/>
                <w:sz w:val="16"/>
              </w:rPr>
              <w:t>Publicada en el DOF 19 de agosto de 2014, Anexo </w:t>
            </w:r>
            <w:r>
              <w:rPr>
                <w:color w:val="0B0B0B"/>
                <w:sz w:val="16"/>
              </w:rPr>
              <w:t>3, publicado en el DOF el 21 de agosto de 2014.</w:t>
            </w:r>
          </w:p>
        </w:tc>
      </w:tr>
    </w:tbl>
    <w:p>
      <w:pPr>
        <w:pStyle w:val="BodyText"/>
        <w:spacing w:before="138"/>
        <w:ind w:left="0"/>
        <w:jc w:val="left"/>
      </w:pPr>
    </w:p>
    <w:p>
      <w:pPr>
        <w:pStyle w:val="Heading1"/>
        <w:tabs>
          <w:tab w:pos="2145" w:val="left" w:leader="none"/>
        </w:tabs>
        <w:spacing w:line="266" w:lineRule="auto"/>
        <w:ind w:right="257"/>
      </w:pPr>
      <w:r>
        <w:rPr>
          <w:color w:val="0B0B0B"/>
          <w:spacing w:val="-2"/>
        </w:rPr>
        <w:t>8/IVA/PI</w:t>
      </w:r>
      <w:r>
        <w:rPr>
          <w:color w:val="0B0B0B"/>
        </w:rPr>
        <w:tab/>
        <w:t>Traslado indebido de IVA.</w:t>
      </w:r>
      <w:r>
        <w:rPr>
          <w:color w:val="0B0B0B"/>
          <w:spacing w:val="24"/>
        </w:rPr>
        <w:t> </w:t>
      </w:r>
      <w:r>
        <w:rPr>
          <w:color w:val="0B0B0B"/>
        </w:rPr>
        <w:t>Transporte de bienes no corresponde al servicio de</w:t>
      </w:r>
      <w:r>
        <w:rPr>
          <w:color w:val="0B0B0B"/>
          <w:spacing w:val="40"/>
        </w:rPr>
        <w:t> </w:t>
      </w:r>
      <w:r>
        <w:rPr>
          <w:color w:val="0B0B0B"/>
        </w:rPr>
        <w:t>cosecha y recolección.</w:t>
      </w:r>
    </w:p>
    <w:p>
      <w:pPr>
        <w:pStyle w:val="BodyText"/>
        <w:spacing w:line="266" w:lineRule="auto" w:before="100"/>
        <w:ind w:right="258"/>
      </w:pPr>
      <w:r>
        <w:rPr>
          <w:color w:val="0B0B0B"/>
        </w:rPr>
        <w:t>El artículo 2o.-A, fracción II, inciso a) de la Ley del IVA, establece que el impuesto </w:t>
      </w:r>
      <w:r>
        <w:rPr>
          <w:color w:val="0B0B0B"/>
        </w:rPr>
        <w:t>se calculará aplicando la tasa del 0% a los valores a que se refiere dicha Ley, entre otros supuestos, en la prestación de los servicios de cosecha y recolección que se realice directamente a los agricultores y ganaderos siempre que sean destinados para actividades agropecuarias.</w:t>
      </w:r>
    </w:p>
    <w:p>
      <w:pPr>
        <w:pStyle w:val="BodyText"/>
        <w:spacing w:line="266" w:lineRule="auto" w:before="96"/>
        <w:ind w:right="255"/>
      </w:pPr>
      <w:r>
        <w:rPr>
          <w:color w:val="0B0B0B"/>
        </w:rPr>
        <w:t>Al efecto, las disposiciones fiscales, así como las del derecho federal común, no establecen</w:t>
      </w:r>
      <w:r>
        <w:rPr>
          <w:color w:val="0B0B0B"/>
          <w:spacing w:val="-3"/>
        </w:rPr>
        <w:t> </w:t>
      </w:r>
      <w:r>
        <w:rPr>
          <w:color w:val="0B0B0B"/>
        </w:rPr>
        <w:t>concepto</w:t>
      </w:r>
      <w:r>
        <w:rPr>
          <w:color w:val="0B0B0B"/>
          <w:spacing w:val="-2"/>
        </w:rPr>
        <w:t> </w:t>
      </w:r>
      <w:r>
        <w:rPr>
          <w:color w:val="0B0B0B"/>
        </w:rPr>
        <w:t>o</w:t>
      </w:r>
      <w:r>
        <w:rPr>
          <w:color w:val="0B0B0B"/>
          <w:spacing w:val="-2"/>
        </w:rPr>
        <w:t> </w:t>
      </w:r>
      <w:r>
        <w:rPr>
          <w:color w:val="0B0B0B"/>
        </w:rPr>
        <w:t>definición</w:t>
      </w:r>
      <w:r>
        <w:rPr>
          <w:color w:val="0B0B0B"/>
          <w:spacing w:val="-2"/>
        </w:rPr>
        <w:t> </w:t>
      </w:r>
      <w:r>
        <w:rPr>
          <w:color w:val="0B0B0B"/>
        </w:rPr>
        <w:t>de</w:t>
      </w:r>
      <w:r>
        <w:rPr>
          <w:color w:val="0B0B0B"/>
          <w:spacing w:val="-3"/>
        </w:rPr>
        <w:t> </w:t>
      </w:r>
      <w:r>
        <w:rPr>
          <w:color w:val="0B0B0B"/>
        </w:rPr>
        <w:t>cosecha</w:t>
      </w:r>
      <w:r>
        <w:rPr>
          <w:color w:val="0B0B0B"/>
          <w:spacing w:val="-1"/>
        </w:rPr>
        <w:t> </w:t>
      </w:r>
      <w:r>
        <w:rPr>
          <w:color w:val="0B0B0B"/>
        </w:rPr>
        <w:t>o</w:t>
      </w:r>
      <w:r>
        <w:rPr>
          <w:color w:val="0B0B0B"/>
          <w:spacing w:val="-2"/>
        </w:rPr>
        <w:t> </w:t>
      </w:r>
      <w:r>
        <w:rPr>
          <w:color w:val="0B0B0B"/>
        </w:rPr>
        <w:t>recolección,</w:t>
      </w:r>
      <w:r>
        <w:rPr>
          <w:color w:val="0B0B0B"/>
          <w:spacing w:val="-1"/>
        </w:rPr>
        <w:t> </w:t>
      </w:r>
      <w:r>
        <w:rPr>
          <w:color w:val="0B0B0B"/>
        </w:rPr>
        <w:t>por</w:t>
      </w:r>
      <w:r>
        <w:rPr>
          <w:color w:val="0B0B0B"/>
          <w:spacing w:val="-2"/>
        </w:rPr>
        <w:t> </w:t>
      </w:r>
      <w:r>
        <w:rPr>
          <w:color w:val="0B0B0B"/>
        </w:rPr>
        <w:t>lo</w:t>
      </w:r>
      <w:r>
        <w:rPr>
          <w:color w:val="0B0B0B"/>
          <w:spacing w:val="-2"/>
        </w:rPr>
        <w:t> </w:t>
      </w:r>
      <w:r>
        <w:rPr>
          <w:color w:val="0B0B0B"/>
        </w:rPr>
        <w:t>que</w:t>
      </w:r>
      <w:r>
        <w:rPr>
          <w:color w:val="0B0B0B"/>
          <w:spacing w:val="-3"/>
        </w:rPr>
        <w:t> </w:t>
      </w:r>
      <w:r>
        <w:rPr>
          <w:color w:val="0B0B0B"/>
        </w:rPr>
        <w:t>se</w:t>
      </w:r>
      <w:r>
        <w:rPr>
          <w:color w:val="0B0B0B"/>
          <w:spacing w:val="-2"/>
        </w:rPr>
        <w:t> </w:t>
      </w:r>
      <w:r>
        <w:rPr>
          <w:color w:val="0B0B0B"/>
        </w:rPr>
        <w:t>debe</w:t>
      </w:r>
      <w:r>
        <w:rPr>
          <w:color w:val="0B0B0B"/>
          <w:spacing w:val="-2"/>
        </w:rPr>
        <w:t> </w:t>
      </w:r>
      <w:r>
        <w:rPr>
          <w:color w:val="0B0B0B"/>
        </w:rPr>
        <w:t>atender a su significado gramatical, considerando por tanto que cosecha es el conjunto de frutos, generalmente de un cultivo, que se recogen de la tierra al llegar a la sazón; así como,</w:t>
      </w:r>
      <w:r>
        <w:rPr>
          <w:color w:val="0B0B0B"/>
          <w:spacing w:val="-2"/>
        </w:rPr>
        <w:t> </w:t>
      </w:r>
      <w:r>
        <w:rPr>
          <w:color w:val="0B0B0B"/>
        </w:rPr>
        <w:t>la</w:t>
      </w:r>
      <w:r>
        <w:rPr>
          <w:color w:val="0B0B0B"/>
          <w:spacing w:val="-2"/>
        </w:rPr>
        <w:t> </w:t>
      </w:r>
      <w:r>
        <w:rPr>
          <w:color w:val="0B0B0B"/>
        </w:rPr>
        <w:t>ocupación</w:t>
      </w:r>
      <w:r>
        <w:rPr>
          <w:color w:val="0B0B0B"/>
          <w:spacing w:val="-1"/>
        </w:rPr>
        <w:t> </w:t>
      </w:r>
      <w:r>
        <w:rPr>
          <w:color w:val="0B0B0B"/>
        </w:rPr>
        <w:t>de</w:t>
      </w:r>
      <w:r>
        <w:rPr>
          <w:color w:val="0B0B0B"/>
          <w:spacing w:val="-2"/>
        </w:rPr>
        <w:t> </w:t>
      </w:r>
      <w:r>
        <w:rPr>
          <w:color w:val="0B0B0B"/>
        </w:rPr>
        <w:t>recoger</w:t>
      </w:r>
      <w:r>
        <w:rPr>
          <w:color w:val="0B0B0B"/>
          <w:spacing w:val="-2"/>
        </w:rPr>
        <w:t> </w:t>
      </w:r>
      <w:r>
        <w:rPr>
          <w:color w:val="0B0B0B"/>
        </w:rPr>
        <w:t>los</w:t>
      </w:r>
      <w:r>
        <w:rPr>
          <w:color w:val="0B0B0B"/>
          <w:spacing w:val="-2"/>
        </w:rPr>
        <w:t> </w:t>
      </w:r>
      <w:r>
        <w:rPr>
          <w:color w:val="0B0B0B"/>
        </w:rPr>
        <w:t>frutos</w:t>
      </w:r>
      <w:r>
        <w:rPr>
          <w:color w:val="0B0B0B"/>
          <w:spacing w:val="-1"/>
        </w:rPr>
        <w:t> </w:t>
      </w:r>
      <w:r>
        <w:rPr>
          <w:color w:val="0B0B0B"/>
        </w:rPr>
        <w:t>de</w:t>
      </w:r>
      <w:r>
        <w:rPr>
          <w:color w:val="0B0B0B"/>
          <w:spacing w:val="-2"/>
        </w:rPr>
        <w:t> </w:t>
      </w:r>
      <w:r>
        <w:rPr>
          <w:color w:val="0B0B0B"/>
        </w:rPr>
        <w:t>la</w:t>
      </w:r>
      <w:r>
        <w:rPr>
          <w:color w:val="0B0B0B"/>
          <w:spacing w:val="-4"/>
        </w:rPr>
        <w:t> </w:t>
      </w:r>
      <w:r>
        <w:rPr>
          <w:color w:val="0B0B0B"/>
        </w:rPr>
        <w:t>tierra.</w:t>
      </w:r>
      <w:r>
        <w:rPr>
          <w:color w:val="0B0B0B"/>
          <w:spacing w:val="-1"/>
        </w:rPr>
        <w:t> </w:t>
      </w:r>
      <w:r>
        <w:rPr>
          <w:color w:val="0B0B0B"/>
        </w:rPr>
        <w:t>A</w:t>
      </w:r>
      <w:r>
        <w:rPr>
          <w:color w:val="0B0B0B"/>
          <w:spacing w:val="-2"/>
        </w:rPr>
        <w:t> </w:t>
      </w:r>
      <w:r>
        <w:rPr>
          <w:color w:val="0B0B0B"/>
        </w:rPr>
        <w:t>su</w:t>
      </w:r>
      <w:r>
        <w:rPr>
          <w:color w:val="0B0B0B"/>
          <w:spacing w:val="-2"/>
        </w:rPr>
        <w:t> </w:t>
      </w:r>
      <w:r>
        <w:rPr>
          <w:color w:val="0B0B0B"/>
        </w:rPr>
        <w:t>vez,</w:t>
      </w:r>
      <w:r>
        <w:rPr>
          <w:color w:val="0B0B0B"/>
          <w:spacing w:val="-2"/>
        </w:rPr>
        <w:t> </w:t>
      </w:r>
      <w:r>
        <w:rPr>
          <w:color w:val="0B0B0B"/>
        </w:rPr>
        <w:t>recolección</w:t>
      </w:r>
      <w:r>
        <w:rPr>
          <w:color w:val="0B0B0B"/>
          <w:spacing w:val="-2"/>
        </w:rPr>
        <w:t> </w:t>
      </w:r>
      <w:r>
        <w:rPr>
          <w:color w:val="0B0B0B"/>
        </w:rPr>
        <w:t>es</w:t>
      </w:r>
      <w:r>
        <w:rPr>
          <w:color w:val="0B0B0B"/>
          <w:spacing w:val="-2"/>
        </w:rPr>
        <w:t> </w:t>
      </w:r>
      <w:r>
        <w:rPr>
          <w:color w:val="0B0B0B"/>
        </w:rPr>
        <w:t>la</w:t>
      </w:r>
      <w:r>
        <w:rPr>
          <w:color w:val="0B0B0B"/>
          <w:spacing w:val="-1"/>
        </w:rPr>
        <w:t> </w:t>
      </w:r>
      <w:r>
        <w:rPr>
          <w:color w:val="0B0B0B"/>
        </w:rPr>
        <w:t>acción y efecto de recolectar o recoger la cosecha de los frutos.</w:t>
      </w:r>
    </w:p>
    <w:p>
      <w:pPr>
        <w:pStyle w:val="BodyText"/>
        <w:spacing w:line="266" w:lineRule="auto" w:before="97"/>
        <w:ind w:right="257"/>
      </w:pPr>
      <w:r>
        <w:rPr>
          <w:color w:val="0B0B0B"/>
        </w:rPr>
        <w:t>Por otro lado, el artículo 14, fracción II de la Ley del IVA, señala que se considera prestación de servicios independientes gravada a la tasa del 16% de dicho impuesto,</w:t>
      </w:r>
      <w:r>
        <w:rPr>
          <w:color w:val="0B0B0B"/>
          <w:spacing w:val="40"/>
        </w:rPr>
        <w:t> </w:t>
      </w:r>
      <w:r>
        <w:rPr>
          <w:color w:val="0B0B0B"/>
        </w:rPr>
        <w:t>al transporte de personas o bienes, mismo que deberá prestarse por aquellos contribuyentes que cuenten con concesiones o permisos expedidos conforme a las leyes de la materia y las disposiciones reglamentarias correspondientes.</w:t>
      </w:r>
    </w:p>
    <w:p>
      <w:pPr>
        <w:pStyle w:val="BodyText"/>
        <w:spacing w:line="266" w:lineRule="auto" w:before="98"/>
        <w:ind w:right="258"/>
      </w:pPr>
      <w:r>
        <w:rPr>
          <w:color w:val="0B0B0B"/>
        </w:rPr>
        <w:t>La cosecha y recolección de bienes son actividades distintas a la del transporte</w:t>
      </w:r>
      <w:r>
        <w:rPr>
          <w:color w:val="0B0B0B"/>
        </w:rPr>
        <w:t> de bienes,</w:t>
      </w:r>
      <w:r>
        <w:rPr>
          <w:color w:val="0B0B0B"/>
        </w:rPr>
        <w:t> entendiendo por este el traslado o conducción de mercancía por</w:t>
      </w:r>
      <w:r>
        <w:rPr>
          <w:color w:val="0B0B0B"/>
        </w:rPr>
        <w:t> parte del porteador desde un lugar a otro, por medios físicos o mecánicos.</w:t>
      </w:r>
    </w:p>
    <w:p>
      <w:pPr>
        <w:pStyle w:val="BodyText"/>
        <w:spacing w:before="99"/>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7"/>
        </w:numPr>
        <w:tabs>
          <w:tab w:pos="2664" w:val="left" w:leader="none"/>
        </w:tabs>
        <w:spacing w:line="266" w:lineRule="auto" w:before="122" w:after="0"/>
        <w:ind w:left="2664" w:right="259" w:hanging="504"/>
        <w:jc w:val="both"/>
        <w:rPr>
          <w:sz w:val="18"/>
        </w:rPr>
      </w:pPr>
      <w:r>
        <w:rPr>
          <w:color w:val="0B0B0B"/>
          <w:sz w:val="18"/>
        </w:rPr>
        <w:t>Aquellos contribuyentes que consideren que el servicio de transporte de bienes corresponde al servicio de cosecha y recolección y trasladen a la tasa del 0% el IVA, cuando la tasa aplicable es la tasa del 16%, aún y cuando se destine para actividades agropecuarias.</w:t>
      </w:r>
    </w:p>
    <w:p>
      <w:pPr>
        <w:pStyle w:val="ListParagraph"/>
        <w:spacing w:after="0" w:line="266" w:lineRule="auto"/>
        <w:jc w:val="both"/>
        <w:rPr>
          <w:sz w:val="18"/>
        </w:rPr>
        <w:sectPr>
          <w:headerReference w:type="default" r:id="rId55"/>
          <w:pgSz w:w="12240" w:h="15840"/>
          <w:pgMar w:header="690" w:footer="0" w:top="1040" w:bottom="280" w:left="1440" w:right="1440"/>
        </w:sectPr>
      </w:pPr>
    </w:p>
    <w:p>
      <w:pPr>
        <w:pStyle w:val="ListParagraph"/>
        <w:numPr>
          <w:ilvl w:val="0"/>
          <w:numId w:val="57"/>
        </w:numPr>
        <w:tabs>
          <w:tab w:pos="2664" w:val="left" w:leader="none"/>
        </w:tabs>
        <w:spacing w:line="254" w:lineRule="auto" w:before="113" w:after="0"/>
        <w:ind w:left="2664" w:right="258" w:hanging="504"/>
        <w:jc w:val="left"/>
        <w:rPr>
          <w:sz w:val="18"/>
        </w:rPr>
      </w:pPr>
      <w:r>
        <w:rPr>
          <w:color w:val="0B0B0B"/>
          <w:sz w:val="18"/>
        </w:rPr>
        <w:t>Quien</w:t>
      </w:r>
      <w:r>
        <w:rPr>
          <w:color w:val="0B0B0B"/>
          <w:spacing w:val="40"/>
          <w:sz w:val="18"/>
        </w:rPr>
        <w:t> </w:t>
      </w:r>
      <w:r>
        <w:rPr>
          <w:color w:val="0B0B0B"/>
          <w:sz w:val="18"/>
        </w:rPr>
        <w:t>asesore,</w:t>
      </w:r>
      <w:r>
        <w:rPr>
          <w:color w:val="0B0B0B"/>
          <w:spacing w:val="40"/>
          <w:sz w:val="18"/>
        </w:rPr>
        <w:t> </w:t>
      </w:r>
      <w:r>
        <w:rPr>
          <w:color w:val="0B0B0B"/>
          <w:sz w:val="18"/>
        </w:rPr>
        <w:t>aconseje,</w:t>
      </w:r>
      <w:r>
        <w:rPr>
          <w:color w:val="0B0B0B"/>
          <w:spacing w:val="40"/>
          <w:sz w:val="18"/>
        </w:rPr>
        <w:t> </w:t>
      </w:r>
      <w:r>
        <w:rPr>
          <w:color w:val="0B0B0B"/>
          <w:sz w:val="18"/>
        </w:rPr>
        <w:t>preste</w:t>
      </w:r>
      <w:r>
        <w:rPr>
          <w:color w:val="0B0B0B"/>
          <w:spacing w:val="40"/>
          <w:sz w:val="18"/>
        </w:rPr>
        <w:t> </w:t>
      </w:r>
      <w:r>
        <w:rPr>
          <w:color w:val="0B0B0B"/>
          <w:sz w:val="18"/>
        </w:rPr>
        <w:t>servicios</w:t>
      </w:r>
      <w:r>
        <w:rPr>
          <w:color w:val="0B0B0B"/>
          <w:spacing w:val="40"/>
          <w:sz w:val="18"/>
        </w:rPr>
        <w:t> </w:t>
      </w:r>
      <w:r>
        <w:rPr>
          <w:color w:val="0B0B0B"/>
          <w:sz w:val="18"/>
        </w:rPr>
        <w:t>o</w:t>
      </w:r>
      <w:r>
        <w:rPr>
          <w:color w:val="0B0B0B"/>
          <w:spacing w:val="40"/>
          <w:sz w:val="18"/>
        </w:rPr>
        <w:t> </w:t>
      </w:r>
      <w:r>
        <w:rPr>
          <w:color w:val="0B0B0B"/>
          <w:sz w:val="18"/>
        </w:rPr>
        <w:t>participe</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realización</w:t>
      </w:r>
      <w:r>
        <w:rPr>
          <w:color w:val="0B0B0B"/>
          <w:spacing w:val="40"/>
          <w:sz w:val="18"/>
        </w:rPr>
        <w:t> </w:t>
      </w:r>
      <w:r>
        <w:rPr>
          <w:color w:val="0B0B0B"/>
          <w:sz w:val="18"/>
        </w:rPr>
        <w:t>o</w:t>
      </w:r>
      <w:r>
        <w:rPr>
          <w:color w:val="0B0B0B"/>
          <w:spacing w:val="80"/>
          <w:sz w:val="18"/>
        </w:rPr>
        <w:t> </w:t>
      </w:r>
      <w:r>
        <w:rPr>
          <w:color w:val="0B0B0B"/>
          <w:sz w:val="18"/>
        </w:rPr>
        <w:t>implementación de la práctica anterior.</w:t>
      </w:r>
    </w:p>
    <w:p>
      <w:pPr>
        <w:pStyle w:val="BodyText"/>
        <w:spacing w:before="0"/>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319" w:hRule="atLeast"/>
        </w:trPr>
        <w:tc>
          <w:tcPr>
            <w:tcW w:w="2694" w:type="dxa"/>
            <w:shd w:val="clear" w:color="auto" w:fill="BDBDBD"/>
          </w:tcPr>
          <w:p>
            <w:pPr>
              <w:pStyle w:val="TableParagraph"/>
              <w:spacing w:before="25"/>
              <w:ind w:left="12" w:right="1"/>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25"/>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5" w:hRule="atLeast"/>
        </w:trPr>
        <w:tc>
          <w:tcPr>
            <w:tcW w:w="2694"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2015</w:t>
            </w:r>
          </w:p>
        </w:tc>
        <w:tc>
          <w:tcPr>
            <w:tcW w:w="4210" w:type="dxa"/>
          </w:tcPr>
          <w:p>
            <w:pPr>
              <w:pStyle w:val="TableParagraph"/>
              <w:spacing w:line="285" w:lineRule="auto"/>
              <w:rPr>
                <w:sz w:val="16"/>
              </w:rPr>
            </w:pPr>
            <w:r>
              <w:rPr>
                <w:color w:val="0B0B0B"/>
                <w:sz w:val="16"/>
              </w:rPr>
              <w:t>Publicada en el DOF 30 de diciembre de 2014, Anexo </w:t>
            </w:r>
            <w:r>
              <w:rPr>
                <w:color w:val="0B0B0B"/>
                <w:sz w:val="16"/>
              </w:rPr>
              <w:t>3, publicado en el DOF el 7 de enero de 2015.</w:t>
            </w:r>
          </w:p>
        </w:tc>
      </w:tr>
    </w:tbl>
    <w:p>
      <w:pPr>
        <w:pStyle w:val="BodyText"/>
        <w:spacing w:before="119"/>
        <w:ind w:left="0"/>
        <w:jc w:val="left"/>
      </w:pPr>
    </w:p>
    <w:p>
      <w:pPr>
        <w:pStyle w:val="Heading1"/>
        <w:tabs>
          <w:tab w:pos="2146" w:val="left" w:leader="none"/>
        </w:tabs>
        <w:ind w:left="1137" w:firstLine="0"/>
      </w:pPr>
      <w:r>
        <w:rPr>
          <w:color w:val="0B0B0B"/>
          <w:spacing w:val="-2"/>
        </w:rPr>
        <w:t>9/IVA/PI</w:t>
      </w:r>
      <w:r>
        <w:rPr>
          <w:color w:val="0B0B0B"/>
        </w:rPr>
        <w:tab/>
        <w:t>Acreditamiento</w:t>
      </w:r>
      <w:r>
        <w:rPr>
          <w:color w:val="0B0B0B"/>
          <w:spacing w:val="-3"/>
        </w:rPr>
        <w:t> </w:t>
      </w:r>
      <w:r>
        <w:rPr>
          <w:color w:val="0B0B0B"/>
        </w:rPr>
        <w:t>indebido</w:t>
      </w:r>
      <w:r>
        <w:rPr>
          <w:color w:val="0B0B0B"/>
          <w:spacing w:val="-3"/>
        </w:rPr>
        <w:t> </w:t>
      </w:r>
      <w:r>
        <w:rPr>
          <w:color w:val="0B0B0B"/>
        </w:rPr>
        <w:t>de</w:t>
      </w:r>
      <w:r>
        <w:rPr>
          <w:color w:val="0B0B0B"/>
          <w:spacing w:val="-3"/>
        </w:rPr>
        <w:t> </w:t>
      </w:r>
      <w:r>
        <w:rPr>
          <w:color w:val="0B0B0B"/>
          <w:spacing w:val="-4"/>
        </w:rPr>
        <w:t>IVA.</w:t>
      </w:r>
    </w:p>
    <w:p>
      <w:pPr>
        <w:pStyle w:val="BodyText"/>
        <w:spacing w:line="252" w:lineRule="auto" w:before="112"/>
        <w:ind w:right="259"/>
      </w:pPr>
      <w:r>
        <w:rPr>
          <w:color w:val="0B0B0B"/>
        </w:rPr>
        <w:t>El artículo 1o. de la Ley del IVA establece, que las personas físicas y morales, que en territorio nacional, enajenen bienes, presten servicios independientes, otorguen el uso o goce temporal de bienes e importen bienes o servicios, están obligadas al pago del IVA, aplicando a los valores a que se refiere la Ley del IVA, la tasa del 16%.</w:t>
      </w:r>
    </w:p>
    <w:p>
      <w:pPr>
        <w:pStyle w:val="BodyText"/>
        <w:spacing w:line="252" w:lineRule="auto" w:before="104"/>
        <w:ind w:right="257"/>
      </w:pPr>
      <w:r>
        <w:rPr>
          <w:color w:val="0B0B0B"/>
        </w:rPr>
        <w:t>El artículo 2o.-A</w:t>
      </w:r>
      <w:r>
        <w:rPr>
          <w:color w:val="0B0B0B"/>
        </w:rPr>
        <w:t> de la Ley del IVA señala los actos y actividades a los que les corresponde aplicar la tasa del 0%; asimismo, los artículos 9o., 15, 20 y 25 de la</w:t>
      </w:r>
      <w:r>
        <w:rPr>
          <w:color w:val="0B0B0B"/>
          <w:spacing w:val="40"/>
        </w:rPr>
        <w:t> </w:t>
      </w:r>
      <w:r>
        <w:rPr>
          <w:color w:val="0B0B0B"/>
        </w:rPr>
        <w:t>misma Ley, establecen los supuestos por</w:t>
      </w:r>
      <w:r>
        <w:rPr>
          <w:color w:val="0B0B0B"/>
        </w:rPr>
        <w:t> los que no se pagará el impuesto, considerándose como actos o actividades exentas.</w:t>
      </w:r>
    </w:p>
    <w:p>
      <w:pPr>
        <w:pStyle w:val="BodyText"/>
        <w:spacing w:line="252" w:lineRule="auto" w:before="104"/>
        <w:ind w:right="258"/>
      </w:pPr>
      <w:r>
        <w:rPr>
          <w:color w:val="0B0B0B"/>
        </w:rPr>
        <w:t>El artículo 4o. de la Ley del IVA señala que el acreditamiento consiste en restar el impuesto acreditable de la cantidad que resulte de aplicar a los valores señalados en</w:t>
      </w:r>
      <w:r>
        <w:rPr>
          <w:color w:val="0B0B0B"/>
          <w:spacing w:val="40"/>
        </w:rPr>
        <w:t> </w:t>
      </w:r>
      <w:r>
        <w:rPr>
          <w:color w:val="0B0B0B"/>
        </w:rPr>
        <w:t>la propia Ley, la tasa que corresponda, considerando como impuesto acreditable el</w:t>
      </w:r>
      <w:r>
        <w:rPr>
          <w:color w:val="0B0B0B"/>
          <w:spacing w:val="40"/>
        </w:rPr>
        <w:t> </w:t>
      </w:r>
      <w:r>
        <w:rPr>
          <w:color w:val="0B0B0B"/>
        </w:rPr>
        <w:t>IVA que le hayan trasladado al contribuyente y el propio impuesto que él hubiese pagado con motivo de la importación de bienes y servicios, en el mes de que se trate.</w:t>
      </w:r>
    </w:p>
    <w:p>
      <w:pPr>
        <w:pStyle w:val="BodyText"/>
        <w:spacing w:line="252" w:lineRule="auto" w:before="104"/>
        <w:ind w:right="257"/>
      </w:pPr>
      <w:r>
        <w:rPr>
          <w:color w:val="0B0B0B"/>
        </w:rPr>
        <w:t>En</w:t>
      </w:r>
      <w:r>
        <w:rPr>
          <w:color w:val="0B0B0B"/>
          <w:spacing w:val="-1"/>
        </w:rPr>
        <w:t> </w:t>
      </w:r>
      <w:r>
        <w:rPr>
          <w:color w:val="0B0B0B"/>
        </w:rPr>
        <w:t>algunos actos</w:t>
      </w:r>
      <w:r>
        <w:rPr>
          <w:color w:val="0B0B0B"/>
          <w:spacing w:val="-1"/>
        </w:rPr>
        <w:t> </w:t>
      </w:r>
      <w:r>
        <w:rPr>
          <w:color w:val="0B0B0B"/>
        </w:rPr>
        <w:t>o actividades</w:t>
      </w:r>
      <w:r>
        <w:rPr>
          <w:color w:val="0B0B0B"/>
          <w:spacing w:val="-1"/>
        </w:rPr>
        <w:t> </w:t>
      </w:r>
      <w:r>
        <w:rPr>
          <w:color w:val="0B0B0B"/>
        </w:rPr>
        <w:t>que conforme</w:t>
      </w:r>
      <w:r>
        <w:rPr>
          <w:color w:val="0B0B0B"/>
          <w:spacing w:val="-1"/>
        </w:rPr>
        <w:t> </w:t>
      </w:r>
      <w:r>
        <w:rPr>
          <w:color w:val="0B0B0B"/>
        </w:rPr>
        <w:t>a la Ley del IVA</w:t>
      </w:r>
      <w:r>
        <w:rPr>
          <w:color w:val="0B0B0B"/>
          <w:spacing w:val="-1"/>
        </w:rPr>
        <w:t> </w:t>
      </w:r>
      <w:r>
        <w:rPr>
          <w:color w:val="0B0B0B"/>
        </w:rPr>
        <w:t>no dan</w:t>
      </w:r>
      <w:r>
        <w:rPr>
          <w:color w:val="0B0B0B"/>
          <w:spacing w:val="-1"/>
        </w:rPr>
        <w:t> </w:t>
      </w:r>
      <w:r>
        <w:rPr>
          <w:color w:val="0B0B0B"/>
        </w:rPr>
        <w:t>lugar</w:t>
      </w:r>
      <w:r>
        <w:rPr>
          <w:color w:val="0B0B0B"/>
          <w:spacing w:val="-2"/>
        </w:rPr>
        <w:t> </w:t>
      </w:r>
      <w:r>
        <w:rPr>
          <w:color w:val="0B0B0B"/>
        </w:rPr>
        <w:t>al pago del impuesto</w:t>
      </w:r>
      <w:r>
        <w:rPr>
          <w:color w:val="0B0B0B"/>
        </w:rPr>
        <w:t> o que se encuentran afectos a la tasa del 0%, diversos contribuyentes cobran, además de la contraprestación por</w:t>
      </w:r>
      <w:r>
        <w:rPr>
          <w:color w:val="0B0B0B"/>
        </w:rPr>
        <w:t> dicha operación, una cantidad adicional correspondiente al 16% de dicha contraprestación, que el adquirente de bienes o servicios considera como IVA acreditable.</w:t>
      </w:r>
    </w:p>
    <w:p>
      <w:pPr>
        <w:pStyle w:val="BodyText"/>
        <w:spacing w:before="10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58"/>
        </w:numPr>
        <w:tabs>
          <w:tab w:pos="2664" w:val="left" w:leader="none"/>
        </w:tabs>
        <w:spacing w:line="254" w:lineRule="auto" w:before="111" w:after="0"/>
        <w:ind w:left="2664" w:right="260" w:hanging="504"/>
        <w:jc w:val="left"/>
        <w:rPr>
          <w:sz w:val="18"/>
        </w:rPr>
      </w:pPr>
      <w:r>
        <w:rPr>
          <w:color w:val="0B0B0B"/>
          <w:sz w:val="18"/>
        </w:rPr>
        <w:t>Aquellos contribuyentes que acrediten la cantidad pagada como excedente a la contraprestación pactada con el contribuyente.</w:t>
      </w:r>
    </w:p>
    <w:p>
      <w:pPr>
        <w:pStyle w:val="ListParagraph"/>
        <w:numPr>
          <w:ilvl w:val="0"/>
          <w:numId w:val="58"/>
        </w:numPr>
        <w:tabs>
          <w:tab w:pos="2664" w:val="left" w:leader="none"/>
        </w:tabs>
        <w:spacing w:line="254" w:lineRule="auto" w:before="99" w:after="0"/>
        <w:ind w:left="2664" w:right="258" w:hanging="504"/>
        <w:jc w:val="left"/>
        <w:rPr>
          <w:sz w:val="18"/>
        </w:rPr>
      </w:pPr>
      <w:r>
        <w:rPr>
          <w:color w:val="0B0B0B"/>
          <w:sz w:val="18"/>
        </w:rPr>
        <w:t>Quien</w:t>
      </w:r>
      <w:r>
        <w:rPr>
          <w:color w:val="0B0B0B"/>
          <w:spacing w:val="40"/>
          <w:sz w:val="18"/>
        </w:rPr>
        <w:t> </w:t>
      </w:r>
      <w:r>
        <w:rPr>
          <w:color w:val="0B0B0B"/>
          <w:sz w:val="18"/>
        </w:rPr>
        <w:t>asesore,</w:t>
      </w:r>
      <w:r>
        <w:rPr>
          <w:color w:val="0B0B0B"/>
          <w:spacing w:val="40"/>
          <w:sz w:val="18"/>
        </w:rPr>
        <w:t> </w:t>
      </w:r>
      <w:r>
        <w:rPr>
          <w:color w:val="0B0B0B"/>
          <w:sz w:val="18"/>
        </w:rPr>
        <w:t>aconseje,</w:t>
      </w:r>
      <w:r>
        <w:rPr>
          <w:color w:val="0B0B0B"/>
          <w:spacing w:val="40"/>
          <w:sz w:val="18"/>
        </w:rPr>
        <w:t> </w:t>
      </w:r>
      <w:r>
        <w:rPr>
          <w:color w:val="0B0B0B"/>
          <w:sz w:val="18"/>
        </w:rPr>
        <w:t>preste</w:t>
      </w:r>
      <w:r>
        <w:rPr>
          <w:color w:val="0B0B0B"/>
          <w:spacing w:val="40"/>
          <w:sz w:val="18"/>
        </w:rPr>
        <w:t> </w:t>
      </w:r>
      <w:r>
        <w:rPr>
          <w:color w:val="0B0B0B"/>
          <w:sz w:val="18"/>
        </w:rPr>
        <w:t>servicios</w:t>
      </w:r>
      <w:r>
        <w:rPr>
          <w:color w:val="0B0B0B"/>
          <w:spacing w:val="40"/>
          <w:sz w:val="18"/>
        </w:rPr>
        <w:t> </w:t>
      </w:r>
      <w:r>
        <w:rPr>
          <w:color w:val="0B0B0B"/>
          <w:sz w:val="18"/>
        </w:rPr>
        <w:t>o</w:t>
      </w:r>
      <w:r>
        <w:rPr>
          <w:color w:val="0B0B0B"/>
          <w:spacing w:val="40"/>
          <w:sz w:val="18"/>
        </w:rPr>
        <w:t> </w:t>
      </w:r>
      <w:r>
        <w:rPr>
          <w:color w:val="0B0B0B"/>
          <w:sz w:val="18"/>
        </w:rPr>
        <w:t>participe</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realización</w:t>
      </w:r>
      <w:r>
        <w:rPr>
          <w:color w:val="0B0B0B"/>
          <w:spacing w:val="40"/>
          <w:sz w:val="18"/>
        </w:rPr>
        <w:t> </w:t>
      </w:r>
      <w:r>
        <w:rPr>
          <w:color w:val="0B0B0B"/>
          <w:sz w:val="18"/>
        </w:rPr>
        <w:t>o</w:t>
      </w:r>
      <w:r>
        <w:rPr>
          <w:color w:val="0B0B0B"/>
          <w:spacing w:val="80"/>
          <w:sz w:val="18"/>
        </w:rPr>
        <w:t> </w:t>
      </w:r>
      <w:r>
        <w:rPr>
          <w:color w:val="0B0B0B"/>
          <w:sz w:val="18"/>
        </w:rPr>
        <w:t>implementación de la práctica anterior.</w:t>
      </w:r>
    </w:p>
    <w:p>
      <w:pPr>
        <w:pStyle w:val="BodyText"/>
        <w:spacing w:before="0"/>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19" w:hRule="atLeast"/>
        </w:trPr>
        <w:tc>
          <w:tcPr>
            <w:tcW w:w="2778" w:type="dxa"/>
            <w:shd w:val="clear" w:color="auto" w:fill="BDBDBD"/>
          </w:tcPr>
          <w:p>
            <w:pPr>
              <w:pStyle w:val="TableParagraph"/>
              <w:spacing w:before="25"/>
              <w:ind w:left="12" w:right="1"/>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5"/>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54" w:hRule="atLeast"/>
        </w:trPr>
        <w:tc>
          <w:tcPr>
            <w:tcW w:w="2778" w:type="dxa"/>
          </w:tcPr>
          <w:p>
            <w:pPr>
              <w:pStyle w:val="TableParagraph"/>
              <w:spacing w:line="285" w:lineRule="auto"/>
              <w:ind w:right="24"/>
              <w:rPr>
                <w:sz w:val="16"/>
              </w:rPr>
            </w:pPr>
            <w:r>
              <w:rPr>
                <w:color w:val="0B0B0B"/>
                <w:sz w:val="16"/>
              </w:rPr>
              <w:t>Quinta</w:t>
            </w:r>
            <w:r>
              <w:rPr>
                <w:color w:val="0B0B0B"/>
                <w:spacing w:val="-12"/>
                <w:sz w:val="16"/>
              </w:rPr>
              <w:t> </w:t>
            </w:r>
            <w:r>
              <w:rPr>
                <w:color w:val="0B0B0B"/>
                <w:sz w:val="16"/>
              </w:rPr>
              <w:t>Resolución</w:t>
            </w:r>
            <w:r>
              <w:rPr>
                <w:color w:val="0B0B0B"/>
                <w:spacing w:val="-11"/>
                <w:sz w:val="16"/>
              </w:rPr>
              <w:t> </w:t>
            </w:r>
            <w:r>
              <w:rPr>
                <w:color w:val="0B0B0B"/>
                <w:sz w:val="16"/>
              </w:rPr>
              <w:t>de</w:t>
            </w:r>
            <w:r>
              <w:rPr>
                <w:color w:val="0B0B0B"/>
                <w:spacing w:val="-11"/>
                <w:sz w:val="16"/>
              </w:rPr>
              <w:t> </w:t>
            </w:r>
            <w:r>
              <w:rPr>
                <w:color w:val="0B0B0B"/>
                <w:sz w:val="16"/>
              </w:rPr>
              <w:t>Modificaciones a la RMF para 2015</w:t>
            </w:r>
          </w:p>
        </w:tc>
        <w:tc>
          <w:tcPr>
            <w:tcW w:w="4126" w:type="dxa"/>
          </w:tcPr>
          <w:p>
            <w:pPr>
              <w:pStyle w:val="TableParagraph"/>
              <w:spacing w:line="285" w:lineRule="auto"/>
              <w:ind w:right="57"/>
              <w:jc w:val="both"/>
              <w:rPr>
                <w:sz w:val="16"/>
              </w:rPr>
            </w:pPr>
            <w:r>
              <w:rPr>
                <w:color w:val="0B0B0B"/>
                <w:sz w:val="16"/>
              </w:rPr>
              <w:t>Publicada en el DOF el 19 de noviembre de 2015, Anexo 3, publicado en el DOF el 20 de noviembre de </w:t>
            </w:r>
            <w:r>
              <w:rPr>
                <w:color w:val="0B0B0B"/>
                <w:spacing w:val="-2"/>
                <w:sz w:val="16"/>
              </w:rPr>
              <w:t>2015.</w:t>
            </w:r>
          </w:p>
        </w:tc>
      </w:tr>
    </w:tbl>
    <w:p>
      <w:pPr>
        <w:pStyle w:val="BodyText"/>
        <w:spacing w:before="118"/>
        <w:ind w:left="0"/>
        <w:jc w:val="left"/>
      </w:pPr>
    </w:p>
    <w:p>
      <w:pPr>
        <w:pStyle w:val="Heading1"/>
        <w:tabs>
          <w:tab w:pos="2145" w:val="left" w:leader="none"/>
        </w:tabs>
        <w:spacing w:before="1"/>
        <w:ind w:hanging="1009"/>
      </w:pPr>
      <w:r>
        <w:rPr>
          <w:color w:val="0B0B0B"/>
          <w:spacing w:val="-2"/>
        </w:rPr>
        <w:t>10/IVA/PI</w:t>
      </w:r>
      <w:r>
        <w:rPr>
          <w:color w:val="0B0B0B"/>
        </w:rPr>
        <w:tab/>
        <w:t>Bienes</w:t>
      </w:r>
      <w:r>
        <w:rPr>
          <w:color w:val="0B0B0B"/>
          <w:spacing w:val="-6"/>
        </w:rPr>
        <w:t> </w:t>
      </w:r>
      <w:r>
        <w:rPr>
          <w:color w:val="0B0B0B"/>
        </w:rPr>
        <w:t>inmuebles</w:t>
      </w:r>
      <w:r>
        <w:rPr>
          <w:color w:val="0B0B0B"/>
          <w:spacing w:val="-6"/>
        </w:rPr>
        <w:t> </w:t>
      </w:r>
      <w:r>
        <w:rPr>
          <w:color w:val="0B0B0B"/>
        </w:rPr>
        <w:t>destinados</w:t>
      </w:r>
      <w:r>
        <w:rPr>
          <w:color w:val="0B0B0B"/>
          <w:spacing w:val="-6"/>
        </w:rPr>
        <w:t> </w:t>
      </w:r>
      <w:r>
        <w:rPr>
          <w:color w:val="0B0B0B"/>
        </w:rPr>
        <w:t>a</w:t>
      </w:r>
      <w:r>
        <w:rPr>
          <w:color w:val="0B0B0B"/>
          <w:spacing w:val="-6"/>
        </w:rPr>
        <w:t> </w:t>
      </w:r>
      <w:r>
        <w:rPr>
          <w:color w:val="0B0B0B"/>
        </w:rPr>
        <w:t>hospedaje,</w:t>
      </w:r>
      <w:r>
        <w:rPr>
          <w:color w:val="0B0B0B"/>
          <w:spacing w:val="-6"/>
        </w:rPr>
        <w:t> </w:t>
      </w:r>
      <w:r>
        <w:rPr>
          <w:color w:val="0B0B0B"/>
        </w:rPr>
        <w:t>a</w:t>
      </w:r>
      <w:r>
        <w:rPr>
          <w:color w:val="0B0B0B"/>
          <w:spacing w:val="-6"/>
        </w:rPr>
        <w:t> </w:t>
      </w:r>
      <w:r>
        <w:rPr>
          <w:color w:val="0B0B0B"/>
        </w:rPr>
        <w:t>través</w:t>
      </w:r>
      <w:r>
        <w:rPr>
          <w:color w:val="0B0B0B"/>
          <w:spacing w:val="-6"/>
        </w:rPr>
        <w:t> </w:t>
      </w:r>
      <w:r>
        <w:rPr>
          <w:color w:val="0B0B0B"/>
        </w:rPr>
        <w:t>de</w:t>
      </w:r>
      <w:r>
        <w:rPr>
          <w:color w:val="0B0B0B"/>
          <w:spacing w:val="-6"/>
        </w:rPr>
        <w:t> </w:t>
      </w:r>
      <w:r>
        <w:rPr>
          <w:color w:val="0B0B0B"/>
        </w:rPr>
        <w:t>plataformas</w:t>
      </w:r>
      <w:r>
        <w:rPr>
          <w:color w:val="0B0B0B"/>
          <w:spacing w:val="-6"/>
        </w:rPr>
        <w:t> </w:t>
      </w:r>
      <w:r>
        <w:rPr>
          <w:color w:val="0B0B0B"/>
          <w:spacing w:val="-2"/>
        </w:rPr>
        <w:t>tecnológicas.</w:t>
      </w:r>
    </w:p>
    <w:p>
      <w:pPr>
        <w:pStyle w:val="BodyText"/>
        <w:spacing w:line="252" w:lineRule="auto" w:before="112"/>
        <w:ind w:right="256"/>
      </w:pPr>
      <w:r>
        <w:rPr>
          <w:color w:val="0B0B0B"/>
        </w:rPr>
        <w:t>El artículo 1o., fracción III de la Ley del IVA establece que las personas físicas y morales que en territorio nacional otorguen el uso o goce temporal de bienes,</w:t>
      </w:r>
      <w:r>
        <w:rPr>
          <w:color w:val="0B0B0B"/>
        </w:rPr>
        <w:t> se encuentran obligadas al pago del impuesto a la tasa del 16%.</w:t>
      </w:r>
    </w:p>
    <w:p>
      <w:pPr>
        <w:pStyle w:val="BodyText"/>
        <w:spacing w:line="252" w:lineRule="auto" w:before="103"/>
        <w:ind w:right="257"/>
      </w:pPr>
      <w:r>
        <w:rPr>
          <w:color w:val="0B0B0B"/>
        </w:rPr>
        <w:t>El artículo 19, primer párrafo de la citada Ley establece que se entiende por uso o</w:t>
      </w:r>
      <w:r>
        <w:rPr>
          <w:color w:val="0B0B0B"/>
          <w:spacing w:val="40"/>
        </w:rPr>
        <w:t> </w:t>
      </w:r>
      <w:r>
        <w:rPr>
          <w:color w:val="0B0B0B"/>
        </w:rPr>
        <w:t>goce temporal de bienes, el arrendamiento, el usufructo y cualquier otro acto, independientemente de la forma jurídica que al efecto se utilice, por el que una</w:t>
      </w:r>
      <w:r>
        <w:rPr>
          <w:color w:val="0B0B0B"/>
          <w:spacing w:val="40"/>
        </w:rPr>
        <w:t> </w:t>
      </w:r>
      <w:r>
        <w:rPr>
          <w:color w:val="0B0B0B"/>
        </w:rPr>
        <w:t>persona permita a otra usar o gozar temporalmente bienes tangibles a cambio de una </w:t>
      </w:r>
      <w:r>
        <w:rPr>
          <w:color w:val="0B0B0B"/>
          <w:spacing w:val="-2"/>
        </w:rPr>
        <w:t>contraprestación.</w:t>
      </w:r>
    </w:p>
    <w:p>
      <w:pPr>
        <w:pStyle w:val="BodyText"/>
        <w:spacing w:line="252" w:lineRule="auto" w:before="103"/>
        <w:ind w:right="259"/>
      </w:pPr>
      <w:r>
        <w:rPr>
          <w:color w:val="0B0B0B"/>
        </w:rPr>
        <w:t>Por su parte, el artículo 20, fracción II de la Ley del IVA establece que no se pagará el impuesto por el uso o goce temporal de los inmuebles destinados a casa habitación,</w:t>
      </w:r>
      <w:r>
        <w:rPr>
          <w:color w:val="0B0B0B"/>
          <w:spacing w:val="40"/>
        </w:rPr>
        <w:t> </w:t>
      </w:r>
      <w:r>
        <w:rPr>
          <w:color w:val="0B0B0B"/>
        </w:rPr>
        <w:t>no siendo aplicable dicha exención a los inmuebles o parte de ellos en los casos </w:t>
      </w:r>
      <w:r>
        <w:rPr>
          <w:color w:val="0B0B0B"/>
          <w:spacing w:val="-2"/>
        </w:rPr>
        <w:t>siguientes:</w:t>
      </w:r>
    </w:p>
    <w:p>
      <w:pPr>
        <w:pStyle w:val="ListParagraph"/>
        <w:numPr>
          <w:ilvl w:val="0"/>
          <w:numId w:val="59"/>
        </w:numPr>
        <w:tabs>
          <w:tab w:pos="2663" w:val="left" w:leader="none"/>
        </w:tabs>
        <w:spacing w:line="240" w:lineRule="auto" w:before="104" w:after="0"/>
        <w:ind w:left="2663" w:right="0" w:hanging="503"/>
        <w:jc w:val="both"/>
        <w:rPr>
          <w:sz w:val="18"/>
        </w:rPr>
      </w:pPr>
      <w:r>
        <w:rPr>
          <w:color w:val="0B0B0B"/>
          <w:sz w:val="18"/>
        </w:rPr>
        <w:t>A</w:t>
      </w:r>
      <w:r>
        <w:rPr>
          <w:color w:val="0B0B0B"/>
          <w:spacing w:val="-8"/>
          <w:sz w:val="18"/>
        </w:rPr>
        <w:t> </w:t>
      </w:r>
      <w:r>
        <w:rPr>
          <w:color w:val="0B0B0B"/>
          <w:sz w:val="18"/>
        </w:rPr>
        <w:t>inmuebles</w:t>
      </w:r>
      <w:r>
        <w:rPr>
          <w:color w:val="0B0B0B"/>
          <w:spacing w:val="-8"/>
          <w:sz w:val="18"/>
        </w:rPr>
        <w:t> </w:t>
      </w:r>
      <w:r>
        <w:rPr>
          <w:color w:val="0B0B0B"/>
          <w:spacing w:val="-2"/>
          <w:sz w:val="18"/>
        </w:rPr>
        <w:t>amueblados.</w:t>
      </w:r>
    </w:p>
    <w:p>
      <w:pPr>
        <w:pStyle w:val="ListParagraph"/>
        <w:numPr>
          <w:ilvl w:val="0"/>
          <w:numId w:val="59"/>
        </w:numPr>
        <w:tabs>
          <w:tab w:pos="2663" w:val="left" w:leader="none"/>
        </w:tabs>
        <w:spacing w:line="240" w:lineRule="auto" w:before="112" w:after="0"/>
        <w:ind w:left="2663" w:right="0" w:hanging="503"/>
        <w:jc w:val="both"/>
        <w:rPr>
          <w:sz w:val="18"/>
        </w:rPr>
      </w:pPr>
      <w:r>
        <w:rPr>
          <w:color w:val="0B0B0B"/>
          <w:sz w:val="18"/>
        </w:rPr>
        <w:t>A</w:t>
      </w:r>
      <w:r>
        <w:rPr>
          <w:color w:val="0B0B0B"/>
          <w:spacing w:val="-9"/>
          <w:sz w:val="18"/>
        </w:rPr>
        <w:t> </w:t>
      </w:r>
      <w:r>
        <w:rPr>
          <w:color w:val="0B0B0B"/>
          <w:sz w:val="18"/>
        </w:rPr>
        <w:t>inmuebles</w:t>
      </w:r>
      <w:r>
        <w:rPr>
          <w:color w:val="0B0B0B"/>
          <w:spacing w:val="-9"/>
          <w:sz w:val="18"/>
        </w:rPr>
        <w:t> </w:t>
      </w:r>
      <w:r>
        <w:rPr>
          <w:color w:val="0B0B0B"/>
          <w:sz w:val="18"/>
        </w:rPr>
        <w:t>destinados</w:t>
      </w:r>
      <w:r>
        <w:rPr>
          <w:color w:val="0B0B0B"/>
          <w:spacing w:val="-9"/>
          <w:sz w:val="18"/>
        </w:rPr>
        <w:t> </w:t>
      </w:r>
      <w:r>
        <w:rPr>
          <w:color w:val="0B0B0B"/>
          <w:sz w:val="18"/>
        </w:rPr>
        <w:t>como</w:t>
      </w:r>
      <w:r>
        <w:rPr>
          <w:color w:val="0B0B0B"/>
          <w:spacing w:val="-9"/>
          <w:sz w:val="18"/>
        </w:rPr>
        <w:t> </w:t>
      </w:r>
      <w:r>
        <w:rPr>
          <w:color w:val="0B0B0B"/>
          <w:spacing w:val="-2"/>
          <w:sz w:val="18"/>
        </w:rPr>
        <w:t>hoteles.</w:t>
      </w:r>
    </w:p>
    <w:p>
      <w:pPr>
        <w:pStyle w:val="ListParagraph"/>
        <w:numPr>
          <w:ilvl w:val="0"/>
          <w:numId w:val="59"/>
        </w:numPr>
        <w:tabs>
          <w:tab w:pos="2663" w:val="left" w:leader="none"/>
        </w:tabs>
        <w:spacing w:line="240" w:lineRule="auto" w:before="113" w:after="0"/>
        <w:ind w:left="2663" w:right="0" w:hanging="503"/>
        <w:jc w:val="left"/>
        <w:rPr>
          <w:sz w:val="18"/>
        </w:rPr>
      </w:pPr>
      <w:r>
        <w:rPr>
          <w:color w:val="0B0B0B"/>
          <w:sz w:val="18"/>
        </w:rPr>
        <w:t>A</w:t>
      </w:r>
      <w:r>
        <w:rPr>
          <w:color w:val="0B0B0B"/>
          <w:spacing w:val="-8"/>
          <w:sz w:val="18"/>
        </w:rPr>
        <w:t> </w:t>
      </w:r>
      <w:r>
        <w:rPr>
          <w:color w:val="0B0B0B"/>
          <w:sz w:val="18"/>
        </w:rPr>
        <w:t>inmuebles</w:t>
      </w:r>
      <w:r>
        <w:rPr>
          <w:color w:val="0B0B0B"/>
          <w:spacing w:val="-7"/>
          <w:sz w:val="18"/>
        </w:rPr>
        <w:t> </w:t>
      </w:r>
      <w:r>
        <w:rPr>
          <w:color w:val="0B0B0B"/>
          <w:sz w:val="18"/>
        </w:rPr>
        <w:t>destinados</w:t>
      </w:r>
      <w:r>
        <w:rPr>
          <w:color w:val="0B0B0B"/>
          <w:spacing w:val="-8"/>
          <w:sz w:val="18"/>
        </w:rPr>
        <w:t> </w:t>
      </w:r>
      <w:r>
        <w:rPr>
          <w:color w:val="0B0B0B"/>
          <w:sz w:val="18"/>
        </w:rPr>
        <w:t>como</w:t>
      </w:r>
      <w:r>
        <w:rPr>
          <w:color w:val="0B0B0B"/>
          <w:spacing w:val="-7"/>
          <w:sz w:val="18"/>
        </w:rPr>
        <w:t> </w:t>
      </w:r>
      <w:r>
        <w:rPr>
          <w:color w:val="0B0B0B"/>
          <w:sz w:val="18"/>
        </w:rPr>
        <w:t>casas</w:t>
      </w:r>
      <w:r>
        <w:rPr>
          <w:color w:val="0B0B0B"/>
          <w:spacing w:val="-8"/>
          <w:sz w:val="18"/>
        </w:rPr>
        <w:t> </w:t>
      </w:r>
      <w:r>
        <w:rPr>
          <w:color w:val="0B0B0B"/>
          <w:sz w:val="18"/>
        </w:rPr>
        <w:t>de</w:t>
      </w:r>
      <w:r>
        <w:rPr>
          <w:color w:val="0B0B0B"/>
          <w:spacing w:val="-6"/>
          <w:sz w:val="18"/>
        </w:rPr>
        <w:t> </w:t>
      </w:r>
      <w:r>
        <w:rPr>
          <w:color w:val="0B0B0B"/>
          <w:spacing w:val="-2"/>
          <w:sz w:val="18"/>
        </w:rPr>
        <w:t>hospedaje.</w:t>
      </w:r>
    </w:p>
    <w:p>
      <w:pPr>
        <w:pStyle w:val="ListParagraph"/>
        <w:spacing w:after="0" w:line="240" w:lineRule="auto"/>
        <w:jc w:val="left"/>
        <w:rPr>
          <w:sz w:val="18"/>
        </w:rPr>
        <w:sectPr>
          <w:headerReference w:type="default" r:id="rId56"/>
          <w:pgSz w:w="12240" w:h="15840"/>
          <w:pgMar w:header="690" w:footer="0" w:top="1040" w:bottom="280" w:left="1440" w:right="1440"/>
        </w:sectPr>
      </w:pPr>
    </w:p>
    <w:p>
      <w:pPr>
        <w:pStyle w:val="BodyText"/>
        <w:spacing w:line="254" w:lineRule="auto" w:before="113"/>
        <w:ind w:right="260"/>
      </w:pPr>
      <w:r>
        <w:rPr>
          <w:color w:val="0B0B0B"/>
        </w:rPr>
        <w:t>Se ha detectado que existen contribuyentes personas físicas y morales que a través</w:t>
      </w:r>
      <w:r>
        <w:rPr>
          <w:color w:val="0B0B0B"/>
          <w:spacing w:val="40"/>
        </w:rPr>
        <w:t> </w:t>
      </w:r>
      <w:r>
        <w:rPr>
          <w:color w:val="0B0B0B"/>
        </w:rPr>
        <w:t>de</w:t>
      </w:r>
      <w:r>
        <w:rPr>
          <w:color w:val="0B0B0B"/>
          <w:spacing w:val="-1"/>
        </w:rPr>
        <w:t> </w:t>
      </w:r>
      <w:r>
        <w:rPr>
          <w:color w:val="0B0B0B"/>
        </w:rPr>
        <w:t>una</w:t>
      </w:r>
      <w:r>
        <w:rPr>
          <w:color w:val="0B0B0B"/>
          <w:spacing w:val="-1"/>
        </w:rPr>
        <w:t> </w:t>
      </w:r>
      <w:r>
        <w:rPr>
          <w:color w:val="0B0B0B"/>
        </w:rPr>
        <w:t>plataforma</w:t>
      </w:r>
      <w:r>
        <w:rPr>
          <w:color w:val="0B0B0B"/>
          <w:spacing w:val="-2"/>
        </w:rPr>
        <w:t> </w:t>
      </w:r>
      <w:r>
        <w:rPr>
          <w:color w:val="0B0B0B"/>
        </w:rPr>
        <w:t>tecnológica otorgan</w:t>
      </w:r>
      <w:r>
        <w:rPr>
          <w:color w:val="0B0B0B"/>
          <w:spacing w:val="-1"/>
        </w:rPr>
        <w:t> </w:t>
      </w:r>
      <w:r>
        <w:rPr>
          <w:color w:val="0B0B0B"/>
        </w:rPr>
        <w:t>hospedaje,</w:t>
      </w:r>
      <w:r>
        <w:rPr>
          <w:color w:val="0B0B0B"/>
          <w:spacing w:val="-1"/>
        </w:rPr>
        <w:t> </w:t>
      </w:r>
      <w:r>
        <w:rPr>
          <w:color w:val="0B0B0B"/>
        </w:rPr>
        <w:t>sin</w:t>
      </w:r>
      <w:r>
        <w:rPr>
          <w:color w:val="0B0B0B"/>
          <w:spacing w:val="-1"/>
        </w:rPr>
        <w:t> </w:t>
      </w:r>
      <w:r>
        <w:rPr>
          <w:color w:val="0B0B0B"/>
        </w:rPr>
        <w:t>pagar el</w:t>
      </w:r>
      <w:r>
        <w:rPr>
          <w:color w:val="0B0B0B"/>
          <w:spacing w:val="-1"/>
        </w:rPr>
        <w:t> </w:t>
      </w:r>
      <w:r>
        <w:rPr>
          <w:color w:val="0B0B0B"/>
        </w:rPr>
        <w:t>IVA</w:t>
      </w:r>
      <w:r>
        <w:rPr>
          <w:color w:val="0B0B0B"/>
          <w:spacing w:val="-1"/>
        </w:rPr>
        <w:t> </w:t>
      </w:r>
      <w:r>
        <w:rPr>
          <w:color w:val="0B0B0B"/>
        </w:rPr>
        <w:t>por</w:t>
      </w:r>
      <w:r>
        <w:rPr>
          <w:color w:val="0B0B0B"/>
          <w:spacing w:val="-1"/>
        </w:rPr>
        <w:t> </w:t>
      </w:r>
      <w:r>
        <w:rPr>
          <w:color w:val="0B0B0B"/>
        </w:rPr>
        <w:t>dicha</w:t>
      </w:r>
      <w:r>
        <w:rPr>
          <w:color w:val="0B0B0B"/>
          <w:spacing w:val="-1"/>
        </w:rPr>
        <w:t> </w:t>
      </w:r>
      <w:r>
        <w:rPr>
          <w:color w:val="0B0B0B"/>
        </w:rPr>
        <w:t>actividad.</w:t>
      </w:r>
    </w:p>
    <w:p>
      <w:pPr>
        <w:pStyle w:val="BodyText"/>
        <w:spacing w:line="254" w:lineRule="auto" w:before="97"/>
        <w:ind w:right="257"/>
      </w:pPr>
      <w:r>
        <w:rPr>
          <w:color w:val="0B0B0B"/>
        </w:rPr>
        <w:t>Dado que el hospedaje se excluye de la exención que se aplica por</w:t>
      </w:r>
      <w:r>
        <w:rPr>
          <w:color w:val="0B0B0B"/>
        </w:rPr>
        <w:t> el uso o goce temporal de inmuebles destinados o utilizados exclusivamente para casa habitación, dicha actividad está afecta al pago del IVA.</w:t>
      </w:r>
    </w:p>
    <w:p>
      <w:pPr>
        <w:pStyle w:val="BodyText"/>
        <w:spacing w:line="252" w:lineRule="auto" w:before="98"/>
        <w:ind w:right="258"/>
      </w:pPr>
      <w:r>
        <w:rPr>
          <w:color w:val="0B0B0B"/>
        </w:rPr>
        <w:t>Derivado de lo anterior, las personas físicas o morales que utilicen plataformas tecnológicas para otorgar el hospedaje antes aludido, deberán pagar el 16% del IVA sobre el monto de la contraprestación pactada.</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0"/>
        </w:numPr>
        <w:tabs>
          <w:tab w:pos="2664" w:val="left" w:leader="none"/>
        </w:tabs>
        <w:spacing w:line="252" w:lineRule="auto" w:before="112" w:after="0"/>
        <w:ind w:left="2664" w:right="259" w:hanging="504"/>
        <w:jc w:val="left"/>
        <w:rPr>
          <w:sz w:val="18"/>
        </w:rPr>
      </w:pPr>
      <w:r>
        <w:rPr>
          <w:color w:val="0B0B0B"/>
          <w:sz w:val="18"/>
        </w:rPr>
        <w:t>Aquellos contribuyentes que omitan el pago del IVA</w:t>
      </w:r>
      <w:r>
        <w:rPr>
          <w:color w:val="0B0B0B"/>
          <w:spacing w:val="-1"/>
          <w:sz w:val="18"/>
        </w:rPr>
        <w:t> </w:t>
      </w:r>
      <w:r>
        <w:rPr>
          <w:color w:val="0B0B0B"/>
          <w:sz w:val="18"/>
        </w:rPr>
        <w:t>correspondiente por otorgar el hospedaje mediante el uso de plataformas tecnológicas.</w:t>
      </w:r>
    </w:p>
    <w:p>
      <w:pPr>
        <w:pStyle w:val="ListParagraph"/>
        <w:numPr>
          <w:ilvl w:val="0"/>
          <w:numId w:val="60"/>
        </w:numPr>
        <w:tabs>
          <w:tab w:pos="2664" w:val="left" w:leader="none"/>
        </w:tabs>
        <w:spacing w:line="254" w:lineRule="auto" w:before="102" w:after="0"/>
        <w:ind w:left="2664" w:right="258" w:hanging="504"/>
        <w:jc w:val="left"/>
        <w:rPr>
          <w:sz w:val="18"/>
        </w:rPr>
      </w:pPr>
      <w:r>
        <w:rPr>
          <w:color w:val="0B0B0B"/>
          <w:sz w:val="18"/>
        </w:rPr>
        <w:t>Quien</w:t>
      </w:r>
      <w:r>
        <w:rPr>
          <w:color w:val="0B0B0B"/>
          <w:spacing w:val="40"/>
          <w:sz w:val="18"/>
        </w:rPr>
        <w:t> </w:t>
      </w:r>
      <w:r>
        <w:rPr>
          <w:color w:val="0B0B0B"/>
          <w:sz w:val="18"/>
        </w:rPr>
        <w:t>asesore,</w:t>
      </w:r>
      <w:r>
        <w:rPr>
          <w:color w:val="0B0B0B"/>
          <w:spacing w:val="40"/>
          <w:sz w:val="18"/>
        </w:rPr>
        <w:t> </w:t>
      </w:r>
      <w:r>
        <w:rPr>
          <w:color w:val="0B0B0B"/>
          <w:sz w:val="18"/>
        </w:rPr>
        <w:t>aconseje,</w:t>
      </w:r>
      <w:r>
        <w:rPr>
          <w:color w:val="0B0B0B"/>
          <w:spacing w:val="40"/>
          <w:sz w:val="18"/>
        </w:rPr>
        <w:t> </w:t>
      </w:r>
      <w:r>
        <w:rPr>
          <w:color w:val="0B0B0B"/>
          <w:sz w:val="18"/>
        </w:rPr>
        <w:t>preste</w:t>
      </w:r>
      <w:r>
        <w:rPr>
          <w:color w:val="0B0B0B"/>
          <w:spacing w:val="40"/>
          <w:sz w:val="18"/>
        </w:rPr>
        <w:t> </w:t>
      </w:r>
      <w:r>
        <w:rPr>
          <w:color w:val="0B0B0B"/>
          <w:sz w:val="18"/>
        </w:rPr>
        <w:t>servicios</w:t>
      </w:r>
      <w:r>
        <w:rPr>
          <w:color w:val="0B0B0B"/>
          <w:spacing w:val="40"/>
          <w:sz w:val="18"/>
        </w:rPr>
        <w:t> </w:t>
      </w:r>
      <w:r>
        <w:rPr>
          <w:color w:val="0B0B0B"/>
          <w:sz w:val="18"/>
        </w:rPr>
        <w:t>o</w:t>
      </w:r>
      <w:r>
        <w:rPr>
          <w:color w:val="0B0B0B"/>
          <w:spacing w:val="40"/>
          <w:sz w:val="18"/>
        </w:rPr>
        <w:t> </w:t>
      </w:r>
      <w:r>
        <w:rPr>
          <w:color w:val="0B0B0B"/>
          <w:sz w:val="18"/>
        </w:rPr>
        <w:t>participe</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realización</w:t>
      </w:r>
      <w:r>
        <w:rPr>
          <w:color w:val="0B0B0B"/>
          <w:spacing w:val="40"/>
          <w:sz w:val="18"/>
        </w:rPr>
        <w:t> </w:t>
      </w:r>
      <w:r>
        <w:rPr>
          <w:color w:val="0B0B0B"/>
          <w:sz w:val="18"/>
        </w:rPr>
        <w:t>o</w:t>
      </w:r>
      <w:r>
        <w:rPr>
          <w:color w:val="0B0B0B"/>
          <w:spacing w:val="80"/>
          <w:sz w:val="18"/>
        </w:rPr>
        <w:t> </w:t>
      </w:r>
      <w:r>
        <w:rPr>
          <w:color w:val="0B0B0B"/>
          <w:sz w:val="18"/>
        </w:rPr>
        <w:t>implementación de la práctica anterior.</w:t>
      </w:r>
    </w:p>
    <w:p>
      <w:pPr>
        <w:pStyle w:val="BodyText"/>
        <w:spacing w:before="1" w:after="1"/>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18" w:hRule="atLeast"/>
        </w:trPr>
        <w:tc>
          <w:tcPr>
            <w:tcW w:w="2760"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5" w:hRule="atLeast"/>
        </w:trPr>
        <w:tc>
          <w:tcPr>
            <w:tcW w:w="2760" w:type="dxa"/>
          </w:tcPr>
          <w:p>
            <w:pPr>
              <w:pStyle w:val="TableParagraph"/>
              <w:tabs>
                <w:tab w:pos="1174" w:val="left" w:leader="none"/>
                <w:tab w:pos="2509" w:val="left" w:leader="none"/>
              </w:tabs>
              <w:spacing w:line="285" w:lineRule="auto"/>
              <w:ind w:right="55"/>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2019</w:t>
            </w:r>
          </w:p>
        </w:tc>
        <w:tc>
          <w:tcPr>
            <w:tcW w:w="4126" w:type="dxa"/>
          </w:tcPr>
          <w:p>
            <w:pPr>
              <w:pStyle w:val="TableParagraph"/>
              <w:spacing w:line="285" w:lineRule="auto"/>
              <w:rPr>
                <w:sz w:val="16"/>
              </w:rPr>
            </w:pPr>
            <w:r>
              <w:rPr>
                <w:color w:val="0B0B0B"/>
                <w:sz w:val="16"/>
              </w:rPr>
              <w:t>Publicada</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20</w:t>
            </w:r>
            <w:r>
              <w:rPr>
                <w:color w:val="0B0B0B"/>
                <w:spacing w:val="-2"/>
                <w:sz w:val="16"/>
              </w:rPr>
              <w:t> </w:t>
            </w:r>
            <w:r>
              <w:rPr>
                <w:color w:val="0B0B0B"/>
                <w:sz w:val="16"/>
              </w:rPr>
              <w:t>de</w:t>
            </w:r>
            <w:r>
              <w:rPr>
                <w:color w:val="0B0B0B"/>
                <w:spacing w:val="-2"/>
                <w:sz w:val="16"/>
              </w:rPr>
              <w:t> </w:t>
            </w:r>
            <w:r>
              <w:rPr>
                <w:color w:val="0B0B0B"/>
                <w:sz w:val="16"/>
              </w:rPr>
              <w:t>agosto</w:t>
            </w:r>
            <w:r>
              <w:rPr>
                <w:color w:val="0B0B0B"/>
                <w:spacing w:val="-2"/>
                <w:sz w:val="16"/>
              </w:rPr>
              <w:t> </w:t>
            </w:r>
            <w:r>
              <w:rPr>
                <w:color w:val="0B0B0B"/>
                <w:sz w:val="16"/>
              </w:rPr>
              <w:t>de</w:t>
            </w:r>
            <w:r>
              <w:rPr>
                <w:color w:val="0B0B0B"/>
                <w:spacing w:val="-2"/>
                <w:sz w:val="16"/>
              </w:rPr>
              <w:t> </w:t>
            </w:r>
            <w:r>
              <w:rPr>
                <w:color w:val="0B0B0B"/>
                <w:sz w:val="16"/>
              </w:rPr>
              <w:t>2019,</w:t>
            </w:r>
            <w:r>
              <w:rPr>
                <w:color w:val="0B0B0B"/>
                <w:spacing w:val="-2"/>
                <w:sz w:val="16"/>
              </w:rPr>
              <w:t> </w:t>
            </w:r>
            <w:r>
              <w:rPr>
                <w:color w:val="0B0B0B"/>
                <w:sz w:val="16"/>
              </w:rPr>
              <w:t>Anexo</w:t>
            </w:r>
            <w:r>
              <w:rPr>
                <w:color w:val="0B0B0B"/>
                <w:spacing w:val="-2"/>
                <w:sz w:val="16"/>
              </w:rPr>
              <w:t> </w:t>
            </w:r>
            <w:r>
              <w:rPr>
                <w:color w:val="0B0B0B"/>
                <w:sz w:val="16"/>
              </w:rPr>
              <w:t>3, publicado en el DOF el 21 de agosto de 2019.</w:t>
            </w:r>
          </w:p>
        </w:tc>
      </w:tr>
    </w:tbl>
    <w:p>
      <w:pPr>
        <w:pStyle w:val="BodyText"/>
        <w:spacing w:before="119"/>
        <w:ind w:left="0"/>
        <w:jc w:val="left"/>
      </w:pPr>
    </w:p>
    <w:p>
      <w:pPr>
        <w:pStyle w:val="Heading1"/>
        <w:spacing w:line="254" w:lineRule="auto"/>
        <w:ind w:right="258"/>
        <w:jc w:val="both"/>
      </w:pPr>
      <w:r>
        <w:rPr>
          <w:color w:val="0B0B0B"/>
        </w:rPr>
        <w:t>11/IVA/PI</w:t>
      </w:r>
      <w:r>
        <w:rPr>
          <w:color w:val="0B0B0B"/>
          <w:spacing w:val="40"/>
        </w:rPr>
        <w:t>  </w:t>
      </w:r>
      <w:r>
        <w:rPr>
          <w:color w:val="0B0B0B"/>
        </w:rPr>
        <w:t>Es improcedente acreditar el IVA sin cumplir los requisitos que establece la ley, así como la compensación de saldos a favor de IVA contra retenciones del ISR, tratándose de la Federación, la Ciudad de México, los Estados y los Municipios.</w:t>
      </w:r>
    </w:p>
    <w:p>
      <w:pPr>
        <w:pStyle w:val="BodyText"/>
        <w:spacing w:line="252" w:lineRule="auto" w:before="97"/>
        <w:ind w:right="254"/>
      </w:pPr>
      <w:r>
        <w:rPr>
          <w:color w:val="0B0B0B"/>
        </w:rPr>
        <w:t>Los artículos 1o. y 3o., primer párrafo de la Ley del IVA establecen que la Federación, la Ciudad de México, los Estados y los Municipios, aun cuando atentos a lo</w:t>
      </w:r>
      <w:r>
        <w:rPr>
          <w:color w:val="0B0B0B"/>
          <w:spacing w:val="40"/>
        </w:rPr>
        <w:t> </w:t>
      </w:r>
      <w:r>
        <w:rPr>
          <w:color w:val="0B0B0B"/>
        </w:rPr>
        <w:t>establecido en otras leyes o decretos no causen impuestos federales o estén exentos de ellos, están obligados a aceptar la traslación del IVA y, en su caso, pagarlo y trasladarlo, precisándose en el mismo artículo 3o., segundo párrafo, que tendrán la obligación de pagar el impuesto únicamente por los actos que realicen que no den lugar al pago de derechos o aprovechamientos y sólo podrán acreditar el IVA que les haya sido trasladado en las erogaciones o el pagado en la importación, que se identifique exclusivamente con las actividades por las que estén obligados al pago del impuesto establecido en la propia ley o les sea aplicable la tasa del 0%.</w:t>
      </w:r>
    </w:p>
    <w:p>
      <w:pPr>
        <w:pStyle w:val="BodyText"/>
        <w:spacing w:line="252" w:lineRule="auto" w:before="108"/>
        <w:ind w:right="258"/>
      </w:pPr>
      <w:r>
        <w:rPr>
          <w:color w:val="0B0B0B"/>
        </w:rPr>
        <w:t>De lo anterior se observa que por regla general no es procedente que dichos entes públicos lleven a cabo el acreditamiento del IVA que les hayan trasladado en erogaciones por</w:t>
      </w:r>
      <w:r>
        <w:rPr>
          <w:color w:val="0B0B0B"/>
        </w:rPr>
        <w:t> bienes o servicios que destinan a funciones o actividades que no forman parte del objeto del IVA, debiendo ser considerados como consumidores</w:t>
      </w:r>
      <w:r>
        <w:rPr>
          <w:color w:val="0B0B0B"/>
          <w:spacing w:val="40"/>
        </w:rPr>
        <w:t> </w:t>
      </w:r>
      <w:r>
        <w:rPr>
          <w:color w:val="0B0B0B"/>
        </w:rPr>
        <w:t>finales de los bienes y servicios y soportar la incidencia económica del impuesto y, en consecuencia, no se les debe devolver el IVA que se les haya trasladado.</w:t>
      </w:r>
    </w:p>
    <w:p>
      <w:pPr>
        <w:pStyle w:val="BodyText"/>
        <w:spacing w:line="254" w:lineRule="auto" w:before="104"/>
        <w:ind w:right="258"/>
      </w:pPr>
      <w:r>
        <w:rPr>
          <w:color w:val="0B0B0B"/>
        </w:rPr>
        <w:t>Las actividades que normalmente desarrollan corresponden a sus funciones de derecho público y, por lo tanto, están fuera del objeto del impuesto.</w:t>
      </w:r>
    </w:p>
    <w:p>
      <w:pPr>
        <w:pStyle w:val="BodyText"/>
        <w:spacing w:line="252" w:lineRule="auto" w:before="99"/>
        <w:ind w:right="255"/>
      </w:pPr>
      <w:r>
        <w:rPr>
          <w:color w:val="0B0B0B"/>
        </w:rPr>
        <w:t>No obstante, por excepción, los citados entes públicos desarrollan ciertas actividades que caen dentro del objeto del IVA por tratarse de enajenación de bienes o prestación de servicios en las que cobran un precio, debiendo consecuentemente pagar el impuesto. De ahí que sólo en estos casos procede el acreditamiento por el impuesto que les haya sido trasladado en erogaciones o que hayan pagado en importaciones,</w:t>
      </w:r>
      <w:r>
        <w:rPr>
          <w:color w:val="0B0B0B"/>
          <w:spacing w:val="40"/>
        </w:rPr>
        <w:t> </w:t>
      </w:r>
      <w:r>
        <w:rPr>
          <w:color w:val="0B0B0B"/>
        </w:rPr>
        <w:t>de bienes o servicios que se identifiquen exclusivamente con las actividades por las que se debe pagar el impuesto o las que se aplique la tasa del 0%.</w:t>
      </w:r>
    </w:p>
    <w:p>
      <w:pPr>
        <w:pStyle w:val="BodyText"/>
        <w:spacing w:line="252" w:lineRule="auto" w:before="106"/>
        <w:ind w:right="257"/>
      </w:pPr>
      <w:r>
        <w:rPr>
          <w:color w:val="0B0B0B"/>
        </w:rPr>
        <w:t>Acorde a lo anterior, a efecto de determinar el IVA a pagar, los artículos 4o. y</w:t>
      </w:r>
      <w:r>
        <w:rPr>
          <w:color w:val="0B0B0B"/>
          <w:spacing w:val="-1"/>
        </w:rPr>
        <w:t> </w:t>
      </w:r>
      <w:r>
        <w:rPr>
          <w:color w:val="0B0B0B"/>
        </w:rPr>
        <w:t>5o. de la citada Ley, señalan el procedimiento y requisitos del acreditamiento del impuesto, el cual consiste en restar el impuesto acreditable, de la cantidad que resulte de aplicar a los valores señalados en la Ley en comento, la tasa que corresponda según sea el </w:t>
      </w:r>
      <w:r>
        <w:rPr>
          <w:color w:val="0B0B0B"/>
          <w:spacing w:val="-2"/>
        </w:rPr>
        <w:t>caso.</w:t>
      </w:r>
    </w:p>
    <w:p>
      <w:pPr>
        <w:pStyle w:val="BodyText"/>
        <w:spacing w:line="252" w:lineRule="auto" w:before="104"/>
        <w:ind w:right="256"/>
      </w:pPr>
      <w:r>
        <w:rPr>
          <w:color w:val="0B0B0B"/>
        </w:rPr>
        <w:t>Asimismo, el artículo 32 de la Ley</w:t>
      </w:r>
      <w:r>
        <w:rPr>
          <w:color w:val="0B0B0B"/>
          <w:spacing w:val="-1"/>
        </w:rPr>
        <w:t> </w:t>
      </w:r>
      <w:r>
        <w:rPr>
          <w:color w:val="0B0B0B"/>
        </w:rPr>
        <w:t>del IVA, en sus fracciones I,</w:t>
      </w:r>
      <w:r>
        <w:rPr>
          <w:color w:val="0B0B0B"/>
          <w:spacing w:val="-1"/>
        </w:rPr>
        <w:t> </w:t>
      </w:r>
      <w:r>
        <w:rPr>
          <w:color w:val="0B0B0B"/>
        </w:rPr>
        <w:t>III, IV</w:t>
      </w:r>
      <w:r>
        <w:rPr>
          <w:color w:val="0B0B0B"/>
          <w:spacing w:val="-1"/>
        </w:rPr>
        <w:t> </w:t>
      </w:r>
      <w:r>
        <w:rPr>
          <w:color w:val="0B0B0B"/>
        </w:rPr>
        <w:t>y</w:t>
      </w:r>
      <w:r>
        <w:rPr>
          <w:color w:val="0B0B0B"/>
          <w:spacing w:val="-2"/>
        </w:rPr>
        <w:t> </w:t>
      </w:r>
      <w:r>
        <w:rPr>
          <w:color w:val="0B0B0B"/>
        </w:rPr>
        <w:t>VII, establece la obligación de llevar contabilidad, expedir comprobantes fiscales, presentar declaraciones, etc., y al no contar con estas no procede el acreditamiento que establece el artículo 3o. de dicha Ley.</w:t>
      </w:r>
    </w:p>
    <w:p>
      <w:pPr>
        <w:pStyle w:val="BodyText"/>
        <w:spacing w:after="0" w:line="252" w:lineRule="auto"/>
        <w:sectPr>
          <w:headerReference w:type="default" r:id="rId57"/>
          <w:pgSz w:w="12240" w:h="15840"/>
          <w:pgMar w:header="690" w:footer="0" w:top="1040" w:bottom="280" w:left="1440" w:right="1440"/>
        </w:sectPr>
      </w:pPr>
    </w:p>
    <w:p>
      <w:pPr>
        <w:pStyle w:val="BodyText"/>
        <w:spacing w:line="264" w:lineRule="auto" w:before="121"/>
        <w:ind w:right="257"/>
      </w:pPr>
      <w:r>
        <w:rPr>
          <w:color w:val="0B0B0B"/>
        </w:rPr>
        <w:t>En virtud de lo expuesto, de la interpretación adminiculada de las disposiciones</w:t>
      </w:r>
      <w:r>
        <w:rPr>
          <w:color w:val="0B0B0B"/>
          <w:spacing w:val="40"/>
        </w:rPr>
        <w:t> </w:t>
      </w:r>
      <w:r>
        <w:rPr>
          <w:color w:val="0B0B0B"/>
        </w:rPr>
        <w:t>fiscales antes citadas, si bien es cierto los referidos entes públicos, por regla general no</w:t>
      </w:r>
      <w:r>
        <w:rPr>
          <w:color w:val="0B0B0B"/>
          <w:spacing w:val="-2"/>
        </w:rPr>
        <w:t> </w:t>
      </w:r>
      <w:r>
        <w:rPr>
          <w:color w:val="0B0B0B"/>
        </w:rPr>
        <w:t>cuentan</w:t>
      </w:r>
      <w:r>
        <w:rPr>
          <w:color w:val="0B0B0B"/>
          <w:spacing w:val="-2"/>
        </w:rPr>
        <w:t> </w:t>
      </w:r>
      <w:r>
        <w:rPr>
          <w:color w:val="0B0B0B"/>
        </w:rPr>
        <w:t>con</w:t>
      </w:r>
      <w:r>
        <w:rPr>
          <w:color w:val="0B0B0B"/>
          <w:spacing w:val="-2"/>
        </w:rPr>
        <w:t> </w:t>
      </w:r>
      <w:r>
        <w:rPr>
          <w:color w:val="0B0B0B"/>
        </w:rPr>
        <w:t>erogaciones</w:t>
      </w:r>
      <w:r>
        <w:rPr>
          <w:color w:val="0B0B0B"/>
          <w:spacing w:val="-1"/>
        </w:rPr>
        <w:t> </w:t>
      </w:r>
      <w:r>
        <w:rPr>
          <w:color w:val="0B0B0B"/>
        </w:rPr>
        <w:t>cuyos</w:t>
      </w:r>
      <w:r>
        <w:rPr>
          <w:color w:val="0B0B0B"/>
          <w:spacing w:val="-2"/>
        </w:rPr>
        <w:t> </w:t>
      </w:r>
      <w:r>
        <w:rPr>
          <w:color w:val="0B0B0B"/>
        </w:rPr>
        <w:t>conceptos</w:t>
      </w:r>
      <w:r>
        <w:rPr>
          <w:color w:val="0B0B0B"/>
          <w:spacing w:val="-2"/>
        </w:rPr>
        <w:t> </w:t>
      </w:r>
      <w:r>
        <w:rPr>
          <w:color w:val="0B0B0B"/>
        </w:rPr>
        <w:t>sean</w:t>
      </w:r>
      <w:r>
        <w:rPr>
          <w:color w:val="0B0B0B"/>
          <w:spacing w:val="-2"/>
        </w:rPr>
        <w:t> </w:t>
      </w:r>
      <w:r>
        <w:rPr>
          <w:color w:val="0B0B0B"/>
        </w:rPr>
        <w:t>acreditables</w:t>
      </w:r>
      <w:r>
        <w:rPr>
          <w:color w:val="0B0B0B"/>
          <w:spacing w:val="-2"/>
        </w:rPr>
        <w:t> </w:t>
      </w:r>
      <w:r>
        <w:rPr>
          <w:color w:val="0B0B0B"/>
        </w:rPr>
        <w:t>del</w:t>
      </w:r>
      <w:r>
        <w:rPr>
          <w:color w:val="0B0B0B"/>
          <w:spacing w:val="-2"/>
        </w:rPr>
        <w:t> </w:t>
      </w:r>
      <w:r>
        <w:rPr>
          <w:color w:val="0B0B0B"/>
        </w:rPr>
        <w:t>IVA</w:t>
      </w:r>
      <w:r>
        <w:rPr>
          <w:color w:val="0B0B0B"/>
          <w:spacing w:val="-1"/>
        </w:rPr>
        <w:t> </w:t>
      </w:r>
      <w:r>
        <w:rPr>
          <w:color w:val="0B0B0B"/>
        </w:rPr>
        <w:t>y,</w:t>
      </w:r>
      <w:r>
        <w:rPr>
          <w:color w:val="0B0B0B"/>
          <w:spacing w:val="-2"/>
        </w:rPr>
        <w:t> </w:t>
      </w:r>
      <w:r>
        <w:rPr>
          <w:color w:val="0B0B0B"/>
        </w:rPr>
        <w:t>por</w:t>
      </w:r>
      <w:r>
        <w:rPr>
          <w:color w:val="0B0B0B"/>
          <w:spacing w:val="-2"/>
        </w:rPr>
        <w:t> </w:t>
      </w:r>
      <w:r>
        <w:rPr>
          <w:color w:val="0B0B0B"/>
        </w:rPr>
        <w:t>lo</w:t>
      </w:r>
      <w:r>
        <w:rPr>
          <w:color w:val="0B0B0B"/>
          <w:spacing w:val="-2"/>
        </w:rPr>
        <w:t> </w:t>
      </w:r>
      <w:r>
        <w:rPr>
          <w:color w:val="0B0B0B"/>
        </w:rPr>
        <w:t>tanto, no están en posibilidad de determinar un saldo a favor por este concepto, también lo</w:t>
      </w:r>
      <w:r>
        <w:rPr>
          <w:color w:val="0B0B0B"/>
          <w:spacing w:val="40"/>
        </w:rPr>
        <w:t> </w:t>
      </w:r>
      <w:r>
        <w:rPr>
          <w:color w:val="0B0B0B"/>
        </w:rPr>
        <w:t>es que como excepción si realizan actividades gravadas por el IVA y podrán acreditarlo,</w:t>
      </w:r>
      <w:r>
        <w:rPr>
          <w:color w:val="0B0B0B"/>
          <w:spacing w:val="-4"/>
        </w:rPr>
        <w:t> </w:t>
      </w:r>
      <w:r>
        <w:rPr>
          <w:color w:val="0B0B0B"/>
        </w:rPr>
        <w:t>siempre</w:t>
      </w:r>
      <w:r>
        <w:rPr>
          <w:color w:val="0B0B0B"/>
          <w:spacing w:val="-3"/>
        </w:rPr>
        <w:t> </w:t>
      </w:r>
      <w:r>
        <w:rPr>
          <w:color w:val="0B0B0B"/>
        </w:rPr>
        <w:t>y</w:t>
      </w:r>
      <w:r>
        <w:rPr>
          <w:color w:val="0B0B0B"/>
          <w:spacing w:val="-5"/>
        </w:rPr>
        <w:t> </w:t>
      </w:r>
      <w:r>
        <w:rPr>
          <w:color w:val="0B0B0B"/>
        </w:rPr>
        <w:t>cuando</w:t>
      </w:r>
      <w:r>
        <w:rPr>
          <w:color w:val="0B0B0B"/>
          <w:spacing w:val="-3"/>
        </w:rPr>
        <w:t> </w:t>
      </w:r>
      <w:r>
        <w:rPr>
          <w:color w:val="0B0B0B"/>
        </w:rPr>
        <w:t>cumplan</w:t>
      </w:r>
      <w:r>
        <w:rPr>
          <w:color w:val="0B0B0B"/>
          <w:spacing w:val="-4"/>
        </w:rPr>
        <w:t> </w:t>
      </w:r>
      <w:r>
        <w:rPr>
          <w:color w:val="0B0B0B"/>
        </w:rPr>
        <w:t>con</w:t>
      </w:r>
      <w:r>
        <w:rPr>
          <w:color w:val="0B0B0B"/>
          <w:spacing w:val="-3"/>
        </w:rPr>
        <w:t> </w:t>
      </w:r>
      <w:r>
        <w:rPr>
          <w:color w:val="0B0B0B"/>
        </w:rPr>
        <w:t>las</w:t>
      </w:r>
      <w:r>
        <w:rPr>
          <w:color w:val="0B0B0B"/>
          <w:spacing w:val="-4"/>
        </w:rPr>
        <w:t> </w:t>
      </w:r>
      <w:r>
        <w:rPr>
          <w:color w:val="0B0B0B"/>
        </w:rPr>
        <w:t>obligaciones</w:t>
      </w:r>
      <w:r>
        <w:rPr>
          <w:color w:val="0B0B0B"/>
          <w:spacing w:val="-4"/>
        </w:rPr>
        <w:t> </w:t>
      </w:r>
      <w:r>
        <w:rPr>
          <w:color w:val="0B0B0B"/>
        </w:rPr>
        <w:t>que</w:t>
      </w:r>
      <w:r>
        <w:rPr>
          <w:color w:val="0B0B0B"/>
          <w:spacing w:val="-4"/>
        </w:rPr>
        <w:t> </w:t>
      </w:r>
      <w:r>
        <w:rPr>
          <w:color w:val="0B0B0B"/>
        </w:rPr>
        <w:t>establece</w:t>
      </w:r>
      <w:r>
        <w:rPr>
          <w:color w:val="0B0B0B"/>
          <w:spacing w:val="-4"/>
        </w:rPr>
        <w:t> </w:t>
      </w:r>
      <w:r>
        <w:rPr>
          <w:color w:val="0B0B0B"/>
        </w:rPr>
        <w:t>la</w:t>
      </w:r>
      <w:r>
        <w:rPr>
          <w:color w:val="0B0B0B"/>
          <w:spacing w:val="-4"/>
        </w:rPr>
        <w:t> </w:t>
      </w:r>
      <w:r>
        <w:rPr>
          <w:color w:val="0B0B0B"/>
        </w:rPr>
        <w:t>propia</w:t>
      </w:r>
      <w:r>
        <w:rPr>
          <w:color w:val="0B0B0B"/>
          <w:spacing w:val="-4"/>
        </w:rPr>
        <w:t> </w:t>
      </w:r>
      <w:r>
        <w:rPr>
          <w:color w:val="0B0B0B"/>
        </w:rPr>
        <w:t>ley del citado impuesto y, en su caso, con los documentos que soporten sus operaciones.</w:t>
      </w:r>
    </w:p>
    <w:p>
      <w:pPr>
        <w:pStyle w:val="BodyText"/>
        <w:spacing w:line="264" w:lineRule="auto" w:before="96"/>
        <w:ind w:right="258"/>
      </w:pPr>
      <w:r>
        <w:rPr>
          <w:color w:val="0B0B0B"/>
        </w:rPr>
        <w:t>En el artículo 5o. de la citada Ley se establece que para ser acreditable el IVA, debe corresponder a bienes,</w:t>
      </w:r>
      <w:r>
        <w:rPr>
          <w:color w:val="0B0B0B"/>
        </w:rPr>
        <w:t> servicios o al uso o goce temporal de bienes,</w:t>
      </w:r>
      <w:r>
        <w:rPr>
          <w:color w:val="0B0B0B"/>
        </w:rPr>
        <w:t> estrictamente indispensables para la realización de actividades,</w:t>
      </w:r>
      <w:r>
        <w:rPr>
          <w:color w:val="0B0B0B"/>
        </w:rPr>
        <w:t> distintas</w:t>
      </w:r>
      <w:r>
        <w:rPr>
          <w:color w:val="0B0B0B"/>
        </w:rPr>
        <w:t> de la importación, considerándose como tales, las erogaciones efectuadas que sean deducibles para los fines del impuesto, aun cuando no se esté obligado al pago de este último impuesto.</w:t>
      </w:r>
    </w:p>
    <w:p>
      <w:pPr>
        <w:pStyle w:val="BodyText"/>
        <w:spacing w:line="264" w:lineRule="auto" w:before="98"/>
        <w:ind w:right="257"/>
      </w:pPr>
      <w:r>
        <w:rPr>
          <w:color w:val="0B0B0B"/>
        </w:rPr>
        <w:t>Asimismo,</w:t>
      </w:r>
      <w:r>
        <w:rPr>
          <w:color w:val="0B0B0B"/>
          <w:spacing w:val="-2"/>
        </w:rPr>
        <w:t> </w:t>
      </w:r>
      <w:r>
        <w:rPr>
          <w:color w:val="0B0B0B"/>
        </w:rPr>
        <w:t>en</w:t>
      </w:r>
      <w:r>
        <w:rPr>
          <w:color w:val="0B0B0B"/>
          <w:spacing w:val="-1"/>
        </w:rPr>
        <w:t> </w:t>
      </w:r>
      <w:r>
        <w:rPr>
          <w:color w:val="0B0B0B"/>
        </w:rPr>
        <w:t>el</w:t>
      </w:r>
      <w:r>
        <w:rPr>
          <w:color w:val="0B0B0B"/>
          <w:spacing w:val="-2"/>
        </w:rPr>
        <w:t> </w:t>
      </w:r>
      <w:r>
        <w:rPr>
          <w:color w:val="0B0B0B"/>
        </w:rPr>
        <w:t>artículo</w:t>
      </w:r>
      <w:r>
        <w:rPr>
          <w:color w:val="0B0B0B"/>
          <w:spacing w:val="-2"/>
        </w:rPr>
        <w:t> </w:t>
      </w:r>
      <w:r>
        <w:rPr>
          <w:color w:val="0B0B0B"/>
        </w:rPr>
        <w:t>6o.</w:t>
      </w:r>
      <w:r>
        <w:rPr>
          <w:color w:val="0B0B0B"/>
          <w:spacing w:val="-1"/>
        </w:rPr>
        <w:t> </w:t>
      </w:r>
      <w:r>
        <w:rPr>
          <w:color w:val="0B0B0B"/>
        </w:rPr>
        <w:t>de</w:t>
      </w:r>
      <w:r>
        <w:rPr>
          <w:color w:val="0B0B0B"/>
          <w:spacing w:val="-2"/>
        </w:rPr>
        <w:t> </w:t>
      </w:r>
      <w:r>
        <w:rPr>
          <w:color w:val="0B0B0B"/>
        </w:rPr>
        <w:t>la</w:t>
      </w:r>
      <w:r>
        <w:rPr>
          <w:color w:val="0B0B0B"/>
          <w:spacing w:val="-1"/>
        </w:rPr>
        <w:t> </w:t>
      </w:r>
      <w:r>
        <w:rPr>
          <w:color w:val="0B0B0B"/>
        </w:rPr>
        <w:t>Ley</w:t>
      </w:r>
      <w:r>
        <w:rPr>
          <w:color w:val="0B0B0B"/>
          <w:spacing w:val="-1"/>
        </w:rPr>
        <w:t> </w:t>
      </w:r>
      <w:r>
        <w:rPr>
          <w:color w:val="0B0B0B"/>
        </w:rPr>
        <w:t>del</w:t>
      </w:r>
      <w:r>
        <w:rPr>
          <w:color w:val="0B0B0B"/>
          <w:spacing w:val="-2"/>
        </w:rPr>
        <w:t> </w:t>
      </w:r>
      <w:r>
        <w:rPr>
          <w:color w:val="0B0B0B"/>
        </w:rPr>
        <w:t>IVA,</w:t>
      </w:r>
      <w:r>
        <w:rPr>
          <w:color w:val="0B0B0B"/>
          <w:spacing w:val="-2"/>
        </w:rPr>
        <w:t> </w:t>
      </w:r>
      <w:r>
        <w:rPr>
          <w:color w:val="0B0B0B"/>
        </w:rPr>
        <w:t>se</w:t>
      </w:r>
      <w:r>
        <w:rPr>
          <w:color w:val="0B0B0B"/>
          <w:spacing w:val="-2"/>
        </w:rPr>
        <w:t> </w:t>
      </w:r>
      <w:r>
        <w:rPr>
          <w:color w:val="0B0B0B"/>
        </w:rPr>
        <w:t>establece</w:t>
      </w:r>
      <w:r>
        <w:rPr>
          <w:color w:val="0B0B0B"/>
          <w:spacing w:val="-2"/>
        </w:rPr>
        <w:t> </w:t>
      </w:r>
      <w:r>
        <w:rPr>
          <w:color w:val="0B0B0B"/>
        </w:rPr>
        <w:t>que</w:t>
      </w:r>
      <w:r>
        <w:rPr>
          <w:color w:val="0B0B0B"/>
          <w:spacing w:val="-2"/>
        </w:rPr>
        <w:t> </w:t>
      </w:r>
      <w:r>
        <w:rPr>
          <w:color w:val="0B0B0B"/>
        </w:rPr>
        <w:t>los</w:t>
      </w:r>
      <w:r>
        <w:rPr>
          <w:color w:val="0B0B0B"/>
          <w:spacing w:val="-2"/>
        </w:rPr>
        <w:t> </w:t>
      </w:r>
      <w:r>
        <w:rPr>
          <w:color w:val="0B0B0B"/>
        </w:rPr>
        <w:t>contribuyentes</w:t>
      </w:r>
      <w:r>
        <w:rPr>
          <w:color w:val="0B0B0B"/>
          <w:spacing w:val="-2"/>
        </w:rPr>
        <w:t> </w:t>
      </w:r>
      <w:r>
        <w:rPr>
          <w:color w:val="0B0B0B"/>
        </w:rPr>
        <w:t>que tengan saldo a favor en su declaración de pago, podrán acreditarlo contra el impuesto a su cargo que le corresponda en los meses siguientes hasta agotarlo o solicitar su devolución, siempre que la devolución se solicite sobre el total del saldo a favor.</w:t>
      </w:r>
    </w:p>
    <w:p>
      <w:pPr>
        <w:pStyle w:val="BodyText"/>
        <w:spacing w:line="264" w:lineRule="auto" w:before="98"/>
        <w:ind w:right="256"/>
      </w:pPr>
      <w:r>
        <w:rPr>
          <w:color w:val="0B0B0B"/>
        </w:rPr>
        <w:t>En tanto que el artículo 23 del CFF, señala que los contribuyentes obligados a pagar mediante declaración únicamente podrán optar por</w:t>
      </w:r>
      <w:r>
        <w:rPr>
          <w:color w:val="0B0B0B"/>
        </w:rPr>
        <w:t> compensar las cantidades que tengan a su favor contra las que estén obligados a pagar por adeudo propio, siempre que ambas deriven de un mismo impuesto, incluyendo sus accesorios.</w:t>
      </w:r>
    </w:p>
    <w:p>
      <w:pPr>
        <w:pStyle w:val="BodyText"/>
        <w:spacing w:line="264" w:lineRule="auto" w:before="99"/>
        <w:ind w:right="257"/>
      </w:pPr>
      <w:r>
        <w:rPr>
          <w:color w:val="0B0B0B"/>
        </w:rPr>
        <w:t>Conforme a las disposiciones antes mencionadas, no existe posibilidad de que cantidades a favor de los contribuyentes, derivadas de un impuesto, puedan ser compensadas contra cantidades a su cargo de otro impuesto y, específicamente, tratándose de saldos a favor del IVA, conforme al artículo 6o. de la Ley del IVA, únicamente procede su acreditamiento contra el impuesto a cargo de los meses siguientes o solicitar su devolución.</w:t>
      </w:r>
    </w:p>
    <w:p>
      <w:pPr>
        <w:pStyle w:val="BodyText"/>
        <w:spacing w:line="264" w:lineRule="auto" w:before="96"/>
        <w:ind w:right="257"/>
      </w:pPr>
      <w:r>
        <w:rPr>
          <w:color w:val="0B0B0B"/>
        </w:rPr>
        <w:t>En</w:t>
      </w:r>
      <w:r>
        <w:rPr>
          <w:color w:val="0B0B0B"/>
          <w:spacing w:val="-1"/>
        </w:rPr>
        <w:t> </w:t>
      </w:r>
      <w:r>
        <w:rPr>
          <w:color w:val="0B0B0B"/>
        </w:rPr>
        <w:t>este</w:t>
      </w:r>
      <w:r>
        <w:rPr>
          <w:color w:val="0B0B0B"/>
          <w:spacing w:val="-1"/>
        </w:rPr>
        <w:t> </w:t>
      </w:r>
      <w:r>
        <w:rPr>
          <w:color w:val="0B0B0B"/>
        </w:rPr>
        <w:t>sentido,</w:t>
      </w:r>
      <w:r>
        <w:rPr>
          <w:color w:val="0B0B0B"/>
          <w:spacing w:val="-1"/>
        </w:rPr>
        <w:t> </w:t>
      </w:r>
      <w:r>
        <w:rPr>
          <w:color w:val="0B0B0B"/>
        </w:rPr>
        <w:t>es</w:t>
      </w:r>
      <w:r>
        <w:rPr>
          <w:color w:val="0B0B0B"/>
          <w:spacing w:val="-1"/>
        </w:rPr>
        <w:t> </w:t>
      </w:r>
      <w:r>
        <w:rPr>
          <w:color w:val="0B0B0B"/>
        </w:rPr>
        <w:t>improcedente</w:t>
      </w:r>
      <w:r>
        <w:rPr>
          <w:color w:val="0B0B0B"/>
          <w:spacing w:val="-1"/>
        </w:rPr>
        <w:t> </w:t>
      </w:r>
      <w:r>
        <w:rPr>
          <w:color w:val="0B0B0B"/>
        </w:rPr>
        <w:t>que</w:t>
      </w:r>
      <w:r>
        <w:rPr>
          <w:color w:val="0B0B0B"/>
          <w:spacing w:val="-1"/>
        </w:rPr>
        <w:t> </w:t>
      </w:r>
      <w:r>
        <w:rPr>
          <w:color w:val="0B0B0B"/>
        </w:rPr>
        <w:t>la</w:t>
      </w:r>
      <w:r>
        <w:rPr>
          <w:color w:val="0B0B0B"/>
          <w:spacing w:val="-1"/>
        </w:rPr>
        <w:t> </w:t>
      </w:r>
      <w:r>
        <w:rPr>
          <w:color w:val="0B0B0B"/>
        </w:rPr>
        <w:t>Federación,</w:t>
      </w:r>
      <w:r>
        <w:rPr>
          <w:color w:val="0B0B0B"/>
          <w:spacing w:val="-1"/>
        </w:rPr>
        <w:t> </w:t>
      </w:r>
      <w:r>
        <w:rPr>
          <w:color w:val="0B0B0B"/>
        </w:rPr>
        <w:t>la</w:t>
      </w:r>
      <w:r>
        <w:rPr>
          <w:color w:val="0B0B0B"/>
          <w:spacing w:val="-1"/>
        </w:rPr>
        <w:t> </w:t>
      </w:r>
      <w:r>
        <w:rPr>
          <w:color w:val="0B0B0B"/>
        </w:rPr>
        <w:t>Ciudad</w:t>
      </w:r>
      <w:r>
        <w:rPr>
          <w:color w:val="0B0B0B"/>
          <w:spacing w:val="-1"/>
        </w:rPr>
        <w:t> </w:t>
      </w:r>
      <w:r>
        <w:rPr>
          <w:color w:val="0B0B0B"/>
        </w:rPr>
        <w:t>de</w:t>
      </w:r>
      <w:r>
        <w:rPr>
          <w:color w:val="0B0B0B"/>
          <w:spacing w:val="-1"/>
        </w:rPr>
        <w:t> </w:t>
      </w:r>
      <w:r>
        <w:rPr>
          <w:color w:val="0B0B0B"/>
        </w:rPr>
        <w:t>México,</w:t>
      </w:r>
      <w:r>
        <w:rPr>
          <w:color w:val="0B0B0B"/>
          <w:spacing w:val="-1"/>
        </w:rPr>
        <w:t> </w:t>
      </w:r>
      <w:r>
        <w:rPr>
          <w:color w:val="0B0B0B"/>
        </w:rPr>
        <w:t>los</w:t>
      </w:r>
      <w:r>
        <w:rPr>
          <w:color w:val="0B0B0B"/>
          <w:spacing w:val="-1"/>
        </w:rPr>
        <w:t> </w:t>
      </w:r>
      <w:r>
        <w:rPr>
          <w:color w:val="0B0B0B"/>
        </w:rPr>
        <w:t>Estados y los Municipios, cubran retenciones de ISR (salarios, servicios profesionales y pagos por cuenta de terceros o retenciones por arrendamiento de inmuebles) vía compensación aplicando saldos a favor de IVA, en contravención a lo señalado en los artículos 23 del CFF y 6o., primer párrafo de la Ley del IVA.</w:t>
      </w:r>
    </w:p>
    <w:p>
      <w:pPr>
        <w:pStyle w:val="BodyText"/>
        <w:spacing w:line="264" w:lineRule="auto" w:before="98"/>
        <w:ind w:right="259"/>
      </w:pPr>
      <w:r>
        <w:rPr>
          <w:color w:val="0B0B0B"/>
        </w:rPr>
        <w:t>Por</w:t>
      </w:r>
      <w:r>
        <w:rPr>
          <w:color w:val="0B0B0B"/>
          <w:spacing w:val="-1"/>
        </w:rPr>
        <w:t> </w:t>
      </w:r>
      <w:r>
        <w:rPr>
          <w:color w:val="0B0B0B"/>
        </w:rPr>
        <w:t>lo</w:t>
      </w:r>
      <w:r>
        <w:rPr>
          <w:color w:val="0B0B0B"/>
          <w:spacing w:val="-1"/>
        </w:rPr>
        <w:t> </w:t>
      </w:r>
      <w:r>
        <w:rPr>
          <w:color w:val="0B0B0B"/>
        </w:rPr>
        <w:t>anterior,</w:t>
      </w:r>
      <w:r>
        <w:rPr>
          <w:color w:val="0B0B0B"/>
          <w:spacing w:val="-1"/>
        </w:rPr>
        <w:t> </w:t>
      </w:r>
      <w:r>
        <w:rPr>
          <w:color w:val="0B0B0B"/>
        </w:rPr>
        <w:t>se</w:t>
      </w:r>
      <w:r>
        <w:rPr>
          <w:color w:val="0B0B0B"/>
          <w:spacing w:val="-1"/>
        </w:rPr>
        <w:t> </w:t>
      </w:r>
      <w:r>
        <w:rPr>
          <w:color w:val="0B0B0B"/>
        </w:rPr>
        <w:t>considera</w:t>
      </w:r>
      <w:r>
        <w:rPr>
          <w:color w:val="0B0B0B"/>
          <w:spacing w:val="-1"/>
        </w:rPr>
        <w:t> </w:t>
      </w:r>
      <w:r>
        <w:rPr>
          <w:color w:val="0B0B0B"/>
        </w:rPr>
        <w:t>que</w:t>
      </w:r>
      <w:r>
        <w:rPr>
          <w:color w:val="0B0B0B"/>
          <w:spacing w:val="-1"/>
        </w:rPr>
        <w:t> </w:t>
      </w:r>
      <w:r>
        <w:rPr>
          <w:color w:val="0B0B0B"/>
        </w:rPr>
        <w:t>la</w:t>
      </w:r>
      <w:r>
        <w:rPr>
          <w:color w:val="0B0B0B"/>
          <w:spacing w:val="-1"/>
        </w:rPr>
        <w:t> </w:t>
      </w:r>
      <w:r>
        <w:rPr>
          <w:color w:val="0B0B0B"/>
        </w:rPr>
        <w:t>Federación,</w:t>
      </w:r>
      <w:r>
        <w:rPr>
          <w:color w:val="0B0B0B"/>
          <w:spacing w:val="-1"/>
        </w:rPr>
        <w:t> </w:t>
      </w:r>
      <w:r>
        <w:rPr>
          <w:color w:val="0B0B0B"/>
        </w:rPr>
        <w:t>la</w:t>
      </w:r>
      <w:r>
        <w:rPr>
          <w:color w:val="0B0B0B"/>
          <w:spacing w:val="-1"/>
        </w:rPr>
        <w:t> </w:t>
      </w:r>
      <w:r>
        <w:rPr>
          <w:color w:val="0B0B0B"/>
        </w:rPr>
        <w:t>Ciudad</w:t>
      </w:r>
      <w:r>
        <w:rPr>
          <w:color w:val="0B0B0B"/>
          <w:spacing w:val="-1"/>
        </w:rPr>
        <w:t> </w:t>
      </w:r>
      <w:r>
        <w:rPr>
          <w:color w:val="0B0B0B"/>
        </w:rPr>
        <w:t>de</w:t>
      </w:r>
      <w:r>
        <w:rPr>
          <w:color w:val="0B0B0B"/>
          <w:spacing w:val="-1"/>
        </w:rPr>
        <w:t> </w:t>
      </w:r>
      <w:r>
        <w:rPr>
          <w:color w:val="0B0B0B"/>
        </w:rPr>
        <w:t>México,</w:t>
      </w:r>
      <w:r>
        <w:rPr>
          <w:color w:val="0B0B0B"/>
          <w:spacing w:val="-1"/>
        </w:rPr>
        <w:t> </w:t>
      </w:r>
      <w:r>
        <w:rPr>
          <w:color w:val="0B0B0B"/>
        </w:rPr>
        <w:t>los</w:t>
      </w:r>
      <w:r>
        <w:rPr>
          <w:color w:val="0B0B0B"/>
          <w:spacing w:val="-1"/>
        </w:rPr>
        <w:t> </w:t>
      </w:r>
      <w:r>
        <w:rPr>
          <w:color w:val="0B0B0B"/>
        </w:rPr>
        <w:t>Estados</w:t>
      </w:r>
      <w:r>
        <w:rPr>
          <w:color w:val="0B0B0B"/>
          <w:spacing w:val="-1"/>
        </w:rPr>
        <w:t> </w:t>
      </w:r>
      <w:r>
        <w:rPr>
          <w:color w:val="0B0B0B"/>
        </w:rPr>
        <w:t>y</w:t>
      </w:r>
      <w:r>
        <w:rPr>
          <w:color w:val="0B0B0B"/>
          <w:spacing w:val="-1"/>
        </w:rPr>
        <w:t> </w:t>
      </w:r>
      <w:r>
        <w:rPr>
          <w:color w:val="0B0B0B"/>
        </w:rPr>
        <w:t>los Municipios, realizan una práctica fiscal indebida:</w:t>
      </w:r>
    </w:p>
    <w:p>
      <w:pPr>
        <w:pStyle w:val="ListParagraph"/>
        <w:numPr>
          <w:ilvl w:val="0"/>
          <w:numId w:val="61"/>
        </w:numPr>
        <w:tabs>
          <w:tab w:pos="2664" w:val="left" w:leader="none"/>
        </w:tabs>
        <w:spacing w:line="264" w:lineRule="auto" w:before="100" w:after="0"/>
        <w:ind w:left="2664" w:right="260" w:hanging="504"/>
        <w:jc w:val="both"/>
        <w:rPr>
          <w:sz w:val="18"/>
        </w:rPr>
      </w:pPr>
      <w:r>
        <w:rPr>
          <w:color w:val="0B0B0B"/>
          <w:sz w:val="18"/>
        </w:rPr>
        <w:t>Cuando obtengan saldos a favor por concepto del IVA sin cumplir con los requisitos que establece la Ley.</w:t>
      </w:r>
    </w:p>
    <w:p>
      <w:pPr>
        <w:pStyle w:val="ListParagraph"/>
        <w:numPr>
          <w:ilvl w:val="0"/>
          <w:numId w:val="61"/>
        </w:numPr>
        <w:tabs>
          <w:tab w:pos="2663" w:val="left" w:leader="none"/>
        </w:tabs>
        <w:spacing w:line="240" w:lineRule="auto" w:before="99" w:after="0"/>
        <w:ind w:left="2663" w:right="0" w:hanging="503"/>
        <w:jc w:val="both"/>
        <w:rPr>
          <w:sz w:val="18"/>
        </w:rPr>
      </w:pPr>
      <w:r>
        <w:rPr>
          <w:color w:val="0B0B0B"/>
          <w:sz w:val="18"/>
        </w:rPr>
        <w:t>Cuando</w:t>
      </w:r>
      <w:r>
        <w:rPr>
          <w:color w:val="0B0B0B"/>
          <w:spacing w:val="-8"/>
          <w:sz w:val="18"/>
        </w:rPr>
        <w:t> </w:t>
      </w:r>
      <w:r>
        <w:rPr>
          <w:color w:val="0B0B0B"/>
          <w:sz w:val="18"/>
        </w:rPr>
        <w:t>compensen</w:t>
      </w:r>
      <w:r>
        <w:rPr>
          <w:color w:val="0B0B0B"/>
          <w:spacing w:val="-8"/>
          <w:sz w:val="18"/>
        </w:rPr>
        <w:t> </w:t>
      </w:r>
      <w:r>
        <w:rPr>
          <w:color w:val="0B0B0B"/>
          <w:sz w:val="18"/>
        </w:rPr>
        <w:t>saldos</w:t>
      </w:r>
      <w:r>
        <w:rPr>
          <w:color w:val="0B0B0B"/>
          <w:spacing w:val="-8"/>
          <w:sz w:val="18"/>
        </w:rPr>
        <w:t> </w:t>
      </w:r>
      <w:r>
        <w:rPr>
          <w:color w:val="0B0B0B"/>
          <w:sz w:val="18"/>
        </w:rPr>
        <w:t>a</w:t>
      </w:r>
      <w:r>
        <w:rPr>
          <w:color w:val="0B0B0B"/>
          <w:spacing w:val="-9"/>
          <w:sz w:val="18"/>
        </w:rPr>
        <w:t> </w:t>
      </w:r>
      <w:r>
        <w:rPr>
          <w:color w:val="0B0B0B"/>
          <w:sz w:val="18"/>
        </w:rPr>
        <w:t>favor</w:t>
      </w:r>
      <w:r>
        <w:rPr>
          <w:color w:val="0B0B0B"/>
          <w:spacing w:val="-8"/>
          <w:sz w:val="18"/>
        </w:rPr>
        <w:t> </w:t>
      </w:r>
      <w:r>
        <w:rPr>
          <w:color w:val="0B0B0B"/>
          <w:sz w:val="18"/>
        </w:rPr>
        <w:t>del</w:t>
      </w:r>
      <w:r>
        <w:rPr>
          <w:color w:val="0B0B0B"/>
          <w:spacing w:val="-8"/>
          <w:sz w:val="18"/>
        </w:rPr>
        <w:t> </w:t>
      </w:r>
      <w:r>
        <w:rPr>
          <w:color w:val="0B0B0B"/>
          <w:sz w:val="18"/>
        </w:rPr>
        <w:t>IVA,</w:t>
      </w:r>
      <w:r>
        <w:rPr>
          <w:color w:val="0B0B0B"/>
          <w:spacing w:val="-8"/>
          <w:sz w:val="18"/>
        </w:rPr>
        <w:t> </w:t>
      </w:r>
      <w:r>
        <w:rPr>
          <w:color w:val="0B0B0B"/>
          <w:sz w:val="18"/>
        </w:rPr>
        <w:t>contra</w:t>
      </w:r>
      <w:r>
        <w:rPr>
          <w:color w:val="0B0B0B"/>
          <w:spacing w:val="-8"/>
          <w:sz w:val="18"/>
        </w:rPr>
        <w:t> </w:t>
      </w:r>
      <w:r>
        <w:rPr>
          <w:color w:val="0B0B0B"/>
          <w:sz w:val="18"/>
        </w:rPr>
        <w:t>retenciones</w:t>
      </w:r>
      <w:r>
        <w:rPr>
          <w:color w:val="0B0B0B"/>
          <w:spacing w:val="-8"/>
          <w:sz w:val="18"/>
        </w:rPr>
        <w:t> </w:t>
      </w:r>
      <w:r>
        <w:rPr>
          <w:color w:val="0B0B0B"/>
          <w:sz w:val="18"/>
        </w:rPr>
        <w:t>del</w:t>
      </w:r>
      <w:r>
        <w:rPr>
          <w:color w:val="0B0B0B"/>
          <w:spacing w:val="-8"/>
          <w:sz w:val="18"/>
        </w:rPr>
        <w:t> </w:t>
      </w:r>
      <w:r>
        <w:rPr>
          <w:color w:val="0B0B0B"/>
          <w:spacing w:val="-4"/>
          <w:sz w:val="18"/>
        </w:rPr>
        <w:t>ISR.</w:t>
      </w:r>
    </w:p>
    <w:p>
      <w:pPr>
        <w:pStyle w:val="ListParagraph"/>
        <w:numPr>
          <w:ilvl w:val="0"/>
          <w:numId w:val="61"/>
        </w:numPr>
        <w:tabs>
          <w:tab w:pos="2662" w:val="left" w:leader="none"/>
          <w:tab w:pos="2664" w:val="left" w:leader="none"/>
        </w:tabs>
        <w:spacing w:line="264" w:lineRule="auto" w:before="122" w:after="0"/>
        <w:ind w:left="2664" w:right="256" w:hanging="504"/>
        <w:jc w:val="both"/>
        <w:rPr>
          <w:sz w:val="18"/>
        </w:rPr>
      </w:pPr>
      <w:r>
        <w:rPr>
          <w:color w:val="0B0B0B"/>
          <w:sz w:val="18"/>
        </w:rPr>
        <w:t>Así también, se considera que realizan una práctica fiscal indebida quienes asesoren, aconsejen, presten servicios o participen en la realización o la implementación de las prácticas anteriores.</w:t>
      </w:r>
    </w:p>
    <w:p>
      <w:pPr>
        <w:pStyle w:val="BodyText"/>
        <w:spacing w:before="4"/>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0"/>
      </w:tblGrid>
      <w:tr>
        <w:trPr>
          <w:trHeight w:val="328" w:hRule="atLeast"/>
        </w:trPr>
        <w:tc>
          <w:tcPr>
            <w:tcW w:w="2676" w:type="dxa"/>
            <w:shd w:val="clear" w:color="auto" w:fill="BDBDBD"/>
          </w:tcPr>
          <w:p>
            <w:pPr>
              <w:pStyle w:val="TableParagraph"/>
              <w:spacing w:before="33"/>
              <w:ind w:left="13"/>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33"/>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5" w:hRule="atLeast"/>
        </w:trPr>
        <w:tc>
          <w:tcPr>
            <w:tcW w:w="2676" w:type="dxa"/>
          </w:tcPr>
          <w:p>
            <w:pPr>
              <w:pStyle w:val="TableParagraph"/>
              <w:spacing w:before="33"/>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210" w:type="dxa"/>
          </w:tcPr>
          <w:p>
            <w:pPr>
              <w:pStyle w:val="TableParagraph"/>
              <w:spacing w:line="295" w:lineRule="auto" w:before="33"/>
              <w:ind w:right="16"/>
              <w:rPr>
                <w:sz w:val="16"/>
              </w:rPr>
            </w:pPr>
            <w:r>
              <w:rPr>
                <w:color w:val="0B0B0B"/>
                <w:sz w:val="16"/>
              </w:rPr>
              <w:t>Publicada en el DOF el 29 de diciembre de 2019, </w:t>
            </w:r>
            <w:r>
              <w:rPr>
                <w:color w:val="0B0B0B"/>
                <w:sz w:val="16"/>
              </w:rPr>
              <w:t>Anexo 3, publicado en el DOF el 9 de enero de 2020.</w:t>
            </w:r>
          </w:p>
        </w:tc>
      </w:tr>
    </w:tbl>
    <w:p>
      <w:pPr>
        <w:pStyle w:val="BodyText"/>
        <w:spacing w:before="134"/>
        <w:ind w:left="0"/>
        <w:jc w:val="left"/>
      </w:pPr>
    </w:p>
    <w:p>
      <w:pPr>
        <w:pStyle w:val="Heading1"/>
        <w:tabs>
          <w:tab w:pos="2145" w:val="left" w:leader="none"/>
        </w:tabs>
        <w:spacing w:line="264" w:lineRule="auto" w:before="1"/>
        <w:ind w:right="255"/>
      </w:pPr>
      <w:r>
        <w:rPr>
          <w:color w:val="0B0B0B"/>
          <w:spacing w:val="-2"/>
        </w:rPr>
        <w:t>12/IVA/PI</w:t>
      </w:r>
      <w:r>
        <w:rPr>
          <w:color w:val="0B0B0B"/>
        </w:rPr>
        <w:tab/>
        <w:t>Adquisición</w:t>
      </w:r>
      <w:r>
        <w:rPr>
          <w:color w:val="0B0B0B"/>
          <w:spacing w:val="37"/>
        </w:rPr>
        <w:t> </w:t>
      </w:r>
      <w:r>
        <w:rPr>
          <w:color w:val="0B0B0B"/>
        </w:rPr>
        <w:t>de</w:t>
      </w:r>
      <w:r>
        <w:rPr>
          <w:color w:val="0B0B0B"/>
          <w:spacing w:val="37"/>
        </w:rPr>
        <w:t> </w:t>
      </w:r>
      <w:r>
        <w:rPr>
          <w:color w:val="0B0B0B"/>
        </w:rPr>
        <w:t>bienes</w:t>
      </w:r>
      <w:r>
        <w:rPr>
          <w:color w:val="0B0B0B"/>
          <w:spacing w:val="37"/>
        </w:rPr>
        <w:t> </w:t>
      </w:r>
      <w:r>
        <w:rPr>
          <w:color w:val="0B0B0B"/>
        </w:rPr>
        <w:t>en</w:t>
      </w:r>
      <w:r>
        <w:rPr>
          <w:color w:val="0B0B0B"/>
          <w:spacing w:val="38"/>
        </w:rPr>
        <w:t> </w:t>
      </w:r>
      <w:r>
        <w:rPr>
          <w:color w:val="0B0B0B"/>
        </w:rPr>
        <w:t>territorio</w:t>
      </w:r>
      <w:r>
        <w:rPr>
          <w:color w:val="0B0B0B"/>
          <w:spacing w:val="37"/>
        </w:rPr>
        <w:t> </w:t>
      </w:r>
      <w:r>
        <w:rPr>
          <w:color w:val="0B0B0B"/>
        </w:rPr>
        <w:t>nacional</w:t>
      </w:r>
      <w:r>
        <w:rPr>
          <w:color w:val="0B0B0B"/>
          <w:spacing w:val="37"/>
        </w:rPr>
        <w:t> </w:t>
      </w:r>
      <w:r>
        <w:rPr>
          <w:color w:val="0B0B0B"/>
        </w:rPr>
        <w:t>propiedad</w:t>
      </w:r>
      <w:r>
        <w:rPr>
          <w:color w:val="0B0B0B"/>
          <w:spacing w:val="37"/>
        </w:rPr>
        <w:t> </w:t>
      </w:r>
      <w:r>
        <w:rPr>
          <w:color w:val="0B0B0B"/>
        </w:rPr>
        <w:t>de</w:t>
      </w:r>
      <w:r>
        <w:rPr>
          <w:color w:val="0B0B0B"/>
          <w:spacing w:val="37"/>
        </w:rPr>
        <w:t> </w:t>
      </w:r>
      <w:r>
        <w:rPr>
          <w:color w:val="0B0B0B"/>
        </w:rPr>
        <w:t>un</w:t>
      </w:r>
      <w:r>
        <w:rPr>
          <w:color w:val="0B0B0B"/>
          <w:spacing w:val="37"/>
        </w:rPr>
        <w:t> </w:t>
      </w:r>
      <w:r>
        <w:rPr>
          <w:color w:val="0B0B0B"/>
        </w:rPr>
        <w:t>residente</w:t>
      </w:r>
      <w:r>
        <w:rPr>
          <w:color w:val="0B0B0B"/>
          <w:spacing w:val="37"/>
        </w:rPr>
        <w:t> </w:t>
      </w:r>
      <w:r>
        <w:rPr>
          <w:color w:val="0B0B0B"/>
        </w:rPr>
        <w:t>en</w:t>
      </w:r>
      <w:r>
        <w:rPr>
          <w:color w:val="0B0B0B"/>
          <w:spacing w:val="37"/>
        </w:rPr>
        <w:t> </w:t>
      </w:r>
      <w:r>
        <w:rPr>
          <w:color w:val="0B0B0B"/>
        </w:rPr>
        <w:t>el extranjero. Retención del impuesto al valor agregado.</w:t>
      </w:r>
    </w:p>
    <w:p>
      <w:pPr>
        <w:pStyle w:val="BodyText"/>
        <w:spacing w:line="264" w:lineRule="auto" w:before="99"/>
        <w:ind w:right="257"/>
      </w:pPr>
      <w:r>
        <w:rPr>
          <w:color w:val="0B0B0B"/>
        </w:rPr>
        <w:t>El artículo 1o., primer párrafo de la Ley del IVA, establece que se encuentran</w:t>
      </w:r>
      <w:r>
        <w:rPr>
          <w:color w:val="0B0B0B"/>
          <w:spacing w:val="40"/>
        </w:rPr>
        <w:t> </w:t>
      </w:r>
      <w:r>
        <w:rPr>
          <w:color w:val="0B0B0B"/>
        </w:rPr>
        <w:t>obligadas al pago del impuesto al valor agregado las personas físicas y morales que, en territorio nacional, enajenen o importen bienes, entre otros supuestos.</w:t>
      </w:r>
    </w:p>
    <w:p>
      <w:pPr>
        <w:pStyle w:val="BodyText"/>
        <w:spacing w:line="264" w:lineRule="auto" w:before="99"/>
        <w:ind w:right="257"/>
      </w:pPr>
      <w:r>
        <w:rPr>
          <w:color w:val="0B0B0B"/>
        </w:rPr>
        <w:t>Por otra parte, el artículo 1o.-A de la Ley del IVA, establece que los contribuyentes están obligados a efectuar la retención del impuesto que se les traslade cuando, entre otros supuestos, adquieran en territorio nacional bienes propiedad de un residente en el extranjero sin establecimiento permanente en el país.</w:t>
      </w:r>
    </w:p>
    <w:p>
      <w:pPr>
        <w:pStyle w:val="BodyText"/>
        <w:spacing w:after="0" w:line="264" w:lineRule="auto"/>
        <w:sectPr>
          <w:headerReference w:type="default" r:id="rId58"/>
          <w:pgSz w:w="12240" w:h="15840"/>
          <w:pgMar w:header="690" w:footer="0" w:top="1040" w:bottom="280" w:left="1440" w:right="1440"/>
        </w:sectPr>
      </w:pPr>
    </w:p>
    <w:p>
      <w:pPr>
        <w:pStyle w:val="BodyText"/>
        <w:spacing w:line="256" w:lineRule="auto" w:before="116"/>
        <w:ind w:right="256"/>
      </w:pPr>
      <w:r>
        <w:rPr>
          <w:color w:val="0B0B0B"/>
        </w:rPr>
        <w:t>Asimismo, el segundo párrafo del artículo en mención dispone que no efectuarán la referida retención las personas físicas o morales que estén obligadas al pago del impuesto</w:t>
      </w:r>
      <w:r>
        <w:rPr>
          <w:color w:val="0B0B0B"/>
        </w:rPr>
        <w:t> exclusivamente por</w:t>
      </w:r>
      <w:r>
        <w:rPr>
          <w:color w:val="0B0B0B"/>
        </w:rPr>
        <w:t> la importación de bienes,</w:t>
      </w:r>
      <w:r>
        <w:rPr>
          <w:color w:val="0B0B0B"/>
        </w:rPr>
        <w:t> ya</w:t>
      </w:r>
      <w:r>
        <w:rPr>
          <w:color w:val="0B0B0B"/>
        </w:rPr>
        <w:t> que se considera que se trata</w:t>
      </w:r>
      <w:r>
        <w:rPr>
          <w:color w:val="0B0B0B"/>
          <w:spacing w:val="-2"/>
        </w:rPr>
        <w:t> </w:t>
      </w:r>
      <w:r>
        <w:rPr>
          <w:color w:val="0B0B0B"/>
        </w:rPr>
        <w:t>de</w:t>
      </w:r>
      <w:r>
        <w:rPr>
          <w:color w:val="0B0B0B"/>
          <w:spacing w:val="-2"/>
        </w:rPr>
        <w:t> </w:t>
      </w:r>
      <w:r>
        <w:rPr>
          <w:color w:val="0B0B0B"/>
        </w:rPr>
        <w:t>personas</w:t>
      </w:r>
      <w:r>
        <w:rPr>
          <w:color w:val="0B0B0B"/>
          <w:spacing w:val="-2"/>
        </w:rPr>
        <w:t> </w:t>
      </w:r>
      <w:r>
        <w:rPr>
          <w:color w:val="0B0B0B"/>
        </w:rPr>
        <w:t>que</w:t>
      </w:r>
      <w:r>
        <w:rPr>
          <w:color w:val="0B0B0B"/>
          <w:spacing w:val="-2"/>
        </w:rPr>
        <w:t> </w:t>
      </w:r>
      <w:r>
        <w:rPr>
          <w:color w:val="0B0B0B"/>
        </w:rPr>
        <w:t>no</w:t>
      </w:r>
      <w:r>
        <w:rPr>
          <w:color w:val="0B0B0B"/>
          <w:spacing w:val="-1"/>
        </w:rPr>
        <w:t> </w:t>
      </w:r>
      <w:r>
        <w:rPr>
          <w:color w:val="0B0B0B"/>
        </w:rPr>
        <w:t>destinan</w:t>
      </w:r>
      <w:r>
        <w:rPr>
          <w:color w:val="0B0B0B"/>
          <w:spacing w:val="-1"/>
        </w:rPr>
        <w:t> </w:t>
      </w:r>
      <w:r>
        <w:rPr>
          <w:color w:val="0B0B0B"/>
        </w:rPr>
        <w:t>los</w:t>
      </w:r>
      <w:r>
        <w:rPr>
          <w:color w:val="0B0B0B"/>
          <w:spacing w:val="-2"/>
        </w:rPr>
        <w:t> </w:t>
      </w:r>
      <w:r>
        <w:rPr>
          <w:color w:val="0B0B0B"/>
        </w:rPr>
        <w:t>bienes</w:t>
      </w:r>
      <w:r>
        <w:rPr>
          <w:color w:val="0B0B0B"/>
          <w:spacing w:val="-1"/>
        </w:rPr>
        <w:t> </w:t>
      </w:r>
      <w:r>
        <w:rPr>
          <w:color w:val="0B0B0B"/>
        </w:rPr>
        <w:t>para</w:t>
      </w:r>
      <w:r>
        <w:rPr>
          <w:color w:val="0B0B0B"/>
          <w:spacing w:val="-2"/>
        </w:rPr>
        <w:t> </w:t>
      </w:r>
      <w:r>
        <w:rPr>
          <w:color w:val="0B0B0B"/>
        </w:rPr>
        <w:t>la</w:t>
      </w:r>
      <w:r>
        <w:rPr>
          <w:color w:val="0B0B0B"/>
          <w:spacing w:val="-2"/>
        </w:rPr>
        <w:t> </w:t>
      </w:r>
      <w:r>
        <w:rPr>
          <w:color w:val="0B0B0B"/>
        </w:rPr>
        <w:t>realización</w:t>
      </w:r>
      <w:r>
        <w:rPr>
          <w:color w:val="0B0B0B"/>
          <w:spacing w:val="-1"/>
        </w:rPr>
        <w:t> </w:t>
      </w:r>
      <w:r>
        <w:rPr>
          <w:color w:val="0B0B0B"/>
        </w:rPr>
        <w:t>de</w:t>
      </w:r>
      <w:r>
        <w:rPr>
          <w:color w:val="0B0B0B"/>
          <w:spacing w:val="-2"/>
        </w:rPr>
        <w:t> </w:t>
      </w:r>
      <w:r>
        <w:rPr>
          <w:color w:val="0B0B0B"/>
        </w:rPr>
        <w:t>actos</w:t>
      </w:r>
      <w:r>
        <w:rPr>
          <w:color w:val="0B0B0B"/>
          <w:spacing w:val="-1"/>
        </w:rPr>
        <w:t> </w:t>
      </w:r>
      <w:r>
        <w:rPr>
          <w:color w:val="0B0B0B"/>
        </w:rPr>
        <w:t>o</w:t>
      </w:r>
      <w:r>
        <w:rPr>
          <w:color w:val="0B0B0B"/>
          <w:spacing w:val="-1"/>
        </w:rPr>
        <w:t> </w:t>
      </w:r>
      <w:r>
        <w:rPr>
          <w:color w:val="0B0B0B"/>
        </w:rPr>
        <w:t>actividades por los cuales se está obligado al pago del impuesto y, por tanto, no presentan declaraciones del IVA.</w:t>
      </w:r>
    </w:p>
    <w:p>
      <w:pPr>
        <w:pStyle w:val="BodyText"/>
        <w:spacing w:line="256" w:lineRule="auto" w:before="104"/>
        <w:ind w:right="258"/>
      </w:pPr>
      <w:r>
        <w:rPr>
          <w:color w:val="0B0B0B"/>
        </w:rPr>
        <w:t>En ese sentido, se considera que cuando las personas físicas y morales adquieren bienes en territorio nacional propiedad de un residente en el extranjero sin establecimiento permanente en el país, se encuentran obligadas a efectuar la</w:t>
      </w:r>
      <w:r>
        <w:rPr>
          <w:color w:val="0B0B0B"/>
          <w:spacing w:val="40"/>
        </w:rPr>
        <w:t> </w:t>
      </w:r>
      <w:r>
        <w:rPr>
          <w:color w:val="0B0B0B"/>
        </w:rPr>
        <w:t>retención del impuesto en términos del artículo 1o.-A de la Ley del IVA, derivado de la adquisición de dichos bienes, cuando realicen actos o actividades gravados por la Ley mencionada y por los que se esté obligado al pago del impuesto, toda vez que no les resulta aplicable el segundo párrafo del citado artículo 1o.-A, en razón de que realizan actos o actividades gravadas.</w:t>
      </w:r>
    </w:p>
    <w:p>
      <w:pPr>
        <w:pStyle w:val="BodyText"/>
        <w:spacing w:line="256" w:lineRule="auto" w:before="105"/>
        <w:ind w:right="253"/>
      </w:pPr>
      <w:r>
        <w:rPr>
          <w:color w:val="0B0B0B"/>
        </w:rPr>
        <w:t>Es decir, los contribuyentes del IVA obligados al pago del impuesto</w:t>
      </w:r>
      <w:r>
        <w:rPr>
          <w:color w:val="0B0B0B"/>
        </w:rPr>
        <w:t> por</w:t>
      </w:r>
      <w:r>
        <w:rPr>
          <w:color w:val="0B0B0B"/>
        </w:rPr>
        <w:t> supuestos adicionales</w:t>
      </w:r>
      <w:r>
        <w:rPr>
          <w:color w:val="0B0B0B"/>
          <w:spacing w:val="-2"/>
        </w:rPr>
        <w:t> </w:t>
      </w:r>
      <w:r>
        <w:rPr>
          <w:color w:val="0B0B0B"/>
        </w:rPr>
        <w:t>al</w:t>
      </w:r>
      <w:r>
        <w:rPr>
          <w:color w:val="0B0B0B"/>
          <w:spacing w:val="-2"/>
        </w:rPr>
        <w:t> </w:t>
      </w:r>
      <w:r>
        <w:rPr>
          <w:color w:val="0B0B0B"/>
        </w:rPr>
        <w:t>de</w:t>
      </w:r>
      <w:r>
        <w:rPr>
          <w:color w:val="0B0B0B"/>
          <w:spacing w:val="-2"/>
        </w:rPr>
        <w:t> </w:t>
      </w:r>
      <w:r>
        <w:rPr>
          <w:color w:val="0B0B0B"/>
        </w:rPr>
        <w:t>importación,</w:t>
      </w:r>
      <w:r>
        <w:rPr>
          <w:color w:val="0B0B0B"/>
          <w:spacing w:val="-3"/>
        </w:rPr>
        <w:t> </w:t>
      </w:r>
      <w:r>
        <w:rPr>
          <w:color w:val="0B0B0B"/>
        </w:rPr>
        <w:t>siempre</w:t>
      </w:r>
      <w:r>
        <w:rPr>
          <w:color w:val="0B0B0B"/>
          <w:spacing w:val="-3"/>
        </w:rPr>
        <w:t> </w:t>
      </w:r>
      <w:r>
        <w:rPr>
          <w:color w:val="0B0B0B"/>
        </w:rPr>
        <w:t>están</w:t>
      </w:r>
      <w:r>
        <w:rPr>
          <w:color w:val="0B0B0B"/>
          <w:spacing w:val="-3"/>
        </w:rPr>
        <w:t> </w:t>
      </w:r>
      <w:r>
        <w:rPr>
          <w:color w:val="0B0B0B"/>
        </w:rPr>
        <w:t>obligados</w:t>
      </w:r>
      <w:r>
        <w:rPr>
          <w:color w:val="0B0B0B"/>
          <w:spacing w:val="-2"/>
        </w:rPr>
        <w:t> </w:t>
      </w:r>
      <w:r>
        <w:rPr>
          <w:color w:val="0B0B0B"/>
        </w:rPr>
        <w:t>a</w:t>
      </w:r>
      <w:r>
        <w:rPr>
          <w:color w:val="0B0B0B"/>
          <w:spacing w:val="-2"/>
        </w:rPr>
        <w:t> </w:t>
      </w:r>
      <w:r>
        <w:rPr>
          <w:color w:val="0B0B0B"/>
        </w:rPr>
        <w:t>efectuar</w:t>
      </w:r>
      <w:r>
        <w:rPr>
          <w:color w:val="0B0B0B"/>
          <w:spacing w:val="-3"/>
        </w:rPr>
        <w:t> </w:t>
      </w:r>
      <w:r>
        <w:rPr>
          <w:color w:val="0B0B0B"/>
        </w:rPr>
        <w:t>la</w:t>
      </w:r>
      <w:r>
        <w:rPr>
          <w:color w:val="0B0B0B"/>
          <w:spacing w:val="-4"/>
        </w:rPr>
        <w:t> </w:t>
      </w:r>
      <w:r>
        <w:rPr>
          <w:color w:val="0B0B0B"/>
        </w:rPr>
        <w:t>retención</w:t>
      </w:r>
      <w:r>
        <w:rPr>
          <w:color w:val="0B0B0B"/>
          <w:spacing w:val="-2"/>
        </w:rPr>
        <w:t> </w:t>
      </w:r>
      <w:r>
        <w:rPr>
          <w:color w:val="0B0B0B"/>
        </w:rPr>
        <w:t>a</w:t>
      </w:r>
      <w:r>
        <w:rPr>
          <w:color w:val="0B0B0B"/>
          <w:spacing w:val="-2"/>
        </w:rPr>
        <w:t> </w:t>
      </w:r>
      <w:r>
        <w:rPr>
          <w:color w:val="0B0B0B"/>
        </w:rPr>
        <w:t>que</w:t>
      </w:r>
      <w:r>
        <w:rPr>
          <w:color w:val="0B0B0B"/>
          <w:spacing w:val="-3"/>
        </w:rPr>
        <w:t> </w:t>
      </w:r>
      <w:r>
        <w:rPr>
          <w:color w:val="0B0B0B"/>
        </w:rPr>
        <w:t>se refiere el artículo 1o.-A, fracción III de la Ley del IVA.</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2"/>
        </w:numPr>
        <w:tabs>
          <w:tab w:pos="2664" w:val="left" w:leader="none"/>
        </w:tabs>
        <w:spacing w:line="256" w:lineRule="auto" w:before="116" w:after="0"/>
        <w:ind w:left="2664" w:right="258" w:hanging="504"/>
        <w:jc w:val="both"/>
        <w:rPr>
          <w:sz w:val="18"/>
        </w:rPr>
      </w:pPr>
      <w:r>
        <w:rPr>
          <w:color w:val="0B0B0B"/>
          <w:sz w:val="18"/>
        </w:rPr>
        <w:t>Las personas físicas y morales que no efectúen la retención del IVA en los términos del artículo 1o.-A de la Ley del IVA, cuando adquieran bienes de un residente en el extranjero sin establecimiento permanente en el país, estando obligadas al pago del impuesto por la realización de actividades gravadas para efectos de la Ley del IVA.</w:t>
      </w:r>
    </w:p>
    <w:p>
      <w:pPr>
        <w:pStyle w:val="ListParagraph"/>
        <w:numPr>
          <w:ilvl w:val="0"/>
          <w:numId w:val="62"/>
        </w:numPr>
        <w:tabs>
          <w:tab w:pos="2664" w:val="left" w:leader="none"/>
        </w:tabs>
        <w:spacing w:line="256" w:lineRule="auto" w:before="103"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1"/>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50"/>
        <w:gridCol w:w="4153"/>
      </w:tblGrid>
      <w:tr>
        <w:trPr>
          <w:trHeight w:val="323" w:hRule="atLeast"/>
        </w:trPr>
        <w:tc>
          <w:tcPr>
            <w:tcW w:w="2750" w:type="dxa"/>
            <w:shd w:val="clear" w:color="auto" w:fill="BDBDBD"/>
          </w:tcPr>
          <w:p>
            <w:pPr>
              <w:pStyle w:val="TableParagraph"/>
              <w:spacing w:before="28"/>
              <w:ind w:left="13"/>
              <w:jc w:val="center"/>
              <w:rPr>
                <w:rFonts w:ascii="Arial"/>
                <w:b/>
                <w:sz w:val="16"/>
              </w:rPr>
            </w:pPr>
            <w:r>
              <w:rPr>
                <w:rFonts w:ascii="Arial"/>
                <w:b/>
                <w:color w:val="0B0B0B"/>
                <w:spacing w:val="-2"/>
                <w:sz w:val="16"/>
              </w:rPr>
              <w:t>Origen</w:t>
            </w:r>
          </w:p>
        </w:tc>
        <w:tc>
          <w:tcPr>
            <w:tcW w:w="4153" w:type="dxa"/>
            <w:shd w:val="clear" w:color="auto" w:fill="BDBDBD"/>
          </w:tcPr>
          <w:p>
            <w:pPr>
              <w:pStyle w:val="TableParagraph"/>
              <w:spacing w:before="28"/>
              <w:ind w:left="133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988" w:hRule="atLeast"/>
        </w:trPr>
        <w:tc>
          <w:tcPr>
            <w:tcW w:w="2750" w:type="dxa"/>
          </w:tcPr>
          <w:p>
            <w:pPr>
              <w:pStyle w:val="TableParagraph"/>
              <w:spacing w:line="290" w:lineRule="auto" w:before="27"/>
              <w:ind w:right="42"/>
              <w:rPr>
                <w:sz w:val="16"/>
              </w:rPr>
            </w:pPr>
            <w:r>
              <w:rPr>
                <w:color w:val="0B0B0B"/>
                <w:sz w:val="16"/>
              </w:rPr>
              <w:t>Primera Modificación al Anexo 3 </w:t>
            </w:r>
            <w:r>
              <w:rPr>
                <w:color w:val="0B0B0B"/>
                <w:sz w:val="16"/>
              </w:rPr>
              <w:t>de la RMF para 2024</w:t>
            </w:r>
          </w:p>
        </w:tc>
        <w:tc>
          <w:tcPr>
            <w:tcW w:w="4153" w:type="dxa"/>
          </w:tcPr>
          <w:p>
            <w:pPr>
              <w:pStyle w:val="TableParagraph"/>
              <w:spacing w:line="290" w:lineRule="auto" w:before="27"/>
              <w:ind w:left="72" w:right="54"/>
              <w:jc w:val="both"/>
              <w:rPr>
                <w:sz w:val="16"/>
              </w:rPr>
            </w:pPr>
            <w:r>
              <w:rPr>
                <w:color w:val="0B0B0B"/>
                <w:sz w:val="16"/>
              </w:rPr>
              <w:t>Publicada en el DOF 29 de diciembre de 2023, Primera Modificación al Anexo 3, publicado en el DOF el 11 de octubre de 2024, con número de criterio no vinculativo </w:t>
            </w:r>
            <w:r>
              <w:rPr>
                <w:color w:val="0B0B0B"/>
                <w:spacing w:val="-2"/>
                <w:sz w:val="16"/>
              </w:rPr>
              <w:t>12/IVA.</w:t>
            </w:r>
          </w:p>
        </w:tc>
      </w:tr>
    </w:tbl>
    <w:p>
      <w:pPr>
        <w:pStyle w:val="BodyText"/>
        <w:spacing w:before="125"/>
        <w:ind w:left="0"/>
        <w:jc w:val="left"/>
      </w:pPr>
    </w:p>
    <w:p>
      <w:pPr>
        <w:pStyle w:val="Heading1"/>
        <w:numPr>
          <w:ilvl w:val="0"/>
          <w:numId w:val="50"/>
        </w:numPr>
        <w:tabs>
          <w:tab w:pos="1123" w:val="left" w:leader="none"/>
        </w:tabs>
        <w:spacing w:line="240" w:lineRule="auto" w:before="0" w:after="0"/>
        <w:ind w:left="1123" w:right="0" w:hanging="432"/>
        <w:jc w:val="left"/>
      </w:pPr>
      <w:r>
        <w:rPr>
          <w:color w:val="0B0B0B"/>
        </w:rPr>
        <w:t>Criterios</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Ley</w:t>
      </w:r>
      <w:r>
        <w:rPr>
          <w:color w:val="0B0B0B"/>
          <w:spacing w:val="-5"/>
        </w:rPr>
        <w:t> </w:t>
      </w:r>
      <w:r>
        <w:rPr>
          <w:color w:val="0B0B0B"/>
        </w:rPr>
        <w:t>del</w:t>
      </w:r>
      <w:r>
        <w:rPr>
          <w:color w:val="0B0B0B"/>
          <w:spacing w:val="-2"/>
        </w:rPr>
        <w:t> </w:t>
      </w:r>
      <w:r>
        <w:rPr>
          <w:color w:val="0B0B0B"/>
          <w:spacing w:val="-4"/>
        </w:rPr>
        <w:t>IEPS</w:t>
      </w:r>
    </w:p>
    <w:p>
      <w:pPr>
        <w:spacing w:line="256" w:lineRule="auto" w:before="116"/>
        <w:ind w:left="2145" w:right="256" w:hanging="1008"/>
        <w:jc w:val="both"/>
        <w:rPr>
          <w:rFonts w:ascii="Arial" w:hAnsi="Arial"/>
          <w:b/>
          <w:sz w:val="18"/>
        </w:rPr>
      </w:pPr>
      <w:r>
        <w:rPr>
          <w:rFonts w:ascii="Arial" w:hAnsi="Arial"/>
          <w:b/>
          <w:color w:val="0B0B0B"/>
          <w:sz w:val="18"/>
        </w:rPr>
        <w:t>1/IEPS/PI</w:t>
      </w:r>
      <w:r>
        <w:rPr>
          <w:rFonts w:ascii="Arial" w:hAnsi="Arial"/>
          <w:b/>
          <w:color w:val="0B0B0B"/>
          <w:spacing w:val="80"/>
          <w:sz w:val="18"/>
        </w:rPr>
        <w:t> </w:t>
      </w:r>
      <w:r>
        <w:rPr>
          <w:rFonts w:ascii="Arial" w:hAnsi="Arial"/>
          <w:b/>
          <w:color w:val="0B0B0B"/>
          <w:sz w:val="18"/>
        </w:rPr>
        <w:t>Base sobre la cual se aplicará la tasa del IEPS cuando el prestador de servicio proporcione equipos terminales de telecomunicaciones u otorgue su uso o </w:t>
      </w:r>
      <w:r>
        <w:rPr>
          <w:rFonts w:ascii="Arial" w:hAnsi="Arial"/>
          <w:b/>
          <w:color w:val="0B0B0B"/>
          <w:sz w:val="18"/>
        </w:rPr>
        <w:t>goce temporal al prestatario, con independencia del instrumento legal que se utilice para proporcionar el servicio.</w:t>
      </w:r>
    </w:p>
    <w:p>
      <w:pPr>
        <w:pStyle w:val="BodyText"/>
        <w:spacing w:line="256" w:lineRule="auto" w:before="103"/>
        <w:ind w:right="257"/>
      </w:pPr>
      <w:r>
        <w:rPr>
          <w:color w:val="0B0B0B"/>
        </w:rPr>
        <w:t>El</w:t>
      </w:r>
      <w:r>
        <w:rPr>
          <w:color w:val="0B0B0B"/>
          <w:spacing w:val="-3"/>
        </w:rPr>
        <w:t> </w:t>
      </w:r>
      <w:r>
        <w:rPr>
          <w:color w:val="0B0B0B"/>
        </w:rPr>
        <w:t>artículo</w:t>
      </w:r>
      <w:r>
        <w:rPr>
          <w:color w:val="0B0B0B"/>
          <w:spacing w:val="-3"/>
        </w:rPr>
        <w:t> </w:t>
      </w:r>
      <w:r>
        <w:rPr>
          <w:color w:val="0B0B0B"/>
        </w:rPr>
        <w:t>2o.,</w:t>
      </w:r>
      <w:r>
        <w:rPr>
          <w:color w:val="0B0B0B"/>
          <w:spacing w:val="-3"/>
        </w:rPr>
        <w:t> </w:t>
      </w:r>
      <w:r>
        <w:rPr>
          <w:color w:val="0B0B0B"/>
        </w:rPr>
        <w:t>fracción</w:t>
      </w:r>
      <w:r>
        <w:rPr>
          <w:color w:val="0B0B0B"/>
          <w:spacing w:val="-3"/>
        </w:rPr>
        <w:t> </w:t>
      </w:r>
      <w:r>
        <w:rPr>
          <w:color w:val="0B0B0B"/>
        </w:rPr>
        <w:t>II,</w:t>
      </w:r>
      <w:r>
        <w:rPr>
          <w:color w:val="0B0B0B"/>
          <w:spacing w:val="-3"/>
        </w:rPr>
        <w:t> </w:t>
      </w:r>
      <w:r>
        <w:rPr>
          <w:color w:val="0B0B0B"/>
        </w:rPr>
        <w:t>inciso</w:t>
      </w:r>
      <w:r>
        <w:rPr>
          <w:color w:val="0B0B0B"/>
          <w:spacing w:val="-3"/>
        </w:rPr>
        <w:t> </w:t>
      </w:r>
      <w:r>
        <w:rPr>
          <w:color w:val="0B0B0B"/>
        </w:rPr>
        <w:t>C)</w:t>
      </w:r>
      <w:r>
        <w:rPr>
          <w:color w:val="0B0B0B"/>
          <w:spacing w:val="-3"/>
        </w:rPr>
        <w:t> </w:t>
      </w:r>
      <w:r>
        <w:rPr>
          <w:color w:val="0B0B0B"/>
        </w:rPr>
        <w:t>de</w:t>
      </w:r>
      <w:r>
        <w:rPr>
          <w:color w:val="0B0B0B"/>
          <w:spacing w:val="-3"/>
        </w:rPr>
        <w:t> </w:t>
      </w:r>
      <w:r>
        <w:rPr>
          <w:color w:val="0B0B0B"/>
        </w:rPr>
        <w:t>la</w:t>
      </w:r>
      <w:r>
        <w:rPr>
          <w:color w:val="0B0B0B"/>
          <w:spacing w:val="-4"/>
        </w:rPr>
        <w:t> </w:t>
      </w:r>
      <w:r>
        <w:rPr>
          <w:color w:val="0B0B0B"/>
        </w:rPr>
        <w:t>Ley</w:t>
      </w:r>
      <w:r>
        <w:rPr>
          <w:color w:val="0B0B0B"/>
          <w:spacing w:val="-3"/>
        </w:rPr>
        <w:t> </w:t>
      </w:r>
      <w:r>
        <w:rPr>
          <w:color w:val="0B0B0B"/>
        </w:rPr>
        <w:t>del</w:t>
      </w:r>
      <w:r>
        <w:rPr>
          <w:color w:val="0B0B0B"/>
          <w:spacing w:val="-3"/>
        </w:rPr>
        <w:t> </w:t>
      </w:r>
      <w:r>
        <w:rPr>
          <w:color w:val="0B0B0B"/>
        </w:rPr>
        <w:t>IEPS</w:t>
      </w:r>
      <w:r>
        <w:rPr>
          <w:color w:val="0B0B0B"/>
          <w:spacing w:val="-3"/>
        </w:rPr>
        <w:t> </w:t>
      </w:r>
      <w:r>
        <w:rPr>
          <w:color w:val="0B0B0B"/>
        </w:rPr>
        <w:t>establece</w:t>
      </w:r>
      <w:r>
        <w:rPr>
          <w:color w:val="0B0B0B"/>
          <w:spacing w:val="-3"/>
        </w:rPr>
        <w:t> </w:t>
      </w:r>
      <w:r>
        <w:rPr>
          <w:color w:val="0B0B0B"/>
        </w:rPr>
        <w:t>que</w:t>
      </w:r>
      <w:r>
        <w:rPr>
          <w:color w:val="0B0B0B"/>
          <w:spacing w:val="-3"/>
        </w:rPr>
        <w:t> </w:t>
      </w:r>
      <w:r>
        <w:rPr>
          <w:color w:val="0B0B0B"/>
        </w:rPr>
        <w:t>a</w:t>
      </w:r>
      <w:r>
        <w:rPr>
          <w:color w:val="0B0B0B"/>
          <w:spacing w:val="-3"/>
        </w:rPr>
        <w:t> </w:t>
      </w:r>
      <w:r>
        <w:rPr>
          <w:color w:val="0B0B0B"/>
        </w:rPr>
        <w:t>la</w:t>
      </w:r>
      <w:r>
        <w:rPr>
          <w:color w:val="0B0B0B"/>
          <w:spacing w:val="-2"/>
        </w:rPr>
        <w:t> </w:t>
      </w:r>
      <w:r>
        <w:rPr>
          <w:color w:val="0B0B0B"/>
        </w:rPr>
        <w:t>prestación</w:t>
      </w:r>
      <w:r>
        <w:rPr>
          <w:color w:val="0B0B0B"/>
          <w:spacing w:val="-3"/>
        </w:rPr>
        <w:t> </w:t>
      </w:r>
      <w:r>
        <w:rPr>
          <w:color w:val="0B0B0B"/>
        </w:rPr>
        <w:t>de servicios en territorio nacional proporcionados a través de una o más redes públicas</w:t>
      </w:r>
      <w:r>
        <w:rPr>
          <w:color w:val="0B0B0B"/>
          <w:spacing w:val="40"/>
        </w:rPr>
        <w:t> </w:t>
      </w:r>
      <w:r>
        <w:rPr>
          <w:color w:val="0B0B0B"/>
        </w:rPr>
        <w:t>de telecomunicaciones se le aplicará la tasa del 3%.</w:t>
      </w:r>
    </w:p>
    <w:p>
      <w:pPr>
        <w:pStyle w:val="BodyText"/>
        <w:spacing w:line="256" w:lineRule="auto" w:before="104"/>
        <w:ind w:right="258"/>
      </w:pPr>
      <w:r>
        <w:rPr>
          <w:color w:val="0B0B0B"/>
        </w:rPr>
        <w:t>El artículo 17, segundo párrafo</w:t>
      </w:r>
      <w:r>
        <w:rPr>
          <w:color w:val="0B0B0B"/>
        </w:rPr>
        <w:t> del CFF señala que cuando con motivo de la</w:t>
      </w:r>
      <w:r>
        <w:rPr>
          <w:color w:val="0B0B0B"/>
          <w:spacing w:val="40"/>
        </w:rPr>
        <w:t> </w:t>
      </w:r>
      <w:r>
        <w:rPr>
          <w:color w:val="0B0B0B"/>
        </w:rPr>
        <w:t>prestación de un servicio se proporcionen bienes o se otorgue su uso o goce temporal al prestatario, se considerará como ingreso por el servicio o como valor de este, el importe total de la contraprestación a cargo del prestatario, siempre que sean bienes que normalmente se proporcionen o se conceda su uso o goce con el servicio de que se trate.</w:t>
      </w:r>
    </w:p>
    <w:p>
      <w:pPr>
        <w:pStyle w:val="BodyText"/>
        <w:spacing w:line="256" w:lineRule="auto" w:before="104"/>
        <w:ind w:right="258"/>
      </w:pPr>
      <w:r>
        <w:rPr>
          <w:color w:val="0B0B0B"/>
        </w:rPr>
        <w:t>Por ende, si con la prestación del servicio de telecomunicaciones se proporcionan equipos terminales de telecomunicaciones o se otorgan estos para su uso o goce temporal</w:t>
      </w:r>
      <w:r>
        <w:rPr>
          <w:color w:val="0B0B0B"/>
          <w:spacing w:val="-3"/>
        </w:rPr>
        <w:t> </w:t>
      </w:r>
      <w:r>
        <w:rPr>
          <w:color w:val="0B0B0B"/>
        </w:rPr>
        <w:t>al</w:t>
      </w:r>
      <w:r>
        <w:rPr>
          <w:color w:val="0B0B0B"/>
          <w:spacing w:val="-3"/>
        </w:rPr>
        <w:t> </w:t>
      </w:r>
      <w:r>
        <w:rPr>
          <w:color w:val="0B0B0B"/>
        </w:rPr>
        <w:t>prestatario,</w:t>
      </w:r>
      <w:r>
        <w:rPr>
          <w:color w:val="0B0B0B"/>
          <w:spacing w:val="-3"/>
        </w:rPr>
        <w:t> </w:t>
      </w:r>
      <w:r>
        <w:rPr>
          <w:color w:val="0B0B0B"/>
        </w:rPr>
        <w:t>se</w:t>
      </w:r>
      <w:r>
        <w:rPr>
          <w:color w:val="0B0B0B"/>
          <w:spacing w:val="-3"/>
        </w:rPr>
        <w:t> </w:t>
      </w:r>
      <w:r>
        <w:rPr>
          <w:color w:val="0B0B0B"/>
        </w:rPr>
        <w:t>considerará</w:t>
      </w:r>
      <w:r>
        <w:rPr>
          <w:color w:val="0B0B0B"/>
          <w:spacing w:val="-3"/>
        </w:rPr>
        <w:t> </w:t>
      </w:r>
      <w:r>
        <w:rPr>
          <w:color w:val="0B0B0B"/>
        </w:rPr>
        <w:t>como</w:t>
      </w:r>
      <w:r>
        <w:rPr>
          <w:color w:val="0B0B0B"/>
          <w:spacing w:val="-2"/>
        </w:rPr>
        <w:t> </w:t>
      </w:r>
      <w:r>
        <w:rPr>
          <w:color w:val="0B0B0B"/>
        </w:rPr>
        <w:t>valor</w:t>
      </w:r>
      <w:r>
        <w:rPr>
          <w:color w:val="0B0B0B"/>
          <w:spacing w:val="-3"/>
        </w:rPr>
        <w:t> </w:t>
      </w:r>
      <w:r>
        <w:rPr>
          <w:color w:val="0B0B0B"/>
        </w:rPr>
        <w:t>el</w:t>
      </w:r>
      <w:r>
        <w:rPr>
          <w:color w:val="0B0B0B"/>
          <w:spacing w:val="-3"/>
        </w:rPr>
        <w:t> </w:t>
      </w:r>
      <w:r>
        <w:rPr>
          <w:color w:val="0B0B0B"/>
        </w:rPr>
        <w:t>importe</w:t>
      </w:r>
      <w:r>
        <w:rPr>
          <w:color w:val="0B0B0B"/>
          <w:spacing w:val="-3"/>
        </w:rPr>
        <w:t> </w:t>
      </w:r>
      <w:r>
        <w:rPr>
          <w:color w:val="0B0B0B"/>
        </w:rPr>
        <w:t>de</w:t>
      </w:r>
      <w:r>
        <w:rPr>
          <w:color w:val="0B0B0B"/>
          <w:spacing w:val="-3"/>
        </w:rPr>
        <w:t> </w:t>
      </w:r>
      <w:r>
        <w:rPr>
          <w:color w:val="0B0B0B"/>
        </w:rPr>
        <w:t>las</w:t>
      </w:r>
      <w:r>
        <w:rPr>
          <w:color w:val="0B0B0B"/>
          <w:spacing w:val="-3"/>
        </w:rPr>
        <w:t> </w:t>
      </w:r>
      <w:r>
        <w:rPr>
          <w:color w:val="0B0B0B"/>
        </w:rPr>
        <w:t>contraprestaciones que el prestador cobre al prestatario por la totalidad de los conceptos mencionados de conformidad con el artículo 17, segundo párrafo del CFF.</w:t>
      </w:r>
    </w:p>
    <w:p>
      <w:pPr>
        <w:pStyle w:val="BodyText"/>
        <w:spacing w:before="103"/>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1"/>
          <w:numId w:val="50"/>
        </w:numPr>
        <w:tabs>
          <w:tab w:pos="2664" w:val="left" w:leader="none"/>
        </w:tabs>
        <w:spacing w:line="256" w:lineRule="auto" w:before="116" w:after="0"/>
        <w:ind w:left="2664" w:right="258" w:hanging="504"/>
        <w:jc w:val="both"/>
        <w:rPr>
          <w:sz w:val="18"/>
        </w:rPr>
      </w:pPr>
      <w:r>
        <w:rPr>
          <w:color w:val="0B0B0B"/>
          <w:sz w:val="18"/>
        </w:rPr>
        <w:t>No considerar como valor de la contraprestación, el importe total de bienes y </w:t>
      </w:r>
      <w:r>
        <w:rPr>
          <w:color w:val="0B0B0B"/>
          <w:spacing w:val="-2"/>
          <w:sz w:val="18"/>
        </w:rPr>
        <w:t>servicios.</w:t>
      </w:r>
    </w:p>
    <w:p>
      <w:pPr>
        <w:pStyle w:val="ListParagraph"/>
        <w:spacing w:after="0" w:line="256" w:lineRule="auto"/>
        <w:jc w:val="both"/>
        <w:rPr>
          <w:sz w:val="18"/>
        </w:rPr>
        <w:sectPr>
          <w:headerReference w:type="default" r:id="rId59"/>
          <w:pgSz w:w="12240" w:h="15840"/>
          <w:pgMar w:header="690" w:footer="0" w:top="1040" w:bottom="280" w:left="1440" w:right="1440"/>
        </w:sectPr>
      </w:pPr>
    </w:p>
    <w:p>
      <w:pPr>
        <w:pStyle w:val="ListParagraph"/>
        <w:numPr>
          <w:ilvl w:val="1"/>
          <w:numId w:val="50"/>
        </w:numPr>
        <w:tabs>
          <w:tab w:pos="2664" w:val="left" w:leader="none"/>
        </w:tabs>
        <w:spacing w:line="268" w:lineRule="auto" w:before="125" w:after="0"/>
        <w:ind w:left="2664" w:right="260" w:hanging="504"/>
        <w:jc w:val="both"/>
        <w:rPr>
          <w:sz w:val="18"/>
        </w:rPr>
      </w:pPr>
      <w:r>
        <w:rPr>
          <w:color w:val="0B0B0B"/>
          <w:sz w:val="18"/>
        </w:rPr>
        <w:t>Disminuir de la base del impuesto el valor de los bienes proporcionados, sea de manera definitiva o temporal.</w:t>
      </w:r>
    </w:p>
    <w:p>
      <w:pPr>
        <w:pStyle w:val="ListParagraph"/>
        <w:numPr>
          <w:ilvl w:val="1"/>
          <w:numId w:val="50"/>
        </w:numPr>
        <w:tabs>
          <w:tab w:pos="2662" w:val="left" w:leader="none"/>
          <w:tab w:pos="2664" w:val="left" w:leader="none"/>
        </w:tabs>
        <w:spacing w:line="268" w:lineRule="auto" w:before="101" w:after="0"/>
        <w:ind w:left="2664" w:right="259" w:hanging="504"/>
        <w:jc w:val="both"/>
        <w:rPr>
          <w:sz w:val="18"/>
        </w:rPr>
      </w:pPr>
      <w:r>
        <w:rPr>
          <w:color w:val="0B0B0B"/>
          <w:sz w:val="18"/>
        </w:rPr>
        <w:t>Asesorar, aconsejar, prestar servicios o participar en la realización o la implementación de cualquiera de las prácticas anteriores.</w:t>
      </w:r>
    </w:p>
    <w:p>
      <w:pPr>
        <w:pStyle w:val="BodyText"/>
        <w:spacing w:before="4"/>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921"/>
      </w:tblGrid>
      <w:tr>
        <w:trPr>
          <w:trHeight w:val="332" w:hRule="atLeast"/>
        </w:trPr>
        <w:tc>
          <w:tcPr>
            <w:tcW w:w="2974" w:type="dxa"/>
            <w:shd w:val="clear" w:color="auto" w:fill="BDBDBD"/>
          </w:tcPr>
          <w:p>
            <w:pPr>
              <w:pStyle w:val="TableParagraph"/>
              <w:spacing w:before="35"/>
              <w:ind w:left="12"/>
              <w:jc w:val="center"/>
              <w:rPr>
                <w:rFonts w:ascii="Arial"/>
                <w:b/>
                <w:sz w:val="16"/>
              </w:rPr>
            </w:pPr>
            <w:r>
              <w:rPr>
                <w:rFonts w:ascii="Arial"/>
                <w:b/>
                <w:color w:val="0B0B0B"/>
                <w:spacing w:val="-2"/>
                <w:sz w:val="16"/>
              </w:rPr>
              <w:t>Origen</w:t>
            </w:r>
          </w:p>
        </w:tc>
        <w:tc>
          <w:tcPr>
            <w:tcW w:w="3921" w:type="dxa"/>
            <w:shd w:val="clear" w:color="auto" w:fill="BDBDBD"/>
          </w:tcPr>
          <w:p>
            <w:pPr>
              <w:pStyle w:val="TableParagraph"/>
              <w:spacing w:before="35"/>
              <w:ind w:left="121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4" w:hRule="atLeast"/>
        </w:trPr>
        <w:tc>
          <w:tcPr>
            <w:tcW w:w="2974" w:type="dxa"/>
          </w:tcPr>
          <w:p>
            <w:pPr>
              <w:pStyle w:val="TableParagraph"/>
              <w:spacing w:before="3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2010</w:t>
            </w:r>
          </w:p>
        </w:tc>
        <w:tc>
          <w:tcPr>
            <w:tcW w:w="3921" w:type="dxa"/>
          </w:tcPr>
          <w:p>
            <w:pPr>
              <w:pStyle w:val="TableParagraph"/>
              <w:spacing w:line="304" w:lineRule="auto" w:before="35"/>
              <w:ind w:right="63"/>
              <w:rPr>
                <w:sz w:val="16"/>
              </w:rPr>
            </w:pPr>
            <w:r>
              <w:rPr>
                <w:color w:val="0B0B0B"/>
                <w:sz w:val="16"/>
              </w:rPr>
              <w:t>Publicada en el DOF el 11 de junio de 2010, </w:t>
            </w:r>
            <w:r>
              <w:rPr>
                <w:color w:val="0B0B0B"/>
                <w:sz w:val="16"/>
              </w:rPr>
              <w:t>Anexo</w:t>
            </w:r>
            <w:r>
              <w:rPr>
                <w:color w:val="0B0B0B"/>
                <w:spacing w:val="40"/>
                <w:sz w:val="16"/>
              </w:rPr>
              <w:t> </w:t>
            </w:r>
            <w:r>
              <w:rPr>
                <w:color w:val="0B0B0B"/>
                <w:sz w:val="16"/>
              </w:rPr>
              <w:t>3, publicado en el DOF el 15 de junio de 2010.</w:t>
            </w:r>
          </w:p>
        </w:tc>
      </w:tr>
    </w:tbl>
    <w:p>
      <w:pPr>
        <w:pStyle w:val="BodyText"/>
        <w:spacing w:before="144"/>
        <w:ind w:left="0"/>
        <w:jc w:val="left"/>
      </w:pPr>
    </w:p>
    <w:p>
      <w:pPr>
        <w:pStyle w:val="Heading1"/>
        <w:tabs>
          <w:tab w:pos="2145" w:val="left" w:leader="none"/>
        </w:tabs>
        <w:ind w:left="1137" w:firstLine="0"/>
      </w:pPr>
      <w:r>
        <w:rPr>
          <w:color w:val="0B0B0B"/>
          <w:spacing w:val="-2"/>
        </w:rPr>
        <w:t>2/IEPS/PI</w:t>
      </w:r>
      <w:r>
        <w:rPr>
          <w:color w:val="0B0B0B"/>
        </w:rPr>
        <w:tab/>
        <w:t>Servicios</w:t>
      </w:r>
      <w:r>
        <w:rPr>
          <w:color w:val="0B0B0B"/>
          <w:spacing w:val="-6"/>
        </w:rPr>
        <w:t> </w:t>
      </w:r>
      <w:r>
        <w:rPr>
          <w:color w:val="0B0B0B"/>
        </w:rPr>
        <w:t>que</w:t>
      </w:r>
      <w:r>
        <w:rPr>
          <w:color w:val="0B0B0B"/>
          <w:spacing w:val="-6"/>
        </w:rPr>
        <w:t> </w:t>
      </w:r>
      <w:r>
        <w:rPr>
          <w:color w:val="0B0B0B"/>
        </w:rPr>
        <w:t>se</w:t>
      </w:r>
      <w:r>
        <w:rPr>
          <w:color w:val="0B0B0B"/>
          <w:spacing w:val="-5"/>
        </w:rPr>
        <w:t> </w:t>
      </w:r>
      <w:r>
        <w:rPr>
          <w:color w:val="0B0B0B"/>
        </w:rPr>
        <w:t>ofrecen</w:t>
      </w:r>
      <w:r>
        <w:rPr>
          <w:color w:val="0B0B0B"/>
          <w:spacing w:val="-6"/>
        </w:rPr>
        <w:t> </w:t>
      </w:r>
      <w:r>
        <w:rPr>
          <w:color w:val="0B0B0B"/>
        </w:rPr>
        <w:t>de</w:t>
      </w:r>
      <w:r>
        <w:rPr>
          <w:color w:val="0B0B0B"/>
          <w:spacing w:val="-5"/>
        </w:rPr>
        <w:t> </w:t>
      </w:r>
      <w:r>
        <w:rPr>
          <w:color w:val="0B0B0B"/>
        </w:rPr>
        <w:t>manera</w:t>
      </w:r>
      <w:r>
        <w:rPr>
          <w:color w:val="0B0B0B"/>
          <w:spacing w:val="-6"/>
        </w:rPr>
        <w:t> </w:t>
      </w:r>
      <w:r>
        <w:rPr>
          <w:color w:val="0B0B0B"/>
        </w:rPr>
        <w:t>conjunta</w:t>
      </w:r>
      <w:r>
        <w:rPr>
          <w:color w:val="0B0B0B"/>
          <w:spacing w:val="-5"/>
        </w:rPr>
        <w:t> </w:t>
      </w:r>
      <w:r>
        <w:rPr>
          <w:color w:val="0B0B0B"/>
        </w:rPr>
        <w:t>con</w:t>
      </w:r>
      <w:r>
        <w:rPr>
          <w:color w:val="0B0B0B"/>
          <w:spacing w:val="-6"/>
        </w:rPr>
        <w:t> </w:t>
      </w:r>
      <w:r>
        <w:rPr>
          <w:color w:val="0B0B0B"/>
          <w:spacing w:val="-2"/>
        </w:rPr>
        <w:t>Internet.</w:t>
      </w:r>
    </w:p>
    <w:p>
      <w:pPr>
        <w:pStyle w:val="BodyText"/>
        <w:spacing w:line="268" w:lineRule="auto" w:before="127"/>
        <w:ind w:right="258"/>
      </w:pPr>
      <w:r>
        <w:rPr>
          <w:color w:val="0B0B0B"/>
        </w:rPr>
        <w:t>El artículo 8o., fracción IV, inciso d), primer párrafo de la Ley del IEPS establece que no se pagará el IEPS por los servicios de telecomunicaciones de acceso a Internet, a través</w:t>
      </w:r>
      <w:r>
        <w:rPr>
          <w:color w:val="0B0B0B"/>
        </w:rPr>
        <w:t> de una red fija o móvil, consistente en todos los servicios, aplicaciones y contenidos que mediante dicho acceso a Internet se presten a través de una red de </w:t>
      </w:r>
      <w:r>
        <w:rPr>
          <w:color w:val="0B0B0B"/>
          <w:spacing w:val="-2"/>
        </w:rPr>
        <w:t>telecomunicaciones.</w:t>
      </w:r>
    </w:p>
    <w:p>
      <w:pPr>
        <w:pStyle w:val="BodyText"/>
        <w:spacing w:line="268" w:lineRule="auto" w:before="101"/>
        <w:ind w:right="257"/>
      </w:pPr>
      <w:r>
        <w:rPr>
          <w:color w:val="0B0B0B"/>
        </w:rPr>
        <w:t>Asimismo,</w:t>
      </w:r>
      <w:r>
        <w:rPr>
          <w:color w:val="0B0B0B"/>
        </w:rPr>
        <w:t> el segundo párrafo del inciso d) en comento, señala que cuando los servicios a que se refiere el párrafo anterior se ofrezcan de manera conjunta con otros servicios que se presten a través de una red pública de telecomunicaciones,</w:t>
      </w:r>
      <w:r>
        <w:rPr>
          <w:color w:val="0B0B0B"/>
        </w:rPr>
        <w:t> la exención establecida en el mismo, será procedente siempre que en el comprobante fiscal respectivo, se determine la contraprestación correspondiente al servicio de acceso a Internet de manera separada a los demás servicios de telecomunicaciones que se presten a través de una red pública y que dicha contraprestación se determine de acuerdo con los precios y montos de las contraprestaciones que se hubieran cobrado</w:t>
      </w:r>
      <w:r>
        <w:rPr>
          <w:color w:val="0B0B0B"/>
          <w:spacing w:val="-2"/>
        </w:rPr>
        <w:t> </w:t>
      </w:r>
      <w:r>
        <w:rPr>
          <w:color w:val="0B0B0B"/>
        </w:rPr>
        <w:t>de</w:t>
      </w:r>
      <w:r>
        <w:rPr>
          <w:color w:val="0B0B0B"/>
          <w:spacing w:val="-2"/>
        </w:rPr>
        <w:t> </w:t>
      </w:r>
      <w:r>
        <w:rPr>
          <w:color w:val="0B0B0B"/>
        </w:rPr>
        <w:t>no</w:t>
      </w:r>
      <w:r>
        <w:rPr>
          <w:color w:val="0B0B0B"/>
          <w:spacing w:val="-2"/>
        </w:rPr>
        <w:t> </w:t>
      </w:r>
      <w:r>
        <w:rPr>
          <w:color w:val="0B0B0B"/>
        </w:rPr>
        <w:t>haberse</w:t>
      </w:r>
      <w:r>
        <w:rPr>
          <w:color w:val="0B0B0B"/>
          <w:spacing w:val="-2"/>
        </w:rPr>
        <w:t> </w:t>
      </w:r>
      <w:r>
        <w:rPr>
          <w:color w:val="0B0B0B"/>
        </w:rPr>
        <w:t>proporcionado</w:t>
      </w:r>
      <w:r>
        <w:rPr>
          <w:color w:val="0B0B0B"/>
          <w:spacing w:val="-2"/>
        </w:rPr>
        <w:t> </w:t>
      </w:r>
      <w:r>
        <w:rPr>
          <w:color w:val="0B0B0B"/>
        </w:rPr>
        <w:t>el</w:t>
      </w:r>
      <w:r>
        <w:rPr>
          <w:color w:val="0B0B0B"/>
          <w:spacing w:val="-2"/>
        </w:rPr>
        <w:t> </w:t>
      </w:r>
      <w:r>
        <w:rPr>
          <w:color w:val="0B0B0B"/>
        </w:rPr>
        <w:t>servicio</w:t>
      </w:r>
      <w:r>
        <w:rPr>
          <w:color w:val="0B0B0B"/>
          <w:spacing w:val="-2"/>
        </w:rPr>
        <w:t> </w:t>
      </w:r>
      <w:r>
        <w:rPr>
          <w:color w:val="0B0B0B"/>
        </w:rPr>
        <w:t>en</w:t>
      </w:r>
      <w:r>
        <w:rPr>
          <w:color w:val="0B0B0B"/>
          <w:spacing w:val="-2"/>
        </w:rPr>
        <w:t> </w:t>
      </w:r>
      <w:r>
        <w:rPr>
          <w:color w:val="0B0B0B"/>
        </w:rPr>
        <w:t>forma</w:t>
      </w:r>
      <w:r>
        <w:rPr>
          <w:color w:val="0B0B0B"/>
          <w:spacing w:val="-2"/>
        </w:rPr>
        <w:t> </w:t>
      </w:r>
      <w:r>
        <w:rPr>
          <w:color w:val="0B0B0B"/>
        </w:rPr>
        <w:t>conjunta</w:t>
      </w:r>
      <w:r>
        <w:rPr>
          <w:color w:val="0B0B0B"/>
          <w:spacing w:val="-2"/>
        </w:rPr>
        <w:t> </w:t>
      </w:r>
      <w:r>
        <w:rPr>
          <w:color w:val="0B0B0B"/>
        </w:rPr>
        <w:t>con</w:t>
      </w:r>
      <w:r>
        <w:rPr>
          <w:color w:val="0B0B0B"/>
          <w:spacing w:val="-2"/>
        </w:rPr>
        <w:t> </w:t>
      </w:r>
      <w:r>
        <w:rPr>
          <w:color w:val="0B0B0B"/>
        </w:rPr>
        <w:t>otros</w:t>
      </w:r>
      <w:r>
        <w:rPr>
          <w:color w:val="0B0B0B"/>
          <w:spacing w:val="-2"/>
        </w:rPr>
        <w:t> </w:t>
      </w:r>
      <w:r>
        <w:rPr>
          <w:color w:val="0B0B0B"/>
        </w:rPr>
        <w:t>servicios de telecomunicaciones gravados por esta Ley; en cuyo caso, los servicios de Internet exentos no podrán exceder del 30% del total de las contraprestaciones antes referidas que se facturen en forma conjunta.</w:t>
      </w:r>
    </w:p>
    <w:p>
      <w:pPr>
        <w:pStyle w:val="BodyText"/>
        <w:spacing w:line="268" w:lineRule="auto" w:before="104"/>
        <w:ind w:right="256"/>
      </w:pPr>
      <w:r>
        <w:rPr>
          <w:color w:val="0B0B0B"/>
        </w:rPr>
        <w:t>Al respecto, se considera que conforme al artículo 8o., fracción IV, inciso d), primer párrafo</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2"/>
        </w:rPr>
        <w:t> </w:t>
      </w:r>
      <w:r>
        <w:rPr>
          <w:color w:val="0B0B0B"/>
        </w:rPr>
        <w:t>del</w:t>
      </w:r>
      <w:r>
        <w:rPr>
          <w:color w:val="0B0B0B"/>
          <w:spacing w:val="-1"/>
        </w:rPr>
        <w:t> </w:t>
      </w:r>
      <w:r>
        <w:rPr>
          <w:color w:val="0B0B0B"/>
        </w:rPr>
        <w:t>IEPS,</w:t>
      </w:r>
      <w:r>
        <w:rPr>
          <w:color w:val="0B0B0B"/>
          <w:spacing w:val="-1"/>
        </w:rPr>
        <w:t> </w:t>
      </w:r>
      <w:r>
        <w:rPr>
          <w:color w:val="0B0B0B"/>
        </w:rPr>
        <w:t>solo</w:t>
      </w:r>
      <w:r>
        <w:rPr>
          <w:color w:val="0B0B0B"/>
          <w:spacing w:val="-1"/>
        </w:rPr>
        <w:t> </w:t>
      </w:r>
      <w:r>
        <w:rPr>
          <w:color w:val="0B0B0B"/>
        </w:rPr>
        <w:t>el</w:t>
      </w:r>
      <w:r>
        <w:rPr>
          <w:color w:val="0B0B0B"/>
          <w:spacing w:val="-1"/>
        </w:rPr>
        <w:t> </w:t>
      </w:r>
      <w:r>
        <w:rPr>
          <w:color w:val="0B0B0B"/>
        </w:rPr>
        <w:t>servicio de</w:t>
      </w:r>
      <w:r>
        <w:rPr>
          <w:color w:val="0B0B0B"/>
          <w:spacing w:val="-1"/>
        </w:rPr>
        <w:t> </w:t>
      </w:r>
      <w:r>
        <w:rPr>
          <w:color w:val="0B0B0B"/>
        </w:rPr>
        <w:t>acceso</w:t>
      </w:r>
      <w:r>
        <w:rPr>
          <w:color w:val="0B0B0B"/>
          <w:spacing w:val="-1"/>
        </w:rPr>
        <w:t> </w:t>
      </w:r>
      <w:r>
        <w:rPr>
          <w:color w:val="0B0B0B"/>
        </w:rPr>
        <w:t>a</w:t>
      </w:r>
      <w:r>
        <w:rPr>
          <w:color w:val="0B0B0B"/>
          <w:spacing w:val="-1"/>
        </w:rPr>
        <w:t> </w:t>
      </w:r>
      <w:r>
        <w:rPr>
          <w:color w:val="0B0B0B"/>
        </w:rPr>
        <w:t>Internet</w:t>
      </w:r>
      <w:r>
        <w:rPr>
          <w:color w:val="0B0B0B"/>
          <w:spacing w:val="-1"/>
        </w:rPr>
        <w:t> </w:t>
      </w:r>
      <w:r>
        <w:rPr>
          <w:color w:val="0B0B0B"/>
        </w:rPr>
        <w:t>es</w:t>
      </w:r>
      <w:r>
        <w:rPr>
          <w:color w:val="0B0B0B"/>
          <w:spacing w:val="-1"/>
        </w:rPr>
        <w:t> </w:t>
      </w:r>
      <w:r>
        <w:rPr>
          <w:color w:val="0B0B0B"/>
        </w:rPr>
        <w:t>el</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encuentra exento del pago del impuesto. Conforme al segundo párrafo</w:t>
      </w:r>
      <w:r>
        <w:rPr>
          <w:color w:val="0B0B0B"/>
        </w:rPr>
        <w:t> de dicho inciso, se considera que los servicios de telecomunicaciones que están afectos al pago del IEPS y que pueden prestarse de manera conjunta con el de acceso a Internet son, entre otros, los siguientes:</w:t>
      </w:r>
    </w:p>
    <w:p>
      <w:pPr>
        <w:pStyle w:val="ListParagraph"/>
        <w:numPr>
          <w:ilvl w:val="0"/>
          <w:numId w:val="63"/>
        </w:numPr>
        <w:tabs>
          <w:tab w:pos="2663" w:val="left" w:leader="none"/>
        </w:tabs>
        <w:spacing w:line="268" w:lineRule="auto" w:before="102" w:after="0"/>
        <w:ind w:left="2663" w:right="258" w:hanging="504"/>
        <w:jc w:val="both"/>
        <w:rPr>
          <w:sz w:val="18"/>
        </w:rPr>
      </w:pPr>
      <w:r>
        <w:rPr>
          <w:color w:val="0B0B0B"/>
          <w:sz w:val="18"/>
        </w:rPr>
        <w:t>Servicio local, entendiéndose como aquel por el que se conduce tráfico público conmutado entre usuarios de una misma central, o entre usuarios de centrales que forman parte de un mismo</w:t>
      </w:r>
      <w:r>
        <w:rPr>
          <w:color w:val="0B0B0B"/>
          <w:sz w:val="18"/>
        </w:rPr>
        <w:t> grupo de centrales de servicio local, que no requiere de la marcación de un prefijo de acceso al servicio de larga distancia, independientemente de que dicho tráfico público conmutado se origine o</w:t>
      </w:r>
      <w:r>
        <w:rPr>
          <w:color w:val="0B0B0B"/>
          <w:spacing w:val="40"/>
          <w:sz w:val="18"/>
        </w:rPr>
        <w:t> </w:t>
      </w:r>
      <w:r>
        <w:rPr>
          <w:color w:val="0B0B0B"/>
          <w:sz w:val="18"/>
        </w:rPr>
        <w:t>termine en una red pública de telecomunicaciones alámbrica o inalámbrica, y</w:t>
      </w:r>
      <w:r>
        <w:rPr>
          <w:color w:val="0B0B0B"/>
          <w:spacing w:val="40"/>
          <w:sz w:val="18"/>
        </w:rPr>
        <w:t> </w:t>
      </w:r>
      <w:r>
        <w:rPr>
          <w:color w:val="0B0B0B"/>
          <w:sz w:val="18"/>
        </w:rPr>
        <w:t>por el que se cobra una tarifa independiente de la distancia.</w:t>
      </w:r>
    </w:p>
    <w:p>
      <w:pPr>
        <w:pStyle w:val="BodyText"/>
        <w:spacing w:line="268" w:lineRule="auto" w:before="102"/>
        <w:ind w:left="2663" w:right="258"/>
      </w:pPr>
      <w:r>
        <w:rPr>
          <w:color w:val="0B0B0B"/>
        </w:rPr>
        <w:t>El servicio local debe de tener numeración local asignada y administrada por la Comisión Federal de Telecomunicaciones, de conformidad con el Plan Técnico Fundamental</w:t>
      </w:r>
      <w:r>
        <w:rPr>
          <w:color w:val="0B0B0B"/>
          <w:spacing w:val="-3"/>
        </w:rPr>
        <w:t> </w:t>
      </w:r>
      <w:r>
        <w:rPr>
          <w:color w:val="0B0B0B"/>
        </w:rPr>
        <w:t>de</w:t>
      </w:r>
      <w:r>
        <w:rPr>
          <w:color w:val="0B0B0B"/>
          <w:spacing w:val="-3"/>
        </w:rPr>
        <w:t> </w:t>
      </w:r>
      <w:r>
        <w:rPr>
          <w:color w:val="0B0B0B"/>
        </w:rPr>
        <w:t>Numeración</w:t>
      </w:r>
      <w:r>
        <w:rPr>
          <w:color w:val="0B0B0B"/>
          <w:spacing w:val="-2"/>
        </w:rPr>
        <w:t> </w:t>
      </w:r>
      <w:r>
        <w:rPr>
          <w:color w:val="0B0B0B"/>
        </w:rPr>
        <w:t>y</w:t>
      </w:r>
      <w:r>
        <w:rPr>
          <w:color w:val="0B0B0B"/>
          <w:spacing w:val="-3"/>
        </w:rPr>
        <w:t> </w:t>
      </w:r>
      <w:r>
        <w:rPr>
          <w:color w:val="0B0B0B"/>
        </w:rPr>
        <w:t>comprende</w:t>
      </w:r>
      <w:r>
        <w:rPr>
          <w:color w:val="0B0B0B"/>
          <w:spacing w:val="-3"/>
        </w:rPr>
        <w:t> </w:t>
      </w:r>
      <w:r>
        <w:rPr>
          <w:color w:val="0B0B0B"/>
        </w:rPr>
        <w:t>los</w:t>
      </w:r>
      <w:r>
        <w:rPr>
          <w:color w:val="0B0B0B"/>
          <w:spacing w:val="-3"/>
        </w:rPr>
        <w:t> </w:t>
      </w:r>
      <w:r>
        <w:rPr>
          <w:color w:val="0B0B0B"/>
        </w:rPr>
        <w:t>servicios</w:t>
      </w:r>
      <w:r>
        <w:rPr>
          <w:color w:val="0B0B0B"/>
          <w:spacing w:val="-3"/>
        </w:rPr>
        <w:t> </w:t>
      </w:r>
      <w:r>
        <w:rPr>
          <w:color w:val="0B0B0B"/>
        </w:rPr>
        <w:t>de</w:t>
      </w:r>
      <w:r>
        <w:rPr>
          <w:color w:val="0B0B0B"/>
          <w:spacing w:val="-2"/>
        </w:rPr>
        <w:t> </w:t>
      </w:r>
      <w:r>
        <w:rPr>
          <w:color w:val="0B0B0B"/>
        </w:rPr>
        <w:t>telefonía</w:t>
      </w:r>
      <w:r>
        <w:rPr>
          <w:color w:val="0B0B0B"/>
          <w:spacing w:val="-3"/>
        </w:rPr>
        <w:t> </w:t>
      </w:r>
      <w:r>
        <w:rPr>
          <w:color w:val="0B0B0B"/>
        </w:rPr>
        <w:t>básica</w:t>
      </w:r>
      <w:r>
        <w:rPr>
          <w:color w:val="0B0B0B"/>
          <w:spacing w:val="-3"/>
        </w:rPr>
        <w:t> </w:t>
      </w:r>
      <w:r>
        <w:rPr>
          <w:color w:val="0B0B0B"/>
        </w:rPr>
        <w:t>local y radiotelefonía móvil celular.</w:t>
      </w:r>
    </w:p>
    <w:p>
      <w:pPr>
        <w:pStyle w:val="ListParagraph"/>
        <w:numPr>
          <w:ilvl w:val="0"/>
          <w:numId w:val="63"/>
        </w:numPr>
        <w:tabs>
          <w:tab w:pos="2663" w:val="left" w:leader="none"/>
        </w:tabs>
        <w:spacing w:line="268" w:lineRule="auto" w:before="102" w:after="0"/>
        <w:ind w:left="2663" w:right="256" w:hanging="504"/>
        <w:jc w:val="both"/>
        <w:rPr>
          <w:sz w:val="18"/>
        </w:rPr>
      </w:pPr>
      <w:r>
        <w:rPr>
          <w:color w:val="0B0B0B"/>
          <w:sz w:val="18"/>
        </w:rPr>
        <w:t>Servicio de larga distancia, entendiéndose como aquel por el que se cursa tráfico conmutado entre centrales definidas como de larga distancia, que no forman parte del mismo grupo de centrales de servicio local, y que requiere de</w:t>
      </w:r>
      <w:r>
        <w:rPr>
          <w:color w:val="0B0B0B"/>
          <w:spacing w:val="40"/>
          <w:sz w:val="18"/>
        </w:rPr>
        <w:t> </w:t>
      </w:r>
      <w:r>
        <w:rPr>
          <w:color w:val="0B0B0B"/>
          <w:sz w:val="18"/>
        </w:rPr>
        <w:t>la marcación de un prefijo de acceso al servicio de larga distancia para su </w:t>
      </w:r>
      <w:r>
        <w:rPr>
          <w:color w:val="0B0B0B"/>
          <w:spacing w:val="-2"/>
          <w:sz w:val="18"/>
        </w:rPr>
        <w:t>enrutamiento.</w:t>
      </w:r>
    </w:p>
    <w:p>
      <w:pPr>
        <w:pStyle w:val="ListParagraph"/>
        <w:numPr>
          <w:ilvl w:val="0"/>
          <w:numId w:val="63"/>
        </w:numPr>
        <w:tabs>
          <w:tab w:pos="2661" w:val="left" w:leader="none"/>
          <w:tab w:pos="2663" w:val="left" w:leader="none"/>
        </w:tabs>
        <w:spacing w:line="268" w:lineRule="auto" w:before="102" w:after="0"/>
        <w:ind w:left="2663" w:right="258" w:hanging="504"/>
        <w:jc w:val="both"/>
        <w:rPr>
          <w:sz w:val="18"/>
        </w:rPr>
      </w:pPr>
      <w:r>
        <w:rPr>
          <w:color w:val="0B0B0B"/>
          <w:sz w:val="18"/>
        </w:rPr>
        <w:t>Servicio de televisión restringida, entendiéndose por este aquel por el que, mediante contrato y el pago periódico de una cantidad preestablecida y revisable, el concesionario o permisionario distribuye de manera continua programación de audio y video asociado.</w:t>
      </w:r>
    </w:p>
    <w:p>
      <w:pPr>
        <w:pStyle w:val="ListParagraph"/>
        <w:spacing w:after="0" w:line="268" w:lineRule="auto"/>
        <w:jc w:val="both"/>
        <w:rPr>
          <w:sz w:val="18"/>
        </w:rPr>
        <w:sectPr>
          <w:headerReference w:type="default" r:id="rId60"/>
          <w:pgSz w:w="12240" w:h="15840"/>
          <w:pgMar w:header="690" w:footer="0" w:top="1040" w:bottom="280" w:left="1440" w:right="1440"/>
        </w:sectPr>
      </w:pPr>
    </w:p>
    <w:p>
      <w:pPr>
        <w:pStyle w:val="ListParagraph"/>
        <w:numPr>
          <w:ilvl w:val="0"/>
          <w:numId w:val="63"/>
        </w:numPr>
        <w:tabs>
          <w:tab w:pos="2664" w:val="left" w:leader="none"/>
        </w:tabs>
        <w:spacing w:line="252" w:lineRule="auto" w:before="113" w:after="0"/>
        <w:ind w:left="2664" w:right="256" w:hanging="504"/>
        <w:jc w:val="both"/>
        <w:rPr>
          <w:sz w:val="18"/>
        </w:rPr>
      </w:pPr>
      <w:r>
        <w:rPr>
          <w:color w:val="0B0B0B"/>
          <w:sz w:val="18"/>
        </w:rPr>
        <w:t>Servicio</w:t>
      </w:r>
      <w:r>
        <w:rPr>
          <w:color w:val="0B0B0B"/>
          <w:spacing w:val="-3"/>
          <w:sz w:val="18"/>
        </w:rPr>
        <w:t> </w:t>
      </w:r>
      <w:r>
        <w:rPr>
          <w:color w:val="0B0B0B"/>
          <w:sz w:val="18"/>
        </w:rPr>
        <w:t>de</w:t>
      </w:r>
      <w:r>
        <w:rPr>
          <w:color w:val="0B0B0B"/>
          <w:spacing w:val="-4"/>
          <w:sz w:val="18"/>
        </w:rPr>
        <w:t> </w:t>
      </w:r>
      <w:r>
        <w:rPr>
          <w:color w:val="0B0B0B"/>
          <w:sz w:val="18"/>
        </w:rPr>
        <w:t>audio</w:t>
      </w:r>
      <w:r>
        <w:rPr>
          <w:color w:val="0B0B0B"/>
          <w:spacing w:val="-4"/>
          <w:sz w:val="18"/>
        </w:rPr>
        <w:t> </w:t>
      </w:r>
      <w:r>
        <w:rPr>
          <w:color w:val="0B0B0B"/>
          <w:sz w:val="18"/>
        </w:rPr>
        <w:t>restringido,</w:t>
      </w:r>
      <w:r>
        <w:rPr>
          <w:color w:val="0B0B0B"/>
          <w:spacing w:val="-2"/>
          <w:sz w:val="18"/>
        </w:rPr>
        <w:t> </w:t>
      </w:r>
      <w:r>
        <w:rPr>
          <w:color w:val="0B0B0B"/>
          <w:sz w:val="18"/>
        </w:rPr>
        <w:t>entendiéndose</w:t>
      </w:r>
      <w:r>
        <w:rPr>
          <w:color w:val="0B0B0B"/>
          <w:spacing w:val="-4"/>
          <w:sz w:val="18"/>
        </w:rPr>
        <w:t> </w:t>
      </w:r>
      <w:r>
        <w:rPr>
          <w:color w:val="0B0B0B"/>
          <w:sz w:val="18"/>
        </w:rPr>
        <w:t>por</w:t>
      </w:r>
      <w:r>
        <w:rPr>
          <w:color w:val="0B0B0B"/>
          <w:spacing w:val="-4"/>
          <w:sz w:val="18"/>
        </w:rPr>
        <w:t> </w:t>
      </w:r>
      <w:r>
        <w:rPr>
          <w:color w:val="0B0B0B"/>
          <w:sz w:val="18"/>
        </w:rPr>
        <w:t>este</w:t>
      </w:r>
      <w:r>
        <w:rPr>
          <w:color w:val="0B0B0B"/>
          <w:spacing w:val="-3"/>
          <w:sz w:val="18"/>
        </w:rPr>
        <w:t> </w:t>
      </w:r>
      <w:r>
        <w:rPr>
          <w:color w:val="0B0B0B"/>
          <w:sz w:val="18"/>
        </w:rPr>
        <w:t>aquel</w:t>
      </w:r>
      <w:r>
        <w:rPr>
          <w:color w:val="0B0B0B"/>
          <w:spacing w:val="-4"/>
          <w:sz w:val="18"/>
        </w:rPr>
        <w:t> </w:t>
      </w:r>
      <w:r>
        <w:rPr>
          <w:color w:val="0B0B0B"/>
          <w:sz w:val="18"/>
        </w:rPr>
        <w:t>por</w:t>
      </w:r>
      <w:r>
        <w:rPr>
          <w:color w:val="0B0B0B"/>
          <w:spacing w:val="-3"/>
          <w:sz w:val="18"/>
        </w:rPr>
        <w:t> </w:t>
      </w:r>
      <w:r>
        <w:rPr>
          <w:color w:val="0B0B0B"/>
          <w:sz w:val="18"/>
        </w:rPr>
        <w:t>el</w:t>
      </w:r>
      <w:r>
        <w:rPr>
          <w:color w:val="0B0B0B"/>
          <w:spacing w:val="-4"/>
          <w:sz w:val="18"/>
        </w:rPr>
        <w:t> </w:t>
      </w:r>
      <w:r>
        <w:rPr>
          <w:color w:val="0B0B0B"/>
          <w:sz w:val="18"/>
        </w:rPr>
        <w:t>que,</w:t>
      </w:r>
      <w:r>
        <w:rPr>
          <w:color w:val="0B0B0B"/>
          <w:spacing w:val="-3"/>
          <w:sz w:val="18"/>
        </w:rPr>
        <w:t> </w:t>
      </w:r>
      <w:r>
        <w:rPr>
          <w:color w:val="0B0B0B"/>
          <w:sz w:val="18"/>
        </w:rPr>
        <w:t>mediante contrato</w:t>
      </w:r>
      <w:r>
        <w:rPr>
          <w:color w:val="0B0B0B"/>
          <w:sz w:val="18"/>
        </w:rPr>
        <w:t> y</w:t>
      </w:r>
      <w:r>
        <w:rPr>
          <w:color w:val="0B0B0B"/>
          <w:sz w:val="18"/>
        </w:rPr>
        <w:t> el pago periódico de una cantidad preestablecida y revisable, el concesionario o permisionario distribuye de manera continua programación de </w:t>
      </w:r>
      <w:r>
        <w:rPr>
          <w:color w:val="0B0B0B"/>
          <w:spacing w:val="-2"/>
          <w:sz w:val="18"/>
        </w:rPr>
        <w:t>audio.</w:t>
      </w:r>
    </w:p>
    <w:p>
      <w:pPr>
        <w:pStyle w:val="ListParagraph"/>
        <w:numPr>
          <w:ilvl w:val="0"/>
          <w:numId w:val="63"/>
        </w:numPr>
        <w:tabs>
          <w:tab w:pos="2662" w:val="left" w:leader="none"/>
          <w:tab w:pos="2664" w:val="left" w:leader="none"/>
        </w:tabs>
        <w:spacing w:line="252" w:lineRule="auto" w:before="104" w:after="0"/>
        <w:ind w:left="2664" w:right="258" w:hanging="504"/>
        <w:jc w:val="both"/>
        <w:rPr>
          <w:sz w:val="18"/>
        </w:rPr>
      </w:pPr>
      <w:r>
        <w:rPr>
          <w:color w:val="0B0B0B"/>
          <w:sz w:val="18"/>
        </w:rPr>
        <w:t>Servicio móvil de radiocomunicación especializada de flotillas (Trunking), entendiéndose como el servicio de radiocomunicación móvil terrestre de voz y datos a grupos de usuarios determinados, utilizando el modo de transmisión </w:t>
      </w:r>
      <w:r>
        <w:rPr>
          <w:color w:val="0B0B0B"/>
          <w:spacing w:val="-2"/>
          <w:sz w:val="18"/>
        </w:rPr>
        <w:t>semi-duplex.</w:t>
      </w:r>
    </w:p>
    <w:p>
      <w:pPr>
        <w:pStyle w:val="BodyText"/>
        <w:spacing w:line="252" w:lineRule="auto" w:before="103"/>
        <w:ind w:right="256"/>
      </w:pPr>
      <w:r>
        <w:rPr>
          <w:color w:val="0B0B0B"/>
        </w:rPr>
        <w:t>Para los efectos de los numerales 1 y 2 del presente criterio, se entiende por tráfico público conmutado toda emisión, transmisión o recepción de signos, señales, datos, escritos, imágenes, voz, sonidos o información de cualquier naturaleza que se efectúe a través de una red pública de telecomunicaciones que utilice para su enrutamiento tanto centrales como numeración asignada y administrada por la Comisión Federal de Telecomunicaciones, de conformidad con el Plan Técnico Fundamental de </w:t>
      </w:r>
      <w:r>
        <w:rPr>
          <w:color w:val="0B0B0B"/>
          <w:spacing w:val="-2"/>
        </w:rPr>
        <w:t>Numeración.</w:t>
      </w:r>
    </w:p>
    <w:p>
      <w:pPr>
        <w:pStyle w:val="BodyText"/>
        <w:spacing w:before="105"/>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4"/>
        </w:numPr>
        <w:tabs>
          <w:tab w:pos="2664" w:val="left" w:leader="none"/>
        </w:tabs>
        <w:spacing w:line="254" w:lineRule="auto" w:before="112" w:after="0"/>
        <w:ind w:left="2664" w:right="259" w:hanging="504"/>
        <w:jc w:val="both"/>
        <w:rPr>
          <w:sz w:val="18"/>
        </w:rPr>
      </w:pPr>
      <w:r>
        <w:rPr>
          <w:color w:val="0B0B0B"/>
          <w:sz w:val="18"/>
        </w:rPr>
        <w:t>Considerar</w:t>
      </w:r>
      <w:r>
        <w:rPr>
          <w:color w:val="0B0B0B"/>
          <w:spacing w:val="-2"/>
          <w:sz w:val="18"/>
        </w:rPr>
        <w:t> </w:t>
      </w:r>
      <w:r>
        <w:rPr>
          <w:color w:val="0B0B0B"/>
          <w:sz w:val="18"/>
        </w:rPr>
        <w:t>que</w:t>
      </w:r>
      <w:r>
        <w:rPr>
          <w:color w:val="0B0B0B"/>
          <w:spacing w:val="-3"/>
          <w:sz w:val="18"/>
        </w:rPr>
        <w:t> </w:t>
      </w:r>
      <w:r>
        <w:rPr>
          <w:color w:val="0B0B0B"/>
          <w:sz w:val="18"/>
        </w:rPr>
        <w:t>el</w:t>
      </w:r>
      <w:r>
        <w:rPr>
          <w:color w:val="0B0B0B"/>
          <w:spacing w:val="-3"/>
          <w:sz w:val="18"/>
        </w:rPr>
        <w:t> </w:t>
      </w:r>
      <w:r>
        <w:rPr>
          <w:color w:val="0B0B0B"/>
          <w:sz w:val="18"/>
        </w:rPr>
        <w:t>conjunto</w:t>
      </w:r>
      <w:r>
        <w:rPr>
          <w:color w:val="0B0B0B"/>
          <w:spacing w:val="-2"/>
          <w:sz w:val="18"/>
        </w:rPr>
        <w:t> </w:t>
      </w:r>
      <w:r>
        <w:rPr>
          <w:color w:val="0B0B0B"/>
          <w:sz w:val="18"/>
        </w:rPr>
        <w:t>de</w:t>
      </w:r>
      <w:r>
        <w:rPr>
          <w:color w:val="0B0B0B"/>
          <w:spacing w:val="-3"/>
          <w:sz w:val="18"/>
        </w:rPr>
        <w:t> </w:t>
      </w:r>
      <w:r>
        <w:rPr>
          <w:color w:val="0B0B0B"/>
          <w:sz w:val="18"/>
        </w:rPr>
        <w:t>los</w:t>
      </w:r>
      <w:r>
        <w:rPr>
          <w:color w:val="0B0B0B"/>
          <w:spacing w:val="-3"/>
          <w:sz w:val="18"/>
        </w:rPr>
        <w:t> </w:t>
      </w:r>
      <w:r>
        <w:rPr>
          <w:color w:val="0B0B0B"/>
          <w:sz w:val="18"/>
        </w:rPr>
        <w:t>servicios señalados</w:t>
      </w:r>
      <w:r>
        <w:rPr>
          <w:color w:val="0B0B0B"/>
          <w:spacing w:val="-2"/>
          <w:sz w:val="18"/>
        </w:rPr>
        <w:t> </w:t>
      </w:r>
      <w:r>
        <w:rPr>
          <w:color w:val="0B0B0B"/>
          <w:sz w:val="18"/>
        </w:rPr>
        <w:t>anteriormente,</w:t>
      </w:r>
      <w:r>
        <w:rPr>
          <w:color w:val="0B0B0B"/>
          <w:spacing w:val="-3"/>
          <w:sz w:val="18"/>
        </w:rPr>
        <w:t> </w:t>
      </w:r>
      <w:r>
        <w:rPr>
          <w:color w:val="0B0B0B"/>
          <w:sz w:val="18"/>
        </w:rPr>
        <w:t>al</w:t>
      </w:r>
      <w:r>
        <w:rPr>
          <w:color w:val="0B0B0B"/>
          <w:spacing w:val="-2"/>
          <w:sz w:val="18"/>
        </w:rPr>
        <w:t> </w:t>
      </w:r>
      <w:r>
        <w:rPr>
          <w:color w:val="0B0B0B"/>
          <w:sz w:val="18"/>
        </w:rPr>
        <w:t>incluir</w:t>
      </w:r>
      <w:r>
        <w:rPr>
          <w:color w:val="0B0B0B"/>
          <w:spacing w:val="-2"/>
          <w:sz w:val="18"/>
        </w:rPr>
        <w:t> </w:t>
      </w:r>
      <w:r>
        <w:rPr>
          <w:color w:val="0B0B0B"/>
          <w:sz w:val="18"/>
        </w:rPr>
        <w:t>el servicio de acceso a Internet se encuentra exento conforme al artículo 8o., fracción IV, inciso d) de la Ley del IEPS.</w:t>
      </w:r>
    </w:p>
    <w:p>
      <w:pPr>
        <w:pStyle w:val="ListParagraph"/>
        <w:numPr>
          <w:ilvl w:val="0"/>
          <w:numId w:val="64"/>
        </w:numPr>
        <w:tabs>
          <w:tab w:pos="2664" w:val="left" w:leader="none"/>
        </w:tabs>
        <w:spacing w:line="254" w:lineRule="auto" w:before="97"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1" w:after="1"/>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18" w:hRule="atLeast"/>
        </w:trPr>
        <w:tc>
          <w:tcPr>
            <w:tcW w:w="2760"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7" w:hRule="atLeast"/>
        </w:trPr>
        <w:tc>
          <w:tcPr>
            <w:tcW w:w="2760" w:type="dxa"/>
          </w:tcPr>
          <w:p>
            <w:pPr>
              <w:pStyle w:val="TableParagraph"/>
              <w:tabs>
                <w:tab w:pos="1215" w:val="left" w:leader="none"/>
                <w:tab w:pos="2509" w:val="left" w:leader="none"/>
              </w:tabs>
              <w:spacing w:line="283" w:lineRule="auto" w:before="25"/>
              <w:ind w:right="55"/>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2010</w:t>
            </w:r>
          </w:p>
        </w:tc>
        <w:tc>
          <w:tcPr>
            <w:tcW w:w="4126" w:type="dxa"/>
          </w:tcPr>
          <w:p>
            <w:pPr>
              <w:pStyle w:val="TableParagraph"/>
              <w:spacing w:line="283" w:lineRule="auto" w:before="25"/>
              <w:ind w:right="72"/>
              <w:rPr>
                <w:sz w:val="16"/>
              </w:rPr>
            </w:pPr>
            <w:r>
              <w:rPr>
                <w:color w:val="0B0B0B"/>
                <w:sz w:val="16"/>
              </w:rPr>
              <w:t>Publicada en el DOF el 3 de diciembre de 2010, Anexo 3, publicado en el DOF el 7 de diciembre de 2010.</w:t>
            </w:r>
          </w:p>
        </w:tc>
      </w:tr>
    </w:tbl>
    <w:p>
      <w:pPr>
        <w:pStyle w:val="BodyText"/>
        <w:spacing w:before="118"/>
        <w:ind w:left="0"/>
        <w:jc w:val="left"/>
      </w:pPr>
    </w:p>
    <w:p>
      <w:pPr>
        <w:pStyle w:val="Heading1"/>
        <w:spacing w:line="252" w:lineRule="auto"/>
        <w:ind w:right="255"/>
        <w:jc w:val="both"/>
      </w:pPr>
      <w:r>
        <w:rPr>
          <w:color w:val="0B0B0B"/>
        </w:rPr>
        <w:t>3/IEPS/PI</w:t>
      </w:r>
      <w:r>
        <w:rPr>
          <w:color w:val="0B0B0B"/>
          <w:spacing w:val="80"/>
        </w:rPr>
        <w:t> </w:t>
      </w:r>
      <w:r>
        <w:rPr>
          <w:color w:val="0B0B0B"/>
        </w:rPr>
        <w:t>Productos que por sus ingredientes se ubican en la definición de chocolate o productos derivados del cacao,</w:t>
      </w:r>
      <w:r>
        <w:rPr>
          <w:color w:val="0B0B0B"/>
        </w:rPr>
        <w:t> independientemente de su denominación comercial o la forma en la que se sugiere sean consumidos, se encuentran gravados para efectos del IEPS.</w:t>
      </w:r>
    </w:p>
    <w:p>
      <w:pPr>
        <w:pStyle w:val="BodyText"/>
        <w:spacing w:line="252" w:lineRule="auto" w:before="103"/>
        <w:ind w:right="256"/>
      </w:pPr>
      <w:r>
        <w:rPr>
          <w:color w:val="0B0B0B"/>
        </w:rPr>
        <w:t>El artículo 2o., fracción I, inciso J), numeral 3 de la Ley del IEPS, establece que se aplicará una tasa del 8% al valor de la enajenación o, en su caso, la importación de chocolate y demás productos derivados del cacao, con una densidad calórica de 275 kilocalorías o mayor por cada 100 gramos.</w:t>
      </w:r>
    </w:p>
    <w:p>
      <w:pPr>
        <w:pStyle w:val="BodyText"/>
        <w:spacing w:line="252" w:lineRule="auto" w:before="104"/>
        <w:ind w:right="255"/>
      </w:pPr>
      <w:r>
        <w:rPr>
          <w:color w:val="0B0B0B"/>
        </w:rPr>
        <w:t>El artículo 3o., fracciones XXVIII y XXIX de la Ley referida, disponen que se entiende por chocolate, al producto obtenido por la mezcla homogénea de cantidades variables de pasta de cacao, o manteca de cacao, o cocoa con azúcares u otros edulcorantes, ingredientes opcionales y aditivos para alimentos,</w:t>
      </w:r>
      <w:r>
        <w:rPr>
          <w:color w:val="0B0B0B"/>
          <w:spacing w:val="-1"/>
        </w:rPr>
        <w:t> </w:t>
      </w:r>
      <w:r>
        <w:rPr>
          <w:color w:val="0B0B0B"/>
        </w:rPr>
        <w:t>cualquiera que sea su presentación; y</w:t>
      </w:r>
      <w:r>
        <w:rPr>
          <w:color w:val="0B0B0B"/>
          <w:spacing w:val="-3"/>
        </w:rPr>
        <w:t> </w:t>
      </w:r>
      <w:r>
        <w:rPr>
          <w:color w:val="0B0B0B"/>
        </w:rPr>
        <w:t>por</w:t>
      </w:r>
      <w:r>
        <w:rPr>
          <w:color w:val="0B0B0B"/>
          <w:spacing w:val="-3"/>
        </w:rPr>
        <w:t> </w:t>
      </w:r>
      <w:r>
        <w:rPr>
          <w:color w:val="0B0B0B"/>
        </w:rPr>
        <w:t>derivados</w:t>
      </w:r>
      <w:r>
        <w:rPr>
          <w:color w:val="0B0B0B"/>
          <w:spacing w:val="-3"/>
        </w:rPr>
        <w:t> </w:t>
      </w:r>
      <w:r>
        <w:rPr>
          <w:color w:val="0B0B0B"/>
        </w:rPr>
        <w:t>del</w:t>
      </w:r>
      <w:r>
        <w:rPr>
          <w:color w:val="0B0B0B"/>
          <w:spacing w:val="-3"/>
        </w:rPr>
        <w:t> </w:t>
      </w:r>
      <w:r>
        <w:rPr>
          <w:color w:val="0B0B0B"/>
        </w:rPr>
        <w:t>cacao,</w:t>
      </w:r>
      <w:r>
        <w:rPr>
          <w:color w:val="0B0B0B"/>
          <w:spacing w:val="-3"/>
        </w:rPr>
        <w:t> </w:t>
      </w:r>
      <w:r>
        <w:rPr>
          <w:color w:val="0B0B0B"/>
        </w:rPr>
        <w:t>la</w:t>
      </w:r>
      <w:r>
        <w:rPr>
          <w:color w:val="0B0B0B"/>
          <w:spacing w:val="-2"/>
        </w:rPr>
        <w:t> </w:t>
      </w:r>
      <w:r>
        <w:rPr>
          <w:color w:val="0B0B0B"/>
        </w:rPr>
        <w:t>manteca</w:t>
      </w:r>
      <w:r>
        <w:rPr>
          <w:color w:val="0B0B0B"/>
          <w:spacing w:val="-3"/>
        </w:rPr>
        <w:t> </w:t>
      </w:r>
      <w:r>
        <w:rPr>
          <w:color w:val="0B0B0B"/>
        </w:rPr>
        <w:t>de</w:t>
      </w:r>
      <w:r>
        <w:rPr>
          <w:color w:val="0B0B0B"/>
          <w:spacing w:val="-4"/>
        </w:rPr>
        <w:t> </w:t>
      </w:r>
      <w:r>
        <w:rPr>
          <w:color w:val="0B0B0B"/>
        </w:rPr>
        <w:t>cacao,</w:t>
      </w:r>
      <w:r>
        <w:rPr>
          <w:color w:val="0B0B0B"/>
          <w:spacing w:val="-3"/>
        </w:rPr>
        <w:t> </w:t>
      </w:r>
      <w:r>
        <w:rPr>
          <w:color w:val="0B0B0B"/>
        </w:rPr>
        <w:t>pasta</w:t>
      </w:r>
      <w:r>
        <w:rPr>
          <w:color w:val="0B0B0B"/>
          <w:spacing w:val="-3"/>
        </w:rPr>
        <w:t> </w:t>
      </w:r>
      <w:r>
        <w:rPr>
          <w:color w:val="0B0B0B"/>
        </w:rPr>
        <w:t>o</w:t>
      </w:r>
      <w:r>
        <w:rPr>
          <w:color w:val="0B0B0B"/>
          <w:spacing w:val="-3"/>
        </w:rPr>
        <w:t> </w:t>
      </w:r>
      <w:r>
        <w:rPr>
          <w:color w:val="0B0B0B"/>
        </w:rPr>
        <w:t>licor</w:t>
      </w:r>
      <w:r>
        <w:rPr>
          <w:color w:val="0B0B0B"/>
          <w:spacing w:val="-3"/>
        </w:rPr>
        <w:t> </w:t>
      </w:r>
      <w:r>
        <w:rPr>
          <w:color w:val="0B0B0B"/>
        </w:rPr>
        <w:t>de</w:t>
      </w:r>
      <w:r>
        <w:rPr>
          <w:color w:val="0B0B0B"/>
          <w:spacing w:val="-3"/>
        </w:rPr>
        <w:t> </w:t>
      </w:r>
      <w:r>
        <w:rPr>
          <w:color w:val="0B0B0B"/>
        </w:rPr>
        <w:t>cacao,</w:t>
      </w:r>
      <w:r>
        <w:rPr>
          <w:color w:val="0B0B0B"/>
          <w:spacing w:val="-3"/>
        </w:rPr>
        <w:t> </w:t>
      </w:r>
      <w:r>
        <w:rPr>
          <w:color w:val="0B0B0B"/>
        </w:rPr>
        <w:t>torta</w:t>
      </w:r>
      <w:r>
        <w:rPr>
          <w:color w:val="0B0B0B"/>
          <w:spacing w:val="-3"/>
        </w:rPr>
        <w:t> </w:t>
      </w:r>
      <w:r>
        <w:rPr>
          <w:color w:val="0B0B0B"/>
        </w:rPr>
        <w:t>de</w:t>
      </w:r>
      <w:r>
        <w:rPr>
          <w:color w:val="0B0B0B"/>
          <w:spacing w:val="-3"/>
        </w:rPr>
        <w:t> </w:t>
      </w:r>
      <w:r>
        <w:rPr>
          <w:color w:val="0B0B0B"/>
        </w:rPr>
        <w:t>cacao, entre otros, respectivamente.</w:t>
      </w:r>
    </w:p>
    <w:p>
      <w:pPr>
        <w:pStyle w:val="BodyText"/>
        <w:spacing w:line="252" w:lineRule="auto" w:before="105"/>
        <w:ind w:right="257"/>
      </w:pPr>
      <w:r>
        <w:rPr>
          <w:color w:val="0B0B0B"/>
        </w:rPr>
        <w:t>En ese sentido, se observa la existencia de diversos productos que se enajenan o importan bajo denominaciones comerciales tales como polvo de chocolate, alimento</w:t>
      </w:r>
      <w:r>
        <w:rPr>
          <w:color w:val="0B0B0B"/>
          <w:spacing w:val="40"/>
        </w:rPr>
        <w:t> </w:t>
      </w:r>
      <w:r>
        <w:rPr>
          <w:color w:val="0B0B0B"/>
        </w:rPr>
        <w:t>en polvo para preparar una bebida sabor chocolate, extractos, modificadores, entre otros, cuyos ingredientes corresponden a los que la Ley del IEPS identifica como propios del chocolate o de productos</w:t>
      </w:r>
      <w:r>
        <w:rPr>
          <w:color w:val="0B0B0B"/>
        </w:rPr>
        <w:t> derivados del cacao, por lo que con independencia de su denominación comercial se deben considerar gravados en los términos</w:t>
      </w:r>
      <w:r>
        <w:rPr>
          <w:color w:val="0B0B0B"/>
          <w:spacing w:val="-1"/>
        </w:rPr>
        <w:t> </w:t>
      </w:r>
      <w:r>
        <w:rPr>
          <w:color w:val="0B0B0B"/>
        </w:rPr>
        <w:t>del</w:t>
      </w:r>
      <w:r>
        <w:rPr>
          <w:color w:val="0B0B0B"/>
          <w:spacing w:val="-2"/>
        </w:rPr>
        <w:t> </w:t>
      </w:r>
      <w:r>
        <w:rPr>
          <w:color w:val="0B0B0B"/>
        </w:rPr>
        <w:t>artículo</w:t>
      </w:r>
      <w:r>
        <w:rPr>
          <w:color w:val="0B0B0B"/>
          <w:spacing w:val="-3"/>
        </w:rPr>
        <w:t> </w:t>
      </w:r>
      <w:r>
        <w:rPr>
          <w:color w:val="0B0B0B"/>
        </w:rPr>
        <w:t>2o.,</w:t>
      </w:r>
      <w:r>
        <w:rPr>
          <w:color w:val="0B0B0B"/>
          <w:spacing w:val="-3"/>
        </w:rPr>
        <w:t> </w:t>
      </w:r>
      <w:r>
        <w:rPr>
          <w:color w:val="0B0B0B"/>
        </w:rPr>
        <w:t>fracción</w:t>
      </w:r>
      <w:r>
        <w:rPr>
          <w:color w:val="0B0B0B"/>
          <w:spacing w:val="-3"/>
        </w:rPr>
        <w:t> </w:t>
      </w:r>
      <w:r>
        <w:rPr>
          <w:color w:val="0B0B0B"/>
        </w:rPr>
        <w:t>I,</w:t>
      </w:r>
      <w:r>
        <w:rPr>
          <w:color w:val="0B0B0B"/>
          <w:spacing w:val="-1"/>
        </w:rPr>
        <w:t> </w:t>
      </w:r>
      <w:r>
        <w:rPr>
          <w:color w:val="0B0B0B"/>
        </w:rPr>
        <w:t>inciso</w:t>
      </w:r>
      <w:r>
        <w:rPr>
          <w:color w:val="0B0B0B"/>
          <w:spacing w:val="-2"/>
        </w:rPr>
        <w:t> </w:t>
      </w:r>
      <w:r>
        <w:rPr>
          <w:color w:val="0B0B0B"/>
        </w:rPr>
        <w:t>J),</w:t>
      </w:r>
      <w:r>
        <w:rPr>
          <w:color w:val="0B0B0B"/>
          <w:spacing w:val="-1"/>
        </w:rPr>
        <w:t> </w:t>
      </w:r>
      <w:r>
        <w:rPr>
          <w:color w:val="0B0B0B"/>
        </w:rPr>
        <w:t>numeral</w:t>
      </w:r>
      <w:r>
        <w:rPr>
          <w:color w:val="0B0B0B"/>
          <w:spacing w:val="-1"/>
        </w:rPr>
        <w:t> </w:t>
      </w:r>
      <w:r>
        <w:rPr>
          <w:color w:val="0B0B0B"/>
        </w:rPr>
        <w:t>3</w:t>
      </w:r>
      <w:r>
        <w:rPr>
          <w:color w:val="0B0B0B"/>
          <w:spacing w:val="-2"/>
        </w:rPr>
        <w:t> </w:t>
      </w:r>
      <w:r>
        <w:rPr>
          <w:color w:val="0B0B0B"/>
        </w:rPr>
        <w:t>de</w:t>
      </w:r>
      <w:r>
        <w:rPr>
          <w:color w:val="0B0B0B"/>
          <w:spacing w:val="-2"/>
        </w:rPr>
        <w:t> </w:t>
      </w:r>
      <w:r>
        <w:rPr>
          <w:color w:val="0B0B0B"/>
        </w:rPr>
        <w:t>la</w:t>
      </w:r>
      <w:r>
        <w:rPr>
          <w:color w:val="0B0B0B"/>
          <w:spacing w:val="-3"/>
        </w:rPr>
        <w:t> </w:t>
      </w:r>
      <w:r>
        <w:rPr>
          <w:color w:val="0B0B0B"/>
        </w:rPr>
        <w:t>citada</w:t>
      </w:r>
      <w:r>
        <w:rPr>
          <w:color w:val="0B0B0B"/>
          <w:spacing w:val="-1"/>
        </w:rPr>
        <w:t> </w:t>
      </w:r>
      <w:r>
        <w:rPr>
          <w:color w:val="0B0B0B"/>
        </w:rPr>
        <w:t>ley,</w:t>
      </w:r>
      <w:r>
        <w:rPr>
          <w:color w:val="0B0B0B"/>
          <w:spacing w:val="-2"/>
        </w:rPr>
        <w:t> </w:t>
      </w:r>
      <w:r>
        <w:rPr>
          <w:color w:val="0B0B0B"/>
        </w:rPr>
        <w:t>siempre</w:t>
      </w:r>
      <w:r>
        <w:rPr>
          <w:color w:val="0B0B0B"/>
          <w:spacing w:val="-1"/>
        </w:rPr>
        <w:t> </w:t>
      </w:r>
      <w:r>
        <w:rPr>
          <w:color w:val="0B0B0B"/>
        </w:rPr>
        <w:t>que</w:t>
      </w:r>
      <w:r>
        <w:rPr>
          <w:color w:val="0B0B0B"/>
          <w:spacing w:val="-1"/>
        </w:rPr>
        <w:t> </w:t>
      </w:r>
      <w:r>
        <w:rPr>
          <w:color w:val="0B0B0B"/>
        </w:rPr>
        <w:t>al momento de su enajenación o importación contengan una densidad calórica de 275 kilocalorías o mayor por cada 100 gramos.</w:t>
      </w:r>
    </w:p>
    <w:p>
      <w:pPr>
        <w:pStyle w:val="BodyText"/>
        <w:spacing w:before="108"/>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5"/>
        </w:numPr>
        <w:tabs>
          <w:tab w:pos="2664" w:val="left" w:leader="none"/>
        </w:tabs>
        <w:spacing w:line="254" w:lineRule="auto" w:before="111" w:after="0"/>
        <w:ind w:left="2664" w:right="259" w:hanging="504"/>
        <w:jc w:val="both"/>
        <w:rPr>
          <w:sz w:val="18"/>
        </w:rPr>
      </w:pPr>
      <w:r>
        <w:rPr>
          <w:color w:val="0B0B0B"/>
          <w:sz w:val="18"/>
        </w:rPr>
        <w:t>Enajenar o importar chocolate o productos</w:t>
      </w:r>
      <w:r>
        <w:rPr>
          <w:color w:val="0B0B0B"/>
          <w:sz w:val="18"/>
        </w:rPr>
        <w:t> derivados del cacao, con una densidad calórica de 275 kilocalorías o mayor por cada 100 gramos y no pagar</w:t>
      </w:r>
      <w:r>
        <w:rPr>
          <w:color w:val="0B0B0B"/>
          <w:spacing w:val="40"/>
          <w:sz w:val="18"/>
        </w:rPr>
        <w:t> </w:t>
      </w:r>
      <w:r>
        <w:rPr>
          <w:color w:val="0B0B0B"/>
          <w:sz w:val="18"/>
        </w:rPr>
        <w:t>o trasladar el IEPS por considerar que:</w:t>
      </w:r>
    </w:p>
    <w:p>
      <w:pPr>
        <w:pStyle w:val="ListParagraph"/>
        <w:numPr>
          <w:ilvl w:val="1"/>
          <w:numId w:val="65"/>
        </w:numPr>
        <w:tabs>
          <w:tab w:pos="3110" w:val="left" w:leader="none"/>
        </w:tabs>
        <w:spacing w:line="252" w:lineRule="auto" w:before="97" w:after="0"/>
        <w:ind w:left="3110" w:right="258" w:hanging="432"/>
        <w:jc w:val="both"/>
        <w:rPr>
          <w:sz w:val="18"/>
        </w:rPr>
      </w:pPr>
      <w:r>
        <w:rPr>
          <w:color w:val="0B0B0B"/>
          <w:sz w:val="18"/>
        </w:rPr>
        <w:t>El nombre o denominación comercial de los alimentos que enajenan o importan no es el de chocolate o productos derivados del cacao o;</w:t>
      </w:r>
    </w:p>
    <w:p>
      <w:pPr>
        <w:pStyle w:val="ListParagraph"/>
        <w:spacing w:after="0" w:line="252" w:lineRule="auto"/>
        <w:jc w:val="both"/>
        <w:rPr>
          <w:sz w:val="18"/>
        </w:rPr>
        <w:sectPr>
          <w:headerReference w:type="default" r:id="rId61"/>
          <w:pgSz w:w="12240" w:h="15840"/>
          <w:pgMar w:header="690" w:footer="0" w:top="1040" w:bottom="280" w:left="1440" w:right="1440"/>
        </w:sectPr>
      </w:pPr>
    </w:p>
    <w:p>
      <w:pPr>
        <w:pStyle w:val="ListParagraph"/>
        <w:numPr>
          <w:ilvl w:val="1"/>
          <w:numId w:val="65"/>
        </w:numPr>
        <w:tabs>
          <w:tab w:pos="3108" w:val="left" w:leader="none"/>
          <w:tab w:pos="3110" w:val="left" w:leader="none"/>
        </w:tabs>
        <w:spacing w:line="280" w:lineRule="auto" w:before="131" w:after="0"/>
        <w:ind w:left="3110" w:right="257" w:hanging="432"/>
        <w:jc w:val="both"/>
        <w:rPr>
          <w:sz w:val="18"/>
        </w:rPr>
      </w:pPr>
      <w:r>
        <w:rPr>
          <w:color w:val="0B0B0B"/>
          <w:sz w:val="18"/>
        </w:rPr>
        <w:t>Una vez que el consumidor final al mezclar, diluir o combinar dichos alimentos con otras sustancias o ingredientes, el producto resultante tiene una densidad calórica menor a 275 kilocalorías por cada 100 gramos o en virtud de que se modifica su naturaleza de sólido a líquido.</w:t>
      </w:r>
    </w:p>
    <w:p>
      <w:pPr>
        <w:pStyle w:val="ListParagraph"/>
        <w:numPr>
          <w:ilvl w:val="0"/>
          <w:numId w:val="65"/>
        </w:numPr>
        <w:tabs>
          <w:tab w:pos="2664" w:val="left" w:leader="none"/>
        </w:tabs>
        <w:spacing w:line="280" w:lineRule="auto" w:before="97"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5"/>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42" w:hRule="atLeast"/>
        </w:trPr>
        <w:tc>
          <w:tcPr>
            <w:tcW w:w="2778" w:type="dxa"/>
            <w:shd w:val="clear" w:color="auto" w:fill="BDBDBD"/>
          </w:tcPr>
          <w:p>
            <w:pPr>
              <w:pStyle w:val="TableParagraph"/>
              <w:spacing w:before="44"/>
              <w:ind w:left="12" w:right="1"/>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44"/>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82" w:hRule="atLeast"/>
        </w:trPr>
        <w:tc>
          <w:tcPr>
            <w:tcW w:w="2778" w:type="dxa"/>
          </w:tcPr>
          <w:p>
            <w:pPr>
              <w:pStyle w:val="TableParagraph"/>
              <w:spacing w:line="316" w:lineRule="auto" w:before="41"/>
              <w:ind w:right="24"/>
              <w:rPr>
                <w:sz w:val="16"/>
              </w:rPr>
            </w:pPr>
            <w:r>
              <w:rPr>
                <w:color w:val="0B0B0B"/>
                <w:sz w:val="16"/>
              </w:rPr>
              <w:t>Quinta</w:t>
            </w:r>
            <w:r>
              <w:rPr>
                <w:color w:val="0B0B0B"/>
                <w:spacing w:val="-12"/>
                <w:sz w:val="16"/>
              </w:rPr>
              <w:t> </w:t>
            </w:r>
            <w:r>
              <w:rPr>
                <w:color w:val="0B0B0B"/>
                <w:sz w:val="16"/>
              </w:rPr>
              <w:t>Resolución</w:t>
            </w:r>
            <w:r>
              <w:rPr>
                <w:color w:val="0B0B0B"/>
                <w:spacing w:val="-11"/>
                <w:sz w:val="16"/>
              </w:rPr>
              <w:t> </w:t>
            </w:r>
            <w:r>
              <w:rPr>
                <w:color w:val="0B0B0B"/>
                <w:sz w:val="16"/>
              </w:rPr>
              <w:t>de</w:t>
            </w:r>
            <w:r>
              <w:rPr>
                <w:color w:val="0B0B0B"/>
                <w:spacing w:val="-11"/>
                <w:sz w:val="16"/>
              </w:rPr>
              <w:t> </w:t>
            </w:r>
            <w:r>
              <w:rPr>
                <w:color w:val="0B0B0B"/>
                <w:sz w:val="16"/>
              </w:rPr>
              <w:t>Modificaciones a la RMF para 2014</w:t>
            </w:r>
          </w:p>
        </w:tc>
        <w:tc>
          <w:tcPr>
            <w:tcW w:w="4126" w:type="dxa"/>
          </w:tcPr>
          <w:p>
            <w:pPr>
              <w:pStyle w:val="TableParagraph"/>
              <w:spacing w:line="316" w:lineRule="auto" w:before="41"/>
              <w:ind w:right="72"/>
              <w:rPr>
                <w:sz w:val="16"/>
              </w:rPr>
            </w:pPr>
            <w:r>
              <w:rPr>
                <w:color w:val="0B0B0B"/>
                <w:sz w:val="16"/>
              </w:rPr>
              <w:t>Publicada en el DOF el 16 de octubre de 2014, Anexo</w:t>
            </w:r>
            <w:r>
              <w:rPr>
                <w:color w:val="0B0B0B"/>
                <w:spacing w:val="40"/>
                <w:sz w:val="16"/>
              </w:rPr>
              <w:t> </w:t>
            </w:r>
            <w:r>
              <w:rPr>
                <w:color w:val="0B0B0B"/>
                <w:sz w:val="16"/>
              </w:rPr>
              <w:t>3, publicado en el DOF el 17 de octubre de 2014.</w:t>
            </w:r>
          </w:p>
        </w:tc>
      </w:tr>
    </w:tbl>
    <w:p>
      <w:pPr>
        <w:pStyle w:val="BodyText"/>
        <w:spacing w:before="160"/>
        <w:ind w:left="0"/>
        <w:jc w:val="left"/>
      </w:pPr>
    </w:p>
    <w:p>
      <w:pPr>
        <w:pStyle w:val="Heading1"/>
        <w:tabs>
          <w:tab w:pos="2146" w:val="left" w:leader="none"/>
        </w:tabs>
        <w:spacing w:line="280" w:lineRule="auto"/>
        <w:ind w:right="257"/>
      </w:pPr>
      <w:r>
        <w:rPr>
          <w:color w:val="0B0B0B"/>
          <w:spacing w:val="-2"/>
        </w:rPr>
        <w:t>4/IEPS/PI</w:t>
      </w:r>
      <w:r>
        <w:rPr>
          <w:color w:val="0B0B0B"/>
        </w:rPr>
        <w:tab/>
        <w:t>Base gravable del IEPS en la prestación de servicios de juegos con apuestas y </w:t>
      </w:r>
      <w:r>
        <w:rPr>
          <w:color w:val="0B0B0B"/>
          <w:spacing w:val="-2"/>
        </w:rPr>
        <w:t>sorteos.</w:t>
      </w:r>
    </w:p>
    <w:p>
      <w:pPr>
        <w:pStyle w:val="BodyText"/>
        <w:spacing w:line="280" w:lineRule="auto" w:before="99"/>
        <w:ind w:right="256"/>
      </w:pPr>
      <w:r>
        <w:rPr>
          <w:color w:val="0B0B0B"/>
        </w:rPr>
        <w:t>El artículo 18 de la Ley del IEPS establece que para calcular el impuesto por la realización de las actividades a que se refiere el inciso B) de la fracción II del artículo 2o. de la misma, se considerará como valor el total de las cantidades efectivamente percibidas de los participantes por dichas actividades. En los juegos o sorteos en los que se apueste, se considerará como valor el monto total de las apuestas.</w:t>
      </w:r>
    </w:p>
    <w:p>
      <w:pPr>
        <w:pStyle w:val="BodyText"/>
        <w:spacing w:line="280" w:lineRule="auto" w:before="95"/>
        <w:ind w:right="256"/>
      </w:pPr>
      <w:r>
        <w:rPr>
          <w:color w:val="0B0B0B"/>
        </w:rPr>
        <w:t>El artículo 5o., segundo párrafo del CFF permite aplicar supletoriamente las disposiciones del derecho federal común, en ese sentido, el artículo 3, fracción I del Reglamento de la Ley Federal de Juegos y Sorteos establece que por</w:t>
      </w:r>
      <w:r>
        <w:rPr>
          <w:color w:val="0B0B0B"/>
        </w:rPr>
        <w:t> apuesta</w:t>
      </w:r>
      <w:r>
        <w:rPr>
          <w:color w:val="0B0B0B"/>
        </w:rPr>
        <w:t> se entiende el monto susceptible de apreciarse en moneda nacional que se arriesga en</w:t>
      </w:r>
      <w:r>
        <w:rPr>
          <w:color w:val="0B0B0B"/>
          <w:spacing w:val="40"/>
        </w:rPr>
        <w:t> </w:t>
      </w:r>
      <w:r>
        <w:rPr>
          <w:color w:val="0B0B0B"/>
        </w:rPr>
        <w:t>un juego con la posibilidad de obtener o ganar un premio, cuyo monto, sumado a la cantidad arriesgada deberá de ser superior a esta.</w:t>
      </w:r>
    </w:p>
    <w:p>
      <w:pPr>
        <w:pStyle w:val="BodyText"/>
        <w:spacing w:line="280" w:lineRule="auto" w:before="94"/>
        <w:ind w:right="256"/>
      </w:pPr>
      <w:r>
        <w:rPr>
          <w:color w:val="0B0B0B"/>
        </w:rPr>
        <w:t>En ese sentido, en la realización de juegos o sorteos</w:t>
      </w:r>
      <w:r>
        <w:rPr>
          <w:color w:val="0B0B0B"/>
        </w:rPr>
        <w:t> en los que vaya implícita una apuesta,</w:t>
      </w:r>
      <w:r>
        <w:rPr>
          <w:color w:val="0B0B0B"/>
          <w:spacing w:val="-3"/>
        </w:rPr>
        <w:t> </w:t>
      </w:r>
      <w:r>
        <w:rPr>
          <w:color w:val="0B0B0B"/>
        </w:rPr>
        <w:t>el</w:t>
      </w:r>
      <w:r>
        <w:rPr>
          <w:color w:val="0B0B0B"/>
          <w:spacing w:val="-3"/>
        </w:rPr>
        <w:t> </w:t>
      </w:r>
      <w:r>
        <w:rPr>
          <w:color w:val="0B0B0B"/>
        </w:rPr>
        <w:t>valor</w:t>
      </w:r>
      <w:r>
        <w:rPr>
          <w:color w:val="0B0B0B"/>
          <w:spacing w:val="-4"/>
        </w:rPr>
        <w:t> </w:t>
      </w:r>
      <w:r>
        <w:rPr>
          <w:color w:val="0B0B0B"/>
        </w:rPr>
        <w:t>que</w:t>
      </w:r>
      <w:r>
        <w:rPr>
          <w:color w:val="0B0B0B"/>
          <w:spacing w:val="-2"/>
        </w:rPr>
        <w:t> </w:t>
      </w:r>
      <w:r>
        <w:rPr>
          <w:color w:val="0B0B0B"/>
        </w:rPr>
        <w:t>debe</w:t>
      </w:r>
      <w:r>
        <w:rPr>
          <w:color w:val="0B0B0B"/>
          <w:spacing w:val="-3"/>
        </w:rPr>
        <w:t> </w:t>
      </w:r>
      <w:r>
        <w:rPr>
          <w:color w:val="0B0B0B"/>
        </w:rPr>
        <w:t>considerarse</w:t>
      </w:r>
      <w:r>
        <w:rPr>
          <w:color w:val="0B0B0B"/>
          <w:spacing w:val="-2"/>
        </w:rPr>
        <w:t> </w:t>
      </w:r>
      <w:r>
        <w:rPr>
          <w:color w:val="0B0B0B"/>
        </w:rPr>
        <w:t>para</w:t>
      </w:r>
      <w:r>
        <w:rPr>
          <w:color w:val="0B0B0B"/>
          <w:spacing w:val="-3"/>
        </w:rPr>
        <w:t> </w:t>
      </w:r>
      <w:r>
        <w:rPr>
          <w:color w:val="0B0B0B"/>
        </w:rPr>
        <w:t>efectos</w:t>
      </w:r>
      <w:r>
        <w:rPr>
          <w:color w:val="0B0B0B"/>
          <w:spacing w:val="-3"/>
        </w:rPr>
        <w:t> </w:t>
      </w:r>
      <w:r>
        <w:rPr>
          <w:color w:val="0B0B0B"/>
        </w:rPr>
        <w:t>de</w:t>
      </w:r>
      <w:r>
        <w:rPr>
          <w:color w:val="0B0B0B"/>
          <w:spacing w:val="-3"/>
        </w:rPr>
        <w:t> </w:t>
      </w:r>
      <w:r>
        <w:rPr>
          <w:color w:val="0B0B0B"/>
        </w:rPr>
        <w:t>calcular</w:t>
      </w:r>
      <w:r>
        <w:rPr>
          <w:color w:val="0B0B0B"/>
          <w:spacing w:val="-2"/>
        </w:rPr>
        <w:t> </w:t>
      </w:r>
      <w:r>
        <w:rPr>
          <w:color w:val="0B0B0B"/>
        </w:rPr>
        <w:t>el</w:t>
      </w:r>
      <w:r>
        <w:rPr>
          <w:color w:val="0B0B0B"/>
          <w:spacing w:val="-3"/>
        </w:rPr>
        <w:t> </w:t>
      </w:r>
      <w:r>
        <w:rPr>
          <w:color w:val="0B0B0B"/>
        </w:rPr>
        <w:t>IEPS</w:t>
      </w:r>
      <w:r>
        <w:rPr>
          <w:color w:val="0B0B0B"/>
          <w:spacing w:val="-3"/>
        </w:rPr>
        <w:t> </w:t>
      </w:r>
      <w:r>
        <w:rPr>
          <w:color w:val="0B0B0B"/>
        </w:rPr>
        <w:t>será</w:t>
      </w:r>
      <w:r>
        <w:rPr>
          <w:color w:val="0B0B0B"/>
          <w:spacing w:val="-3"/>
        </w:rPr>
        <w:t> </w:t>
      </w:r>
      <w:r>
        <w:rPr>
          <w:color w:val="0B0B0B"/>
        </w:rPr>
        <w:t>el</w:t>
      </w:r>
      <w:r>
        <w:rPr>
          <w:color w:val="0B0B0B"/>
          <w:spacing w:val="-3"/>
        </w:rPr>
        <w:t> </w:t>
      </w:r>
      <w:r>
        <w:rPr>
          <w:color w:val="0B0B0B"/>
        </w:rPr>
        <w:t>monto total apostado, incluyendo efectivo y cualquier otra cantidad que se otorgue a los participantes con independencia de la denominación que se le dé (promociones, membresías,</w:t>
      </w:r>
      <w:r>
        <w:rPr>
          <w:color w:val="0B0B0B"/>
        </w:rPr>
        <w:t> acceso</w:t>
      </w:r>
      <w:r>
        <w:rPr>
          <w:color w:val="0B0B0B"/>
        </w:rPr>
        <w:t> a las instalaciones, entre otros), en virtud de que dichos conceptos también pueden ser apostados por los participantes.</w:t>
      </w:r>
    </w:p>
    <w:p>
      <w:pPr>
        <w:pStyle w:val="BodyText"/>
        <w:spacing w:line="280" w:lineRule="auto" w:before="93"/>
        <w:ind w:right="258"/>
      </w:pPr>
      <w:r>
        <w:rPr>
          <w:color w:val="0B0B0B"/>
        </w:rPr>
        <w:t>Derivado de lo anterior, en el sistema central de apuestas y en el sistema de caja y control de efectivo a que hace referencia el artículo 20, fracción I de la Ley del IEPS, deberá registrarse el monto total apostado y dicho momento ocurre cuando se realiza el juego o el sorteo.</w:t>
      </w:r>
    </w:p>
    <w:p>
      <w:pPr>
        <w:pStyle w:val="BodyText"/>
        <w:spacing w:line="280" w:lineRule="auto" w:before="97"/>
        <w:ind w:right="257"/>
      </w:pPr>
      <w:r>
        <w:rPr>
          <w:color w:val="0B0B0B"/>
        </w:rPr>
        <w:t>Por lo anterior, tratándose de juegos o sorteos en los que se apueste, se considera</w:t>
      </w:r>
      <w:r>
        <w:rPr>
          <w:color w:val="0B0B0B"/>
          <w:spacing w:val="40"/>
        </w:rPr>
        <w:t> </w:t>
      </w:r>
      <w:r>
        <w:rPr>
          <w:color w:val="0B0B0B"/>
        </w:rPr>
        <w:t>que realiza una práctica fiscal indebida, quien:</w:t>
      </w:r>
    </w:p>
    <w:p>
      <w:pPr>
        <w:pStyle w:val="ListParagraph"/>
        <w:numPr>
          <w:ilvl w:val="0"/>
          <w:numId w:val="66"/>
        </w:numPr>
        <w:tabs>
          <w:tab w:pos="2664" w:val="left" w:leader="none"/>
        </w:tabs>
        <w:spacing w:line="280" w:lineRule="auto" w:before="99" w:after="0"/>
        <w:ind w:left="2664" w:right="260" w:hanging="504"/>
        <w:jc w:val="both"/>
        <w:rPr>
          <w:sz w:val="18"/>
        </w:rPr>
      </w:pPr>
      <w:r>
        <w:rPr>
          <w:color w:val="0B0B0B"/>
          <w:sz w:val="18"/>
        </w:rPr>
        <w:t>Considere únicamente el efectivo para calcular la base gravable para efectos</w:t>
      </w:r>
      <w:r>
        <w:rPr>
          <w:color w:val="0B0B0B"/>
          <w:spacing w:val="40"/>
          <w:sz w:val="18"/>
        </w:rPr>
        <w:t> </w:t>
      </w:r>
      <w:r>
        <w:rPr>
          <w:color w:val="0B0B0B"/>
          <w:sz w:val="18"/>
        </w:rPr>
        <w:t>del IEPS.</w:t>
      </w:r>
    </w:p>
    <w:p>
      <w:pPr>
        <w:pStyle w:val="ListParagraph"/>
        <w:numPr>
          <w:ilvl w:val="0"/>
          <w:numId w:val="66"/>
        </w:numPr>
        <w:tabs>
          <w:tab w:pos="2664" w:val="left" w:leader="none"/>
        </w:tabs>
        <w:spacing w:line="280" w:lineRule="auto" w:before="98" w:after="0"/>
        <w:ind w:left="2664" w:right="259" w:hanging="504"/>
        <w:jc w:val="both"/>
        <w:rPr>
          <w:sz w:val="18"/>
        </w:rPr>
      </w:pPr>
      <w:r>
        <w:rPr>
          <w:color w:val="0B0B0B"/>
          <w:sz w:val="18"/>
        </w:rPr>
        <w:t>Registre en el sistema central de apuestas y en el sistema de caja y control de efectivo, las cantidades percibidas antes de realizarse el juego o sorteo.</w:t>
      </w:r>
    </w:p>
    <w:p>
      <w:pPr>
        <w:pStyle w:val="ListParagraph"/>
        <w:numPr>
          <w:ilvl w:val="0"/>
          <w:numId w:val="66"/>
        </w:numPr>
        <w:tabs>
          <w:tab w:pos="2662" w:val="left" w:leader="none"/>
          <w:tab w:pos="2664" w:val="left" w:leader="none"/>
        </w:tabs>
        <w:spacing w:line="280" w:lineRule="auto" w:before="99" w:after="0"/>
        <w:ind w:left="2664" w:right="257" w:hanging="504"/>
        <w:jc w:val="both"/>
        <w:rPr>
          <w:sz w:val="18"/>
        </w:rPr>
      </w:pPr>
      <w:r>
        <w:rPr>
          <w:color w:val="0B0B0B"/>
          <w:sz w:val="18"/>
        </w:rPr>
        <w:t>No incluya como valor para calcular el impuesto, cualquier otra cantidad que se otorgue a los participantes con independencia de la denominación que se le dé (promociones,</w:t>
      </w:r>
      <w:r>
        <w:rPr>
          <w:color w:val="0B0B0B"/>
          <w:spacing w:val="-1"/>
          <w:sz w:val="18"/>
        </w:rPr>
        <w:t> </w:t>
      </w:r>
      <w:r>
        <w:rPr>
          <w:color w:val="0B0B0B"/>
          <w:sz w:val="18"/>
        </w:rPr>
        <w:t>membresías,</w:t>
      </w:r>
      <w:r>
        <w:rPr>
          <w:color w:val="0B0B0B"/>
          <w:spacing w:val="-1"/>
          <w:sz w:val="18"/>
        </w:rPr>
        <w:t> </w:t>
      </w:r>
      <w:r>
        <w:rPr>
          <w:color w:val="0B0B0B"/>
          <w:sz w:val="18"/>
        </w:rPr>
        <w:t>acceso</w:t>
      </w:r>
      <w:r>
        <w:rPr>
          <w:color w:val="0B0B0B"/>
          <w:spacing w:val="-1"/>
          <w:sz w:val="18"/>
        </w:rPr>
        <w:t> </w:t>
      </w:r>
      <w:r>
        <w:rPr>
          <w:color w:val="0B0B0B"/>
          <w:sz w:val="18"/>
        </w:rPr>
        <w:t>a</w:t>
      </w:r>
      <w:r>
        <w:rPr>
          <w:color w:val="0B0B0B"/>
          <w:spacing w:val="-1"/>
          <w:sz w:val="18"/>
        </w:rPr>
        <w:t> </w:t>
      </w:r>
      <w:r>
        <w:rPr>
          <w:color w:val="0B0B0B"/>
          <w:sz w:val="18"/>
        </w:rPr>
        <w:t>las</w:t>
      </w:r>
      <w:r>
        <w:rPr>
          <w:color w:val="0B0B0B"/>
          <w:spacing w:val="-1"/>
          <w:sz w:val="18"/>
        </w:rPr>
        <w:t> </w:t>
      </w:r>
      <w:r>
        <w:rPr>
          <w:color w:val="0B0B0B"/>
          <w:sz w:val="18"/>
        </w:rPr>
        <w:t>instalaciones,</w:t>
      </w:r>
      <w:r>
        <w:rPr>
          <w:color w:val="0B0B0B"/>
          <w:spacing w:val="-1"/>
          <w:sz w:val="18"/>
        </w:rPr>
        <w:t> </w:t>
      </w:r>
      <w:r>
        <w:rPr>
          <w:color w:val="0B0B0B"/>
          <w:sz w:val="18"/>
        </w:rPr>
        <w:t>entre</w:t>
      </w:r>
      <w:r>
        <w:rPr>
          <w:color w:val="0B0B0B"/>
          <w:spacing w:val="-1"/>
          <w:sz w:val="18"/>
        </w:rPr>
        <w:t> </w:t>
      </w:r>
      <w:r>
        <w:rPr>
          <w:color w:val="0B0B0B"/>
          <w:sz w:val="18"/>
        </w:rPr>
        <w:t>otros)</w:t>
      </w:r>
      <w:r>
        <w:rPr>
          <w:color w:val="0B0B0B"/>
          <w:spacing w:val="-1"/>
          <w:sz w:val="18"/>
        </w:rPr>
        <w:t> </w:t>
      </w:r>
      <w:r>
        <w:rPr>
          <w:color w:val="0B0B0B"/>
          <w:sz w:val="18"/>
        </w:rPr>
        <w:t>que</w:t>
      </w:r>
      <w:r>
        <w:rPr>
          <w:color w:val="0B0B0B"/>
          <w:spacing w:val="-1"/>
          <w:sz w:val="18"/>
        </w:rPr>
        <w:t> </w:t>
      </w:r>
      <w:r>
        <w:rPr>
          <w:color w:val="0B0B0B"/>
          <w:sz w:val="18"/>
        </w:rPr>
        <w:t>otorgue a los participantes.</w:t>
      </w:r>
    </w:p>
    <w:p>
      <w:pPr>
        <w:pStyle w:val="ListParagraph"/>
        <w:numPr>
          <w:ilvl w:val="0"/>
          <w:numId w:val="66"/>
        </w:numPr>
        <w:tabs>
          <w:tab w:pos="2664" w:val="left" w:leader="none"/>
        </w:tabs>
        <w:spacing w:line="280" w:lineRule="auto" w:before="96"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7"/>
        <w:ind w:left="0"/>
        <w:jc w:val="left"/>
        <w:rPr>
          <w:sz w:val="6"/>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41" w:hRule="atLeast"/>
        </w:trPr>
        <w:tc>
          <w:tcPr>
            <w:tcW w:w="2760" w:type="dxa"/>
            <w:shd w:val="clear" w:color="auto" w:fill="BDBDBD"/>
          </w:tcPr>
          <w:p>
            <w:pPr>
              <w:pStyle w:val="TableParagraph"/>
              <w:spacing w:before="43"/>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43"/>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82" w:hRule="atLeast"/>
        </w:trPr>
        <w:tc>
          <w:tcPr>
            <w:tcW w:w="2760" w:type="dxa"/>
          </w:tcPr>
          <w:p>
            <w:pPr>
              <w:pStyle w:val="TableParagraph"/>
              <w:tabs>
                <w:tab w:pos="1170" w:val="left" w:leader="none"/>
                <w:tab w:pos="2509" w:val="left" w:leader="none"/>
              </w:tabs>
              <w:spacing w:line="314" w:lineRule="auto" w:before="43"/>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2016</w:t>
            </w:r>
          </w:p>
        </w:tc>
        <w:tc>
          <w:tcPr>
            <w:tcW w:w="4126" w:type="dxa"/>
          </w:tcPr>
          <w:p>
            <w:pPr>
              <w:pStyle w:val="TableParagraph"/>
              <w:spacing w:line="314" w:lineRule="auto" w:before="43"/>
              <w:rPr>
                <w:sz w:val="16"/>
              </w:rPr>
            </w:pPr>
            <w:r>
              <w:rPr>
                <w:color w:val="0B0B0B"/>
                <w:sz w:val="16"/>
              </w:rPr>
              <w:t>Publicada en el DOF el 14 de julio de 2016, Anexo 3,</w:t>
            </w:r>
            <w:r>
              <w:rPr>
                <w:color w:val="0B0B0B"/>
                <w:spacing w:val="40"/>
                <w:sz w:val="16"/>
              </w:rPr>
              <w:t> </w:t>
            </w:r>
            <w:r>
              <w:rPr>
                <w:color w:val="0B0B0B"/>
                <w:sz w:val="16"/>
              </w:rPr>
              <w:t>publicado en el DOF el 15 de julio de 2016.</w:t>
            </w:r>
          </w:p>
        </w:tc>
      </w:tr>
    </w:tbl>
    <w:p>
      <w:pPr>
        <w:pStyle w:val="TableParagraph"/>
        <w:spacing w:after="0" w:line="314" w:lineRule="auto"/>
        <w:rPr>
          <w:sz w:val="16"/>
        </w:rPr>
        <w:sectPr>
          <w:headerReference w:type="default" r:id="rId62"/>
          <w:pgSz w:w="12240" w:h="15840"/>
          <w:pgMar w:header="690" w:footer="0" w:top="1040" w:bottom="280" w:left="1440" w:right="1440"/>
        </w:sectPr>
      </w:pPr>
    </w:p>
    <w:p>
      <w:pPr>
        <w:pStyle w:val="Heading1"/>
        <w:spacing w:line="249" w:lineRule="auto" w:before="112"/>
        <w:ind w:right="255"/>
        <w:jc w:val="both"/>
      </w:pPr>
      <w:r>
        <w:rPr>
          <w:color w:val="0B0B0B"/>
        </w:rPr>
        <w:t>5/IEPS/PI</w:t>
      </w:r>
      <w:r>
        <w:rPr>
          <w:color w:val="0B0B0B"/>
          <w:spacing w:val="80"/>
          <w:w w:val="150"/>
        </w:rPr>
        <w:t> </w:t>
      </w:r>
      <w:r>
        <w:rPr>
          <w:color w:val="0B0B0B"/>
        </w:rPr>
        <w:t>Cantidades a disminuir como premios para determinar la base gravable del IEPS en la prestación de servicios de juegos con apuestas y sorteos.</w:t>
      </w:r>
    </w:p>
    <w:p>
      <w:pPr>
        <w:pStyle w:val="BodyText"/>
        <w:spacing w:line="249" w:lineRule="auto" w:before="77"/>
        <w:ind w:right="257"/>
      </w:pPr>
      <w:r>
        <w:rPr>
          <w:color w:val="0B0B0B"/>
        </w:rPr>
        <w:t>El artículo 2o., fracción II, inciso B) en relación con el 18, párrafo cuarto, fracción I de</w:t>
      </w:r>
      <w:r>
        <w:rPr>
          <w:color w:val="0B0B0B"/>
          <w:spacing w:val="40"/>
        </w:rPr>
        <w:t> </w:t>
      </w:r>
      <w:r>
        <w:rPr>
          <w:color w:val="0B0B0B"/>
        </w:rPr>
        <w:t>la Ley del IEPS considera dentro de los conceptos que podrán disminuirse de la base del impuesto, los premios efectivamente pagados o entregados conforme a las disposiciones aplicables.</w:t>
      </w:r>
    </w:p>
    <w:p>
      <w:pPr>
        <w:pStyle w:val="BodyText"/>
        <w:spacing w:line="249" w:lineRule="auto" w:before="79"/>
        <w:ind w:right="257"/>
      </w:pPr>
      <w:r>
        <w:rPr>
          <w:color w:val="0B0B0B"/>
        </w:rPr>
        <w:t>Para efectos fiscales, los premios que obtengan los participantes en los juegos con apuestas</w:t>
      </w:r>
      <w:r>
        <w:rPr>
          <w:color w:val="0B0B0B"/>
        </w:rPr>
        <w:t> y</w:t>
      </w:r>
      <w:r>
        <w:rPr>
          <w:color w:val="0B0B0B"/>
        </w:rPr>
        <w:t> sorteos, son la retribución que obtiene el ganador de un juego con</w:t>
      </w:r>
      <w:r>
        <w:rPr>
          <w:color w:val="0B0B0B"/>
          <w:spacing w:val="40"/>
        </w:rPr>
        <w:t> </w:t>
      </w:r>
      <w:r>
        <w:rPr>
          <w:color w:val="0B0B0B"/>
        </w:rPr>
        <w:t>apuestas</w:t>
      </w:r>
      <w:r>
        <w:rPr>
          <w:color w:val="0B0B0B"/>
        </w:rPr>
        <w:t> y sorteos,</w:t>
      </w:r>
      <w:r>
        <w:rPr>
          <w:color w:val="0B0B0B"/>
        </w:rPr>
        <w:t> y</w:t>
      </w:r>
      <w:r>
        <w:rPr>
          <w:color w:val="0B0B0B"/>
        </w:rPr>
        <w:t> que paguen quienes cuenten con permiso de la autoridad competente para considerarlos como tales, no así, aquellas cantidades que no se ubiquen en el concepto anterior por tratarse de promociones, membresías, accesos a las instalaciones, entre otros.</w:t>
      </w:r>
    </w:p>
    <w:p>
      <w:pPr>
        <w:pStyle w:val="BodyText"/>
        <w:spacing w:before="80"/>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7"/>
        </w:numPr>
        <w:tabs>
          <w:tab w:pos="2664" w:val="left" w:leader="none"/>
        </w:tabs>
        <w:spacing w:line="249" w:lineRule="auto" w:before="85" w:after="0"/>
        <w:ind w:left="2664" w:right="260" w:hanging="504"/>
        <w:jc w:val="both"/>
        <w:rPr>
          <w:sz w:val="18"/>
        </w:rPr>
      </w:pPr>
      <w:r>
        <w:rPr>
          <w:color w:val="0B0B0B"/>
          <w:sz w:val="18"/>
        </w:rPr>
        <w:t>Disminuir de la base del IEPS, las promociones, membresías, acceso a las instalaciones,</w:t>
      </w:r>
      <w:r>
        <w:rPr>
          <w:color w:val="0B0B0B"/>
          <w:sz w:val="18"/>
        </w:rPr>
        <w:t> entre</w:t>
      </w:r>
      <w:r>
        <w:rPr>
          <w:color w:val="0B0B0B"/>
          <w:sz w:val="18"/>
        </w:rPr>
        <w:t> otros</w:t>
      </w:r>
      <w:r>
        <w:rPr>
          <w:color w:val="0B0B0B"/>
          <w:sz w:val="18"/>
        </w:rPr>
        <w:t> por</w:t>
      </w:r>
      <w:r>
        <w:rPr>
          <w:color w:val="0B0B0B"/>
          <w:sz w:val="18"/>
        </w:rPr>
        <w:t> no corresponder a la retribución que obtiene el ganador de un juego con apuestas y sorteos.</w:t>
      </w:r>
    </w:p>
    <w:p>
      <w:pPr>
        <w:pStyle w:val="ListParagraph"/>
        <w:numPr>
          <w:ilvl w:val="0"/>
          <w:numId w:val="67"/>
        </w:numPr>
        <w:tabs>
          <w:tab w:pos="2664" w:val="left" w:leader="none"/>
        </w:tabs>
        <w:spacing w:line="249" w:lineRule="auto" w:before="79" w:after="0"/>
        <w:ind w:left="2664" w:right="259" w:hanging="504"/>
        <w:jc w:val="both"/>
        <w:rPr>
          <w:sz w:val="18"/>
        </w:rPr>
      </w:pPr>
      <w:r>
        <w:rPr>
          <w:color w:val="0B0B0B"/>
          <w:sz w:val="18"/>
        </w:rPr>
        <w:t>Asesorar, aconsejar, prestar servicios o participar en la realización o la implementación de la práctica anterior.</w:t>
      </w:r>
    </w:p>
    <w:p>
      <w:pPr>
        <w:pStyle w:val="BodyText"/>
        <w:spacing w:before="4"/>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8"/>
      </w:tblGrid>
      <w:tr>
        <w:trPr>
          <w:trHeight w:val="292" w:hRule="atLeast"/>
        </w:trPr>
        <w:tc>
          <w:tcPr>
            <w:tcW w:w="2694" w:type="dxa"/>
            <w:shd w:val="clear" w:color="auto" w:fill="BDBDBD"/>
          </w:tcPr>
          <w:p>
            <w:pPr>
              <w:pStyle w:val="TableParagraph"/>
              <w:ind w:left="12" w:right="1"/>
              <w:jc w:val="center"/>
              <w:rPr>
                <w:rFonts w:ascii="Arial"/>
                <w:b/>
                <w:sz w:val="16"/>
              </w:rPr>
            </w:pPr>
            <w:r>
              <w:rPr>
                <w:rFonts w:ascii="Arial"/>
                <w:b/>
                <w:color w:val="0B0B0B"/>
                <w:spacing w:val="-2"/>
                <w:sz w:val="16"/>
              </w:rPr>
              <w:t>Origen</w:t>
            </w:r>
          </w:p>
        </w:tc>
        <w:tc>
          <w:tcPr>
            <w:tcW w:w="4218" w:type="dxa"/>
            <w:shd w:val="clear" w:color="auto" w:fill="BDBDBD"/>
          </w:tcPr>
          <w:p>
            <w:pPr>
              <w:pStyle w:val="TableParagraph"/>
              <w:ind w:left="136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07" w:hRule="atLeast"/>
        </w:trPr>
        <w:tc>
          <w:tcPr>
            <w:tcW w:w="2694" w:type="dxa"/>
          </w:tcPr>
          <w:p>
            <w:pPr>
              <w:pStyle w:val="TableParagraph"/>
              <w:spacing w:before="22"/>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218" w:type="dxa"/>
          </w:tcPr>
          <w:p>
            <w:pPr>
              <w:pStyle w:val="TableParagraph"/>
              <w:spacing w:line="280" w:lineRule="auto" w:before="22"/>
              <w:ind w:right="24"/>
              <w:rPr>
                <w:sz w:val="16"/>
              </w:rPr>
            </w:pPr>
            <w:r>
              <w:rPr>
                <w:color w:val="0B0B0B"/>
                <w:sz w:val="16"/>
              </w:rPr>
              <w:t>Publicada en el DOF el 23 de diciembre de 2016, Anexo 3, publicado en el DOF el 27 de diciembre de 2016.</w:t>
            </w:r>
          </w:p>
        </w:tc>
      </w:tr>
    </w:tbl>
    <w:p>
      <w:pPr>
        <w:pStyle w:val="BodyText"/>
        <w:spacing w:before="91"/>
        <w:ind w:left="0"/>
        <w:jc w:val="left"/>
      </w:pPr>
    </w:p>
    <w:p>
      <w:pPr>
        <w:pStyle w:val="Heading1"/>
        <w:numPr>
          <w:ilvl w:val="0"/>
          <w:numId w:val="50"/>
        </w:numPr>
        <w:tabs>
          <w:tab w:pos="1122" w:val="left" w:leader="none"/>
        </w:tabs>
        <w:spacing w:line="240" w:lineRule="auto" w:before="0" w:after="0"/>
        <w:ind w:left="1122" w:right="0" w:hanging="431"/>
        <w:jc w:val="left"/>
      </w:pPr>
      <w:r>
        <w:rPr>
          <w:color w:val="0B0B0B"/>
        </w:rPr>
        <w:t>Criterios de la </w:t>
      </w:r>
      <w:r>
        <w:rPr>
          <w:color w:val="0B0B0B"/>
          <w:spacing w:val="-4"/>
        </w:rPr>
        <w:t>LISH</w:t>
      </w:r>
    </w:p>
    <w:p>
      <w:pPr>
        <w:spacing w:line="249" w:lineRule="auto" w:before="84"/>
        <w:ind w:left="2145" w:right="257" w:hanging="1008"/>
        <w:jc w:val="both"/>
        <w:rPr>
          <w:rFonts w:ascii="Arial" w:hAnsi="Arial"/>
          <w:b/>
          <w:sz w:val="18"/>
        </w:rPr>
      </w:pPr>
      <w:r>
        <w:rPr>
          <w:rFonts w:ascii="Arial" w:hAnsi="Arial"/>
          <w:b/>
          <w:color w:val="0B0B0B"/>
          <w:sz w:val="18"/>
        </w:rPr>
        <w:t>1/LISH/PI</w:t>
      </w:r>
      <w:r>
        <w:rPr>
          <w:rFonts w:ascii="Arial" w:hAnsi="Arial"/>
          <w:b/>
          <w:color w:val="0B0B0B"/>
          <w:spacing w:val="80"/>
          <w:sz w:val="18"/>
        </w:rPr>
        <w:t> </w:t>
      </w:r>
      <w:r>
        <w:rPr>
          <w:rFonts w:ascii="Arial" w:hAnsi="Arial"/>
          <w:b/>
          <w:color w:val="0B0B0B"/>
          <w:sz w:val="18"/>
        </w:rPr>
        <w:t>Condensados y gas natural. Se trata de conceptos distintos para determinar la base de los derechos por la utilidad compartida y de extracción de</w:t>
      </w:r>
      <w:r>
        <w:rPr>
          <w:rFonts w:ascii="Arial" w:hAnsi="Arial"/>
          <w:b/>
          <w:color w:val="0B0B0B"/>
          <w:spacing w:val="40"/>
          <w:sz w:val="18"/>
        </w:rPr>
        <w:t> </w:t>
      </w:r>
      <w:r>
        <w:rPr>
          <w:rFonts w:ascii="Arial" w:hAnsi="Arial"/>
          <w:b/>
          <w:color w:val="0B0B0B"/>
          <w:sz w:val="18"/>
        </w:rPr>
        <w:t>hidrocarburos para los asignatarios.</w:t>
      </w:r>
    </w:p>
    <w:p>
      <w:pPr>
        <w:pStyle w:val="BodyText"/>
        <w:spacing w:line="249" w:lineRule="auto" w:before="78"/>
        <w:ind w:right="257"/>
      </w:pPr>
      <w:r>
        <w:rPr>
          <w:color w:val="0B0B0B"/>
        </w:rPr>
        <w:t>Los artículos 39, primer párrafo; 42, primer párrafo y 44, primer párrafo de la LISH, obligan a los asignatarios a pagar los derechos por</w:t>
      </w:r>
      <w:r>
        <w:rPr>
          <w:color w:val="0B0B0B"/>
        </w:rPr>
        <w:t> la utilidad compartida y de extracción de hidrocarburos,</w:t>
      </w:r>
      <w:r>
        <w:rPr>
          <w:color w:val="0B0B0B"/>
        </w:rPr>
        <w:t> cuya</w:t>
      </w:r>
      <w:r>
        <w:rPr>
          <w:color w:val="0B0B0B"/>
        </w:rPr>
        <w:t> base se integra con el valor de los hidrocarburos extraídos en el periodo que corresponda.</w:t>
      </w:r>
    </w:p>
    <w:p>
      <w:pPr>
        <w:pStyle w:val="BodyText"/>
        <w:spacing w:line="249" w:lineRule="auto" w:before="80"/>
        <w:ind w:right="257"/>
      </w:pPr>
      <w:r>
        <w:rPr>
          <w:color w:val="0B0B0B"/>
        </w:rPr>
        <w:t>Para tales efectos, el artículo 48, fracción I de la LISH considera como valor de los hidrocarburos extraídos, entre otros conceptos, a la suma del valor del gas natural y el valor de los condensados, según corresponda, extraídos en la región de que se trate, en el periodo por el que esté obligado al pago del derecho respectivo.</w:t>
      </w:r>
    </w:p>
    <w:p>
      <w:pPr>
        <w:pStyle w:val="BodyText"/>
        <w:spacing w:line="249" w:lineRule="auto" w:before="78"/>
        <w:ind w:right="257"/>
      </w:pPr>
      <w:r>
        <w:rPr>
          <w:color w:val="0B0B0B"/>
        </w:rPr>
        <w:t>El</w:t>
      </w:r>
      <w:r>
        <w:rPr>
          <w:color w:val="0B0B0B"/>
          <w:spacing w:val="-3"/>
        </w:rPr>
        <w:t> </w:t>
      </w:r>
      <w:r>
        <w:rPr>
          <w:color w:val="0B0B0B"/>
        </w:rPr>
        <w:t>artículo</w:t>
      </w:r>
      <w:r>
        <w:rPr>
          <w:color w:val="0B0B0B"/>
          <w:spacing w:val="-3"/>
        </w:rPr>
        <w:t> </w:t>
      </w:r>
      <w:r>
        <w:rPr>
          <w:color w:val="0B0B0B"/>
        </w:rPr>
        <w:t>3,</w:t>
      </w:r>
      <w:r>
        <w:rPr>
          <w:color w:val="0B0B0B"/>
          <w:spacing w:val="-3"/>
        </w:rPr>
        <w:t> </w:t>
      </w:r>
      <w:r>
        <w:rPr>
          <w:color w:val="0B0B0B"/>
        </w:rPr>
        <w:t>fracción</w:t>
      </w:r>
      <w:r>
        <w:rPr>
          <w:color w:val="0B0B0B"/>
          <w:spacing w:val="-3"/>
        </w:rPr>
        <w:t> </w:t>
      </w:r>
      <w:r>
        <w:rPr>
          <w:color w:val="0B0B0B"/>
        </w:rPr>
        <w:t>IV</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LISH</w:t>
      </w:r>
      <w:r>
        <w:rPr>
          <w:color w:val="0B0B0B"/>
          <w:spacing w:val="-3"/>
        </w:rPr>
        <w:t> </w:t>
      </w:r>
      <w:r>
        <w:rPr>
          <w:color w:val="0B0B0B"/>
        </w:rPr>
        <w:t>define</w:t>
      </w:r>
      <w:r>
        <w:rPr>
          <w:color w:val="0B0B0B"/>
          <w:spacing w:val="-3"/>
        </w:rPr>
        <w:t> </w:t>
      </w:r>
      <w:r>
        <w:rPr>
          <w:color w:val="0B0B0B"/>
        </w:rPr>
        <w:t>a</w:t>
      </w:r>
      <w:r>
        <w:rPr>
          <w:color w:val="0B0B0B"/>
          <w:spacing w:val="-2"/>
        </w:rPr>
        <w:t> </w:t>
      </w:r>
      <w:r>
        <w:rPr>
          <w:color w:val="0B0B0B"/>
        </w:rPr>
        <w:t>los</w:t>
      </w:r>
      <w:r>
        <w:rPr>
          <w:color w:val="0B0B0B"/>
          <w:spacing w:val="-3"/>
        </w:rPr>
        <w:t> </w:t>
      </w:r>
      <w:r>
        <w:rPr>
          <w:color w:val="0B0B0B"/>
        </w:rPr>
        <w:t>condensados</w:t>
      </w:r>
      <w:r>
        <w:rPr>
          <w:color w:val="0B0B0B"/>
          <w:spacing w:val="-3"/>
        </w:rPr>
        <w:t> </w:t>
      </w:r>
      <w:r>
        <w:rPr>
          <w:color w:val="0B0B0B"/>
        </w:rPr>
        <w:t>como</w:t>
      </w:r>
      <w:r>
        <w:rPr>
          <w:color w:val="0B0B0B"/>
          <w:spacing w:val="-3"/>
        </w:rPr>
        <w:t> </w:t>
      </w:r>
      <w:r>
        <w:rPr>
          <w:color w:val="0B0B0B"/>
        </w:rPr>
        <w:t>los</w:t>
      </w:r>
      <w:r>
        <w:rPr>
          <w:color w:val="0B0B0B"/>
          <w:spacing w:val="-2"/>
        </w:rPr>
        <w:t> </w:t>
      </w:r>
      <w:r>
        <w:rPr>
          <w:color w:val="0B0B0B"/>
        </w:rPr>
        <w:t>líquidos</w:t>
      </w:r>
      <w:r>
        <w:rPr>
          <w:color w:val="0B0B0B"/>
          <w:spacing w:val="-3"/>
        </w:rPr>
        <w:t> </w:t>
      </w:r>
      <w:r>
        <w:rPr>
          <w:color w:val="0B0B0B"/>
        </w:rPr>
        <w:t>del</w:t>
      </w:r>
      <w:r>
        <w:rPr>
          <w:color w:val="0B0B0B"/>
          <w:spacing w:val="-3"/>
        </w:rPr>
        <w:t> </w:t>
      </w:r>
      <w:r>
        <w:rPr>
          <w:color w:val="0B0B0B"/>
        </w:rPr>
        <w:t>gas natural</w:t>
      </w:r>
      <w:r>
        <w:rPr>
          <w:color w:val="0B0B0B"/>
          <w:spacing w:val="-2"/>
        </w:rPr>
        <w:t> </w:t>
      </w:r>
      <w:r>
        <w:rPr>
          <w:color w:val="0B0B0B"/>
        </w:rPr>
        <w:t>constituidos</w:t>
      </w:r>
      <w:r>
        <w:rPr>
          <w:color w:val="0B0B0B"/>
          <w:spacing w:val="-2"/>
        </w:rPr>
        <w:t> </w:t>
      </w:r>
      <w:r>
        <w:rPr>
          <w:color w:val="0B0B0B"/>
        </w:rPr>
        <w:t>principalmente</w:t>
      </w:r>
      <w:r>
        <w:rPr>
          <w:color w:val="0B0B0B"/>
          <w:spacing w:val="-2"/>
        </w:rPr>
        <w:t> </w:t>
      </w:r>
      <w:r>
        <w:rPr>
          <w:color w:val="0B0B0B"/>
        </w:rPr>
        <w:t>por</w:t>
      </w:r>
      <w:r>
        <w:rPr>
          <w:color w:val="0B0B0B"/>
          <w:spacing w:val="-1"/>
        </w:rPr>
        <w:t> </w:t>
      </w:r>
      <w:r>
        <w:rPr>
          <w:color w:val="0B0B0B"/>
        </w:rPr>
        <w:t>pentanos</w:t>
      </w:r>
      <w:r>
        <w:rPr>
          <w:color w:val="0B0B0B"/>
          <w:spacing w:val="-1"/>
        </w:rPr>
        <w:t> </w:t>
      </w:r>
      <w:r>
        <w:rPr>
          <w:color w:val="0B0B0B"/>
        </w:rPr>
        <w:t>y</w:t>
      </w:r>
      <w:r>
        <w:rPr>
          <w:color w:val="0B0B0B"/>
          <w:spacing w:val="-4"/>
        </w:rPr>
        <w:t> </w:t>
      </w:r>
      <w:r>
        <w:rPr>
          <w:color w:val="0B0B0B"/>
        </w:rPr>
        <w:t>componentes</w:t>
      </w:r>
      <w:r>
        <w:rPr>
          <w:color w:val="0B0B0B"/>
          <w:spacing w:val="-3"/>
        </w:rPr>
        <w:t> </w:t>
      </w:r>
      <w:r>
        <w:rPr>
          <w:color w:val="0B0B0B"/>
        </w:rPr>
        <w:t>de</w:t>
      </w:r>
      <w:r>
        <w:rPr>
          <w:color w:val="0B0B0B"/>
          <w:spacing w:val="-2"/>
        </w:rPr>
        <w:t> </w:t>
      </w:r>
      <w:r>
        <w:rPr>
          <w:color w:val="0B0B0B"/>
        </w:rPr>
        <w:t>hidrocarburos</w:t>
      </w:r>
      <w:r>
        <w:rPr>
          <w:color w:val="0B0B0B"/>
          <w:spacing w:val="-2"/>
        </w:rPr>
        <w:t> </w:t>
      </w:r>
      <w:r>
        <w:rPr>
          <w:color w:val="0B0B0B"/>
        </w:rPr>
        <w:t>más pesados;</w:t>
      </w:r>
      <w:r>
        <w:rPr>
          <w:color w:val="0B0B0B"/>
          <w:spacing w:val="-1"/>
        </w:rPr>
        <w:t> </w:t>
      </w:r>
      <w:r>
        <w:rPr>
          <w:color w:val="0B0B0B"/>
        </w:rPr>
        <w:t>por</w:t>
      </w:r>
      <w:r>
        <w:rPr>
          <w:color w:val="0B0B0B"/>
          <w:spacing w:val="-1"/>
        </w:rPr>
        <w:t> </w:t>
      </w:r>
      <w:r>
        <w:rPr>
          <w:color w:val="0B0B0B"/>
        </w:rPr>
        <w:t>su</w:t>
      </w:r>
      <w:r>
        <w:rPr>
          <w:color w:val="0B0B0B"/>
          <w:spacing w:val="-1"/>
        </w:rPr>
        <w:t> </w:t>
      </w:r>
      <w:r>
        <w:rPr>
          <w:color w:val="0B0B0B"/>
        </w:rPr>
        <w:t>parte,</w:t>
      </w:r>
      <w:r>
        <w:rPr>
          <w:color w:val="0B0B0B"/>
          <w:spacing w:val="-1"/>
        </w:rPr>
        <w:t> </w:t>
      </w:r>
      <w:r>
        <w:rPr>
          <w:color w:val="0B0B0B"/>
        </w:rPr>
        <w:t>el</w:t>
      </w:r>
      <w:r>
        <w:rPr>
          <w:color w:val="0B0B0B"/>
          <w:spacing w:val="-1"/>
        </w:rPr>
        <w:t> </w:t>
      </w:r>
      <w:r>
        <w:rPr>
          <w:color w:val="0B0B0B"/>
        </w:rPr>
        <w:t>artículo</w:t>
      </w:r>
      <w:r>
        <w:rPr>
          <w:color w:val="0B0B0B"/>
          <w:spacing w:val="-1"/>
        </w:rPr>
        <w:t> </w:t>
      </w:r>
      <w:r>
        <w:rPr>
          <w:color w:val="0B0B0B"/>
        </w:rPr>
        <w:t>4,</w:t>
      </w:r>
      <w:r>
        <w:rPr>
          <w:color w:val="0B0B0B"/>
          <w:spacing w:val="-1"/>
        </w:rPr>
        <w:t> </w:t>
      </w:r>
      <w:r>
        <w:rPr>
          <w:color w:val="0B0B0B"/>
        </w:rPr>
        <w:t>fracción</w:t>
      </w:r>
      <w:r>
        <w:rPr>
          <w:color w:val="0B0B0B"/>
          <w:spacing w:val="-1"/>
        </w:rPr>
        <w:t> </w:t>
      </w:r>
      <w:r>
        <w:rPr>
          <w:color w:val="0B0B0B"/>
        </w:rPr>
        <w:t>XVII</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2"/>
        </w:rPr>
        <w:t> </w:t>
      </w:r>
      <w:r>
        <w:rPr>
          <w:color w:val="0B0B0B"/>
        </w:rPr>
        <w:t>de</w:t>
      </w:r>
      <w:r>
        <w:rPr>
          <w:color w:val="0B0B0B"/>
          <w:spacing w:val="-1"/>
        </w:rPr>
        <w:t> </w:t>
      </w:r>
      <w:r>
        <w:rPr>
          <w:color w:val="0B0B0B"/>
        </w:rPr>
        <w:t>Hidrocarburos</w:t>
      </w:r>
      <w:r>
        <w:rPr>
          <w:color w:val="0B0B0B"/>
          <w:spacing w:val="-1"/>
        </w:rPr>
        <w:t> </w:t>
      </w:r>
      <w:r>
        <w:rPr>
          <w:color w:val="0B0B0B"/>
        </w:rPr>
        <w:t>establece que el gas natural es la mezcla de gases que se obtiene de la extracción o del procesamiento industrial y que es constituida principalmente por metano.</w:t>
      </w:r>
    </w:p>
    <w:p>
      <w:pPr>
        <w:pStyle w:val="BodyText"/>
        <w:spacing w:line="249" w:lineRule="auto" w:before="80"/>
        <w:ind w:right="257"/>
      </w:pPr>
      <w:r>
        <w:rPr>
          <w:color w:val="0B0B0B"/>
        </w:rPr>
        <w:t>De este modo, y</w:t>
      </w:r>
      <w:r>
        <w:rPr>
          <w:color w:val="0B0B0B"/>
          <w:spacing w:val="-2"/>
        </w:rPr>
        <w:t> </w:t>
      </w:r>
      <w:r>
        <w:rPr>
          <w:color w:val="0B0B0B"/>
        </w:rPr>
        <w:t>para efectos del cálculo de los derechos previstos en los artículos 39, primer párrafo; 42, primer párrafo y 44, primer párrafo de la LISH, el concepto de condensados es distinto del de gas natural.</w:t>
      </w:r>
    </w:p>
    <w:p>
      <w:pPr>
        <w:pStyle w:val="BodyText"/>
        <w:spacing w:before="79"/>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1"/>
          <w:numId w:val="50"/>
        </w:numPr>
        <w:tabs>
          <w:tab w:pos="2663" w:val="left" w:leader="none"/>
        </w:tabs>
        <w:spacing w:line="249" w:lineRule="auto" w:before="84" w:after="0"/>
        <w:ind w:left="2663" w:right="259" w:hanging="504"/>
        <w:jc w:val="both"/>
        <w:rPr>
          <w:sz w:val="18"/>
        </w:rPr>
      </w:pPr>
      <w:r>
        <w:rPr>
          <w:color w:val="0B0B0B"/>
          <w:sz w:val="18"/>
        </w:rPr>
        <w:t>No incluir en la base de los derechos por la utilidad compartida y de extracción de</w:t>
      </w:r>
      <w:r>
        <w:rPr>
          <w:color w:val="0B0B0B"/>
          <w:spacing w:val="-1"/>
          <w:sz w:val="18"/>
        </w:rPr>
        <w:t> </w:t>
      </w:r>
      <w:r>
        <w:rPr>
          <w:color w:val="0B0B0B"/>
          <w:sz w:val="18"/>
        </w:rPr>
        <w:t>hidrocarburos,</w:t>
      </w:r>
      <w:r>
        <w:rPr>
          <w:color w:val="0B0B0B"/>
          <w:spacing w:val="-1"/>
          <w:sz w:val="18"/>
        </w:rPr>
        <w:t> </w:t>
      </w:r>
      <w:r>
        <w:rPr>
          <w:color w:val="0B0B0B"/>
          <w:sz w:val="18"/>
        </w:rPr>
        <w:t>el</w:t>
      </w:r>
      <w:r>
        <w:rPr>
          <w:color w:val="0B0B0B"/>
          <w:spacing w:val="-1"/>
          <w:sz w:val="18"/>
        </w:rPr>
        <w:t> </w:t>
      </w:r>
      <w:r>
        <w:rPr>
          <w:color w:val="0B0B0B"/>
          <w:sz w:val="18"/>
        </w:rPr>
        <w:t>valor</w:t>
      </w:r>
      <w:r>
        <w:rPr>
          <w:color w:val="0B0B0B"/>
          <w:spacing w:val="-1"/>
          <w:sz w:val="18"/>
        </w:rPr>
        <w:t> </w:t>
      </w:r>
      <w:r>
        <w:rPr>
          <w:color w:val="0B0B0B"/>
          <w:sz w:val="18"/>
        </w:rPr>
        <w:t>de</w:t>
      </w:r>
      <w:r>
        <w:rPr>
          <w:color w:val="0B0B0B"/>
          <w:spacing w:val="-1"/>
          <w:sz w:val="18"/>
        </w:rPr>
        <w:t> </w:t>
      </w:r>
      <w:r>
        <w:rPr>
          <w:color w:val="0B0B0B"/>
          <w:sz w:val="18"/>
        </w:rPr>
        <w:t>los</w:t>
      </w:r>
      <w:r>
        <w:rPr>
          <w:color w:val="0B0B0B"/>
          <w:spacing w:val="-1"/>
          <w:sz w:val="18"/>
        </w:rPr>
        <w:t> </w:t>
      </w:r>
      <w:r>
        <w:rPr>
          <w:color w:val="0B0B0B"/>
          <w:sz w:val="18"/>
        </w:rPr>
        <w:t>condensados</w:t>
      </w:r>
      <w:r>
        <w:rPr>
          <w:color w:val="0B0B0B"/>
          <w:spacing w:val="-1"/>
          <w:sz w:val="18"/>
        </w:rPr>
        <w:t> </w:t>
      </w:r>
      <w:r>
        <w:rPr>
          <w:color w:val="0B0B0B"/>
          <w:sz w:val="18"/>
        </w:rPr>
        <w:t>extraídos</w:t>
      </w:r>
      <w:r>
        <w:rPr>
          <w:color w:val="0B0B0B"/>
          <w:spacing w:val="-1"/>
          <w:sz w:val="18"/>
        </w:rPr>
        <w:t> </w:t>
      </w:r>
      <w:r>
        <w:rPr>
          <w:color w:val="0B0B0B"/>
          <w:sz w:val="18"/>
        </w:rPr>
        <w:t>o producidos en el área de asignación.</w:t>
      </w:r>
    </w:p>
    <w:p>
      <w:pPr>
        <w:pStyle w:val="ListParagraph"/>
        <w:numPr>
          <w:ilvl w:val="1"/>
          <w:numId w:val="50"/>
        </w:numPr>
        <w:tabs>
          <w:tab w:pos="2663" w:val="left" w:leader="none"/>
        </w:tabs>
        <w:spacing w:line="249" w:lineRule="auto" w:before="78" w:after="0"/>
        <w:ind w:left="2663" w:right="257" w:hanging="504"/>
        <w:jc w:val="both"/>
        <w:rPr>
          <w:sz w:val="18"/>
        </w:rPr>
      </w:pPr>
      <w:r>
        <w:rPr>
          <w:color w:val="0B0B0B"/>
          <w:sz w:val="18"/>
        </w:rPr>
        <w:t>Considerar a los condensados como otro tipo de hidrocarburos para calcular la base de los derechos por</w:t>
      </w:r>
      <w:r>
        <w:rPr>
          <w:color w:val="0B0B0B"/>
          <w:sz w:val="18"/>
        </w:rPr>
        <w:t> la utilidad compartida y de extracción de</w:t>
      </w:r>
      <w:r>
        <w:rPr>
          <w:color w:val="0B0B0B"/>
          <w:spacing w:val="40"/>
          <w:sz w:val="18"/>
        </w:rPr>
        <w:t> </w:t>
      </w:r>
      <w:r>
        <w:rPr>
          <w:color w:val="0B0B0B"/>
          <w:spacing w:val="-2"/>
          <w:sz w:val="18"/>
        </w:rPr>
        <w:t>hidrocarburos.</w:t>
      </w:r>
    </w:p>
    <w:p>
      <w:pPr>
        <w:pStyle w:val="ListParagraph"/>
        <w:numPr>
          <w:ilvl w:val="1"/>
          <w:numId w:val="50"/>
        </w:numPr>
        <w:tabs>
          <w:tab w:pos="2661" w:val="left" w:leader="none"/>
          <w:tab w:pos="2663" w:val="left" w:leader="none"/>
        </w:tabs>
        <w:spacing w:line="249" w:lineRule="auto" w:before="79" w:after="0"/>
        <w:ind w:left="2663" w:right="256" w:hanging="504"/>
        <w:jc w:val="both"/>
        <w:rPr>
          <w:sz w:val="18"/>
        </w:rPr>
      </w:pPr>
      <w:r>
        <w:rPr>
          <w:color w:val="0B0B0B"/>
          <w:sz w:val="18"/>
        </w:rPr>
        <w:t>Asesorar, aconsejar, prestar servicios o participar en la realización o implementación de las prácticas anteriores.</w:t>
      </w:r>
    </w:p>
    <w:p>
      <w:pPr>
        <w:pStyle w:val="BodyText"/>
        <w:spacing w:before="4"/>
        <w:ind w:left="0"/>
        <w:jc w:val="left"/>
        <w:rPr>
          <w:sz w:val="6"/>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34"/>
      </w:tblGrid>
      <w:tr>
        <w:trPr>
          <w:trHeight w:val="292" w:hRule="atLeast"/>
        </w:trPr>
        <w:tc>
          <w:tcPr>
            <w:tcW w:w="2778" w:type="dxa"/>
            <w:shd w:val="clear" w:color="auto" w:fill="BDBDBD"/>
          </w:tcPr>
          <w:p>
            <w:pPr>
              <w:pStyle w:val="TableParagraph"/>
              <w:spacing w:before="22"/>
              <w:ind w:left="12"/>
              <w:jc w:val="center"/>
              <w:rPr>
                <w:rFonts w:ascii="Arial"/>
                <w:b/>
                <w:sz w:val="16"/>
              </w:rPr>
            </w:pPr>
            <w:r>
              <w:rPr>
                <w:rFonts w:ascii="Arial"/>
                <w:b/>
                <w:color w:val="0B0B0B"/>
                <w:spacing w:val="-2"/>
                <w:sz w:val="16"/>
              </w:rPr>
              <w:t>Origen</w:t>
            </w:r>
          </w:p>
        </w:tc>
        <w:tc>
          <w:tcPr>
            <w:tcW w:w="4134" w:type="dxa"/>
            <w:shd w:val="clear" w:color="auto" w:fill="BDBDBD"/>
          </w:tcPr>
          <w:p>
            <w:pPr>
              <w:pStyle w:val="TableParagraph"/>
              <w:spacing w:before="22"/>
              <w:ind w:left="132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07" w:hRule="atLeast"/>
        </w:trPr>
        <w:tc>
          <w:tcPr>
            <w:tcW w:w="2778" w:type="dxa"/>
          </w:tcPr>
          <w:p>
            <w:pPr>
              <w:pStyle w:val="TableParagraph"/>
              <w:tabs>
                <w:tab w:pos="1179" w:val="left" w:leader="none"/>
                <w:tab w:pos="2526" w:val="left" w:leader="none"/>
              </w:tabs>
              <w:spacing w:line="280" w:lineRule="auto" w:before="22"/>
              <w:ind w:right="56"/>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2015</w:t>
            </w:r>
          </w:p>
        </w:tc>
        <w:tc>
          <w:tcPr>
            <w:tcW w:w="4134" w:type="dxa"/>
          </w:tcPr>
          <w:p>
            <w:pPr>
              <w:pStyle w:val="TableParagraph"/>
              <w:spacing w:line="280" w:lineRule="auto" w:before="22"/>
              <w:rPr>
                <w:sz w:val="16"/>
              </w:rPr>
            </w:pPr>
            <w:r>
              <w:rPr>
                <w:color w:val="0B0B0B"/>
                <w:sz w:val="16"/>
              </w:rPr>
              <w:t>Publicada</w:t>
            </w:r>
            <w:r>
              <w:rPr>
                <w:color w:val="0B0B0B"/>
                <w:spacing w:val="25"/>
                <w:sz w:val="16"/>
              </w:rPr>
              <w:t> </w:t>
            </w:r>
            <w:r>
              <w:rPr>
                <w:color w:val="0B0B0B"/>
                <w:sz w:val="16"/>
              </w:rPr>
              <w:t>en</w:t>
            </w:r>
            <w:r>
              <w:rPr>
                <w:color w:val="0B0B0B"/>
                <w:spacing w:val="25"/>
                <w:sz w:val="16"/>
              </w:rPr>
              <w:t> </w:t>
            </w:r>
            <w:r>
              <w:rPr>
                <w:color w:val="0B0B0B"/>
                <w:sz w:val="16"/>
              </w:rPr>
              <w:t>el</w:t>
            </w:r>
            <w:r>
              <w:rPr>
                <w:color w:val="0B0B0B"/>
                <w:spacing w:val="25"/>
                <w:sz w:val="16"/>
              </w:rPr>
              <w:t> </w:t>
            </w:r>
            <w:r>
              <w:rPr>
                <w:color w:val="0B0B0B"/>
                <w:sz w:val="16"/>
              </w:rPr>
              <w:t>DOF</w:t>
            </w:r>
            <w:r>
              <w:rPr>
                <w:color w:val="0B0B0B"/>
                <w:spacing w:val="26"/>
                <w:sz w:val="16"/>
              </w:rPr>
              <w:t> </w:t>
            </w:r>
            <w:r>
              <w:rPr>
                <w:color w:val="0B0B0B"/>
                <w:sz w:val="16"/>
              </w:rPr>
              <w:t>el</w:t>
            </w:r>
            <w:r>
              <w:rPr>
                <w:color w:val="0B0B0B"/>
                <w:spacing w:val="25"/>
                <w:sz w:val="16"/>
              </w:rPr>
              <w:t> </w:t>
            </w:r>
            <w:r>
              <w:rPr>
                <w:color w:val="0B0B0B"/>
                <w:sz w:val="16"/>
              </w:rPr>
              <w:t>2</w:t>
            </w:r>
            <w:r>
              <w:rPr>
                <w:color w:val="0B0B0B"/>
                <w:spacing w:val="25"/>
                <w:sz w:val="16"/>
              </w:rPr>
              <w:t> </w:t>
            </w:r>
            <w:r>
              <w:rPr>
                <w:color w:val="0B0B0B"/>
                <w:sz w:val="16"/>
              </w:rPr>
              <w:t>de</w:t>
            </w:r>
            <w:r>
              <w:rPr>
                <w:color w:val="0B0B0B"/>
                <w:spacing w:val="25"/>
                <w:sz w:val="16"/>
              </w:rPr>
              <w:t> </w:t>
            </w:r>
            <w:r>
              <w:rPr>
                <w:color w:val="0B0B0B"/>
                <w:sz w:val="16"/>
              </w:rPr>
              <w:t>julio</w:t>
            </w:r>
            <w:r>
              <w:rPr>
                <w:color w:val="0B0B0B"/>
                <w:spacing w:val="25"/>
                <w:sz w:val="16"/>
              </w:rPr>
              <w:t> </w:t>
            </w:r>
            <w:r>
              <w:rPr>
                <w:color w:val="0B0B0B"/>
                <w:sz w:val="16"/>
              </w:rPr>
              <w:t>de</w:t>
            </w:r>
            <w:r>
              <w:rPr>
                <w:color w:val="0B0B0B"/>
                <w:spacing w:val="25"/>
                <w:sz w:val="16"/>
              </w:rPr>
              <w:t> </w:t>
            </w:r>
            <w:r>
              <w:rPr>
                <w:color w:val="0B0B0B"/>
                <w:sz w:val="16"/>
              </w:rPr>
              <w:t>2015,</w:t>
            </w:r>
            <w:r>
              <w:rPr>
                <w:color w:val="0B0B0B"/>
                <w:spacing w:val="25"/>
                <w:sz w:val="16"/>
              </w:rPr>
              <w:t> </w:t>
            </w:r>
            <w:r>
              <w:rPr>
                <w:color w:val="0B0B0B"/>
                <w:sz w:val="16"/>
              </w:rPr>
              <w:t>Anexo</w:t>
            </w:r>
            <w:r>
              <w:rPr>
                <w:color w:val="0B0B0B"/>
                <w:spacing w:val="25"/>
                <w:sz w:val="16"/>
              </w:rPr>
              <w:t> </w:t>
            </w:r>
            <w:r>
              <w:rPr>
                <w:color w:val="0B0B0B"/>
                <w:sz w:val="16"/>
              </w:rPr>
              <w:t>3, publicado en el DOF el 10 de julio de 2015.</w:t>
            </w:r>
          </w:p>
        </w:tc>
      </w:tr>
    </w:tbl>
    <w:p>
      <w:pPr>
        <w:pStyle w:val="TableParagraph"/>
        <w:spacing w:after="0" w:line="280" w:lineRule="auto"/>
        <w:rPr>
          <w:sz w:val="16"/>
        </w:rPr>
        <w:sectPr>
          <w:headerReference w:type="default" r:id="rId63"/>
          <w:pgSz w:w="12240" w:h="15840"/>
          <w:pgMar w:header="690" w:footer="0" w:top="1040" w:bottom="280" w:left="1440" w:right="1440"/>
        </w:sectPr>
      </w:pPr>
    </w:p>
    <w:p>
      <w:pPr>
        <w:pStyle w:val="Heading1"/>
        <w:spacing w:line="259" w:lineRule="auto" w:before="116"/>
        <w:ind w:right="254"/>
        <w:jc w:val="both"/>
      </w:pPr>
      <w:r>
        <w:rPr>
          <w:color w:val="0B0B0B"/>
        </w:rPr>
        <w:t>2/LISH/PI</w:t>
      </w:r>
      <w:r>
        <w:rPr>
          <w:color w:val="0B0B0B"/>
          <w:spacing w:val="40"/>
        </w:rPr>
        <w:t> </w:t>
      </w:r>
      <w:r>
        <w:rPr>
          <w:color w:val="0B0B0B"/>
        </w:rPr>
        <w:t>Establecimiento permanente para los efectos de la LISH. La exploración y extracción de hidrocarburos no son las únicas actividades por las que se puede </w:t>
      </w:r>
      <w:r>
        <w:rPr>
          <w:color w:val="0B0B0B"/>
          <w:spacing w:val="-2"/>
        </w:rPr>
        <w:t>constituir.</w:t>
      </w:r>
    </w:p>
    <w:p>
      <w:pPr>
        <w:pStyle w:val="BodyText"/>
        <w:spacing w:line="259" w:lineRule="auto" w:before="100"/>
        <w:ind w:right="257"/>
      </w:pPr>
      <w:r>
        <w:rPr>
          <w:color w:val="0B0B0B"/>
        </w:rPr>
        <w:t>El artículo 64, primer párrafo de la LISH establece que, los efectos de dicha ley, así como de la Ley del ISR se considera que se constituye establecimiento permanente cuando un residente en el extranjero realice las actividades a que se refiere la Ley de Hidrocarburos, en territorio nacional o en la zona económica exclusiva sobre la cual México tenga derecho, en un periodo que sume en conjunto más de 30 días en cualquier periodo de 12 meses.</w:t>
      </w:r>
    </w:p>
    <w:p>
      <w:pPr>
        <w:pStyle w:val="BodyText"/>
        <w:spacing w:line="259" w:lineRule="auto" w:before="98"/>
        <w:ind w:right="258"/>
      </w:pPr>
      <w:r>
        <w:rPr>
          <w:color w:val="0B0B0B"/>
        </w:rPr>
        <w:t>El artículo 2 de la Ley de Hidrocarburos indica que esa ley tiene por objeto regular las siguientes actividades en territorio nacional:</w:t>
      </w:r>
    </w:p>
    <w:p>
      <w:pPr>
        <w:pStyle w:val="ListParagraph"/>
        <w:numPr>
          <w:ilvl w:val="0"/>
          <w:numId w:val="68"/>
        </w:numPr>
        <w:tabs>
          <w:tab w:pos="2664" w:val="left" w:leader="none"/>
        </w:tabs>
        <w:spacing w:line="256" w:lineRule="auto" w:before="100" w:after="0"/>
        <w:ind w:left="2664" w:right="261" w:hanging="504"/>
        <w:jc w:val="both"/>
        <w:rPr>
          <w:sz w:val="18"/>
        </w:rPr>
      </w:pPr>
      <w:r>
        <w:rPr>
          <w:color w:val="0B0B0B"/>
          <w:sz w:val="18"/>
        </w:rPr>
        <w:t>El reconocimiento y exploración superficial, y la exploración y extracción de </w:t>
      </w:r>
      <w:r>
        <w:rPr>
          <w:color w:val="0B0B0B"/>
          <w:spacing w:val="-2"/>
          <w:sz w:val="18"/>
        </w:rPr>
        <w:t>hidrocarburos;</w:t>
      </w:r>
    </w:p>
    <w:p>
      <w:pPr>
        <w:pStyle w:val="ListParagraph"/>
        <w:numPr>
          <w:ilvl w:val="0"/>
          <w:numId w:val="68"/>
        </w:numPr>
        <w:tabs>
          <w:tab w:pos="2664" w:val="left" w:leader="none"/>
        </w:tabs>
        <w:spacing w:line="259" w:lineRule="auto" w:before="103" w:after="0"/>
        <w:ind w:left="2664" w:right="258" w:hanging="504"/>
        <w:jc w:val="both"/>
        <w:rPr>
          <w:sz w:val="18"/>
        </w:rPr>
      </w:pPr>
      <w:r>
        <w:rPr>
          <w:color w:val="0B0B0B"/>
          <w:sz w:val="18"/>
        </w:rPr>
        <w:t>El tratamiento, refinación, enajenación, comercialización, transporte y almacenamiento del petróleo;</w:t>
      </w:r>
    </w:p>
    <w:p>
      <w:pPr>
        <w:pStyle w:val="ListParagraph"/>
        <w:numPr>
          <w:ilvl w:val="0"/>
          <w:numId w:val="68"/>
        </w:numPr>
        <w:tabs>
          <w:tab w:pos="2661" w:val="left" w:leader="none"/>
          <w:tab w:pos="2663" w:val="left" w:leader="none"/>
        </w:tabs>
        <w:spacing w:line="259" w:lineRule="auto" w:before="100" w:after="0"/>
        <w:ind w:left="2663" w:right="258" w:hanging="504"/>
        <w:jc w:val="both"/>
        <w:rPr>
          <w:sz w:val="18"/>
        </w:rPr>
      </w:pPr>
      <w:r>
        <w:rPr>
          <w:color w:val="0B0B0B"/>
          <w:sz w:val="18"/>
        </w:rPr>
        <w:t>El</w:t>
      </w:r>
      <w:r>
        <w:rPr>
          <w:color w:val="0B0B0B"/>
          <w:spacing w:val="-2"/>
          <w:sz w:val="18"/>
        </w:rPr>
        <w:t> </w:t>
      </w:r>
      <w:r>
        <w:rPr>
          <w:color w:val="0B0B0B"/>
          <w:sz w:val="18"/>
        </w:rPr>
        <w:t>procesamiento,</w:t>
      </w:r>
      <w:r>
        <w:rPr>
          <w:color w:val="0B0B0B"/>
          <w:spacing w:val="-3"/>
          <w:sz w:val="18"/>
        </w:rPr>
        <w:t> </w:t>
      </w:r>
      <w:r>
        <w:rPr>
          <w:color w:val="0B0B0B"/>
          <w:sz w:val="18"/>
        </w:rPr>
        <w:t>compresión,</w:t>
      </w:r>
      <w:r>
        <w:rPr>
          <w:color w:val="0B0B0B"/>
          <w:spacing w:val="-2"/>
          <w:sz w:val="18"/>
        </w:rPr>
        <w:t> </w:t>
      </w:r>
      <w:r>
        <w:rPr>
          <w:color w:val="0B0B0B"/>
          <w:sz w:val="18"/>
        </w:rPr>
        <w:t>licuefacción,</w:t>
      </w:r>
      <w:r>
        <w:rPr>
          <w:color w:val="0B0B0B"/>
          <w:spacing w:val="-1"/>
          <w:sz w:val="18"/>
        </w:rPr>
        <w:t> </w:t>
      </w:r>
      <w:r>
        <w:rPr>
          <w:color w:val="0B0B0B"/>
          <w:sz w:val="18"/>
        </w:rPr>
        <w:t>descompresión</w:t>
      </w:r>
      <w:r>
        <w:rPr>
          <w:color w:val="0B0B0B"/>
          <w:spacing w:val="-1"/>
          <w:sz w:val="18"/>
        </w:rPr>
        <w:t> </w:t>
      </w:r>
      <w:r>
        <w:rPr>
          <w:color w:val="0B0B0B"/>
          <w:sz w:val="18"/>
        </w:rPr>
        <w:t>y</w:t>
      </w:r>
      <w:r>
        <w:rPr>
          <w:color w:val="0B0B0B"/>
          <w:spacing w:val="-4"/>
          <w:sz w:val="18"/>
        </w:rPr>
        <w:t> </w:t>
      </w:r>
      <w:r>
        <w:rPr>
          <w:color w:val="0B0B0B"/>
          <w:sz w:val="18"/>
        </w:rPr>
        <w:t>regasificación,</w:t>
      </w:r>
      <w:r>
        <w:rPr>
          <w:color w:val="0B0B0B"/>
          <w:spacing w:val="-2"/>
          <w:sz w:val="18"/>
        </w:rPr>
        <w:t> </w:t>
      </w:r>
      <w:r>
        <w:rPr>
          <w:color w:val="0B0B0B"/>
          <w:sz w:val="18"/>
        </w:rPr>
        <w:t>así como el transporte, almacenamiento, distribución, comercialización y expendio</w:t>
      </w:r>
      <w:r>
        <w:rPr>
          <w:color w:val="0B0B0B"/>
          <w:spacing w:val="40"/>
          <w:sz w:val="18"/>
        </w:rPr>
        <w:t> </w:t>
      </w:r>
      <w:r>
        <w:rPr>
          <w:color w:val="0B0B0B"/>
          <w:sz w:val="18"/>
        </w:rPr>
        <w:t>al público de gas natural;</w:t>
      </w:r>
    </w:p>
    <w:p>
      <w:pPr>
        <w:pStyle w:val="ListParagraph"/>
        <w:numPr>
          <w:ilvl w:val="0"/>
          <w:numId w:val="68"/>
        </w:numPr>
        <w:tabs>
          <w:tab w:pos="2663" w:val="left" w:leader="none"/>
        </w:tabs>
        <w:spacing w:line="259" w:lineRule="auto" w:before="100" w:after="0"/>
        <w:ind w:left="2663" w:right="259" w:hanging="504"/>
        <w:jc w:val="both"/>
        <w:rPr>
          <w:sz w:val="18"/>
        </w:rPr>
      </w:pPr>
      <w:r>
        <w:rPr>
          <w:color w:val="0B0B0B"/>
          <w:sz w:val="18"/>
        </w:rPr>
        <w:t>El transporte, almacenamiento, distribución, comercialización y expendio al público de petrolíferos, y</w:t>
      </w:r>
    </w:p>
    <w:p>
      <w:pPr>
        <w:pStyle w:val="ListParagraph"/>
        <w:numPr>
          <w:ilvl w:val="0"/>
          <w:numId w:val="68"/>
        </w:numPr>
        <w:tabs>
          <w:tab w:pos="2661" w:val="left" w:leader="none"/>
          <w:tab w:pos="2663" w:val="left" w:leader="none"/>
        </w:tabs>
        <w:spacing w:line="259" w:lineRule="auto" w:before="100" w:after="0"/>
        <w:ind w:left="2663" w:right="260" w:hanging="504"/>
        <w:jc w:val="both"/>
        <w:rPr>
          <w:sz w:val="18"/>
        </w:rPr>
      </w:pPr>
      <w:r>
        <w:rPr>
          <w:color w:val="0B0B0B"/>
          <w:sz w:val="18"/>
        </w:rPr>
        <w:t>El transporte por ducto y el almacenamiento que se encuentre</w:t>
      </w:r>
      <w:r>
        <w:rPr>
          <w:color w:val="0B0B0B"/>
          <w:sz w:val="18"/>
        </w:rPr>
        <w:t> vinculado a ductos, de petroquímicos.</w:t>
      </w:r>
    </w:p>
    <w:p>
      <w:pPr>
        <w:pStyle w:val="BodyText"/>
        <w:spacing w:line="259" w:lineRule="auto" w:before="100"/>
        <w:ind w:right="258"/>
      </w:pPr>
      <w:r>
        <w:rPr>
          <w:color w:val="0B0B0B"/>
        </w:rPr>
        <w:t>A diferencia del artículo 64, cuarto párrafo de la LISH que solo contempla a las actividades de los contratistas o asignatarios,</w:t>
      </w:r>
      <w:r>
        <w:rPr>
          <w:color w:val="0B0B0B"/>
        </w:rPr>
        <w:t> el primer párrafo de dicho artículo</w:t>
      </w:r>
      <w:r>
        <w:rPr>
          <w:color w:val="0B0B0B"/>
          <w:spacing w:val="40"/>
        </w:rPr>
        <w:t> </w:t>
      </w:r>
      <w:r>
        <w:rPr>
          <w:color w:val="0B0B0B"/>
        </w:rPr>
        <w:t>incluye todas las actividades a que se refiere la Ley de Hidrocarburos.</w:t>
      </w:r>
    </w:p>
    <w:p>
      <w:pPr>
        <w:pStyle w:val="BodyText"/>
        <w:spacing w:before="99"/>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69"/>
        </w:numPr>
        <w:tabs>
          <w:tab w:pos="2663" w:val="left" w:leader="none"/>
        </w:tabs>
        <w:spacing w:line="259" w:lineRule="auto" w:before="117" w:after="0"/>
        <w:ind w:left="2663" w:right="257" w:hanging="504"/>
        <w:jc w:val="both"/>
        <w:rPr>
          <w:sz w:val="18"/>
        </w:rPr>
      </w:pPr>
      <w:r>
        <w:rPr>
          <w:color w:val="0B0B0B"/>
          <w:sz w:val="18"/>
        </w:rPr>
        <w:t>Considerar que el artículo 64, primer párrafo de la LISH solo se refiere a las actividades de los contratistas o asignatarios previstas en la Ley de </w:t>
      </w:r>
      <w:r>
        <w:rPr>
          <w:color w:val="0B0B0B"/>
          <w:spacing w:val="-2"/>
          <w:sz w:val="18"/>
        </w:rPr>
        <w:t>Hidrocarburos.</w:t>
      </w:r>
    </w:p>
    <w:p>
      <w:pPr>
        <w:pStyle w:val="ListParagraph"/>
        <w:numPr>
          <w:ilvl w:val="0"/>
          <w:numId w:val="69"/>
        </w:numPr>
        <w:tabs>
          <w:tab w:pos="2663" w:val="left" w:leader="none"/>
        </w:tabs>
        <w:spacing w:line="259" w:lineRule="auto" w:before="99" w:after="0"/>
        <w:ind w:left="2663" w:right="256" w:hanging="504"/>
        <w:jc w:val="both"/>
        <w:rPr>
          <w:sz w:val="18"/>
        </w:rPr>
      </w:pPr>
      <w:r>
        <w:rPr>
          <w:color w:val="0B0B0B"/>
          <w:sz w:val="18"/>
        </w:rPr>
        <w:t>Asesorar, aconsejar, prestar servicios o participar en la realización o implementación de la práctica anterior.</w:t>
      </w:r>
    </w:p>
    <w:p>
      <w:pPr>
        <w:pStyle w:val="BodyText"/>
        <w:spacing w:before="0"/>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34"/>
      </w:tblGrid>
      <w:tr>
        <w:trPr>
          <w:trHeight w:val="323" w:hRule="atLeast"/>
        </w:trPr>
        <w:tc>
          <w:tcPr>
            <w:tcW w:w="2778" w:type="dxa"/>
            <w:shd w:val="clear" w:color="auto" w:fill="BDBDBD"/>
          </w:tcPr>
          <w:p>
            <w:pPr>
              <w:pStyle w:val="TableParagraph"/>
              <w:spacing w:before="27"/>
              <w:ind w:left="12" w:right="1"/>
              <w:jc w:val="center"/>
              <w:rPr>
                <w:rFonts w:ascii="Arial"/>
                <w:b/>
                <w:sz w:val="16"/>
              </w:rPr>
            </w:pPr>
            <w:r>
              <w:rPr>
                <w:rFonts w:ascii="Arial"/>
                <w:b/>
                <w:color w:val="0B0B0B"/>
                <w:spacing w:val="-2"/>
                <w:sz w:val="16"/>
              </w:rPr>
              <w:t>Origen</w:t>
            </w:r>
          </w:p>
        </w:tc>
        <w:tc>
          <w:tcPr>
            <w:tcW w:w="4134" w:type="dxa"/>
            <w:shd w:val="clear" w:color="auto" w:fill="BDBDBD"/>
          </w:tcPr>
          <w:p>
            <w:pPr>
              <w:pStyle w:val="TableParagraph"/>
              <w:spacing w:before="27"/>
              <w:ind w:left="132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35" w:hRule="atLeast"/>
        </w:trPr>
        <w:tc>
          <w:tcPr>
            <w:tcW w:w="2778" w:type="dxa"/>
            <w:tcBorders>
              <w:bottom w:val="nil"/>
            </w:tcBorders>
          </w:tcPr>
          <w:p>
            <w:pPr>
              <w:pStyle w:val="TableParagraph"/>
              <w:tabs>
                <w:tab w:pos="1144" w:val="left" w:leader="none"/>
                <w:tab w:pos="2526" w:val="left" w:leader="none"/>
              </w:tabs>
              <w:spacing w:before="28"/>
              <w:rPr>
                <w:sz w:val="16"/>
              </w:rPr>
            </w:pP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5"/>
                <w:sz w:val="16"/>
              </w:rPr>
              <w:t>de</w:t>
            </w:r>
          </w:p>
        </w:tc>
        <w:tc>
          <w:tcPr>
            <w:tcW w:w="4134" w:type="dxa"/>
            <w:tcBorders>
              <w:bottom w:val="nil"/>
            </w:tcBorders>
          </w:tcPr>
          <w:p>
            <w:pPr>
              <w:pStyle w:val="TableParagraph"/>
              <w:spacing w:before="28"/>
              <w:rPr>
                <w:sz w:val="16"/>
              </w:rPr>
            </w:pPr>
            <w:r>
              <w:rPr>
                <w:color w:val="0B0B0B"/>
                <w:sz w:val="16"/>
              </w:rPr>
              <w:t>Publicada</w:t>
            </w:r>
            <w:r>
              <w:rPr>
                <w:color w:val="0B0B0B"/>
                <w:spacing w:val="41"/>
                <w:sz w:val="16"/>
              </w:rPr>
              <w:t> </w:t>
            </w:r>
            <w:r>
              <w:rPr>
                <w:color w:val="0B0B0B"/>
                <w:sz w:val="16"/>
              </w:rPr>
              <w:t>en</w:t>
            </w:r>
            <w:r>
              <w:rPr>
                <w:color w:val="0B0B0B"/>
                <w:spacing w:val="41"/>
                <w:sz w:val="16"/>
              </w:rPr>
              <w:t> </w:t>
            </w:r>
            <w:r>
              <w:rPr>
                <w:color w:val="0B0B0B"/>
                <w:sz w:val="16"/>
              </w:rPr>
              <w:t>el</w:t>
            </w:r>
            <w:r>
              <w:rPr>
                <w:color w:val="0B0B0B"/>
                <w:spacing w:val="42"/>
                <w:sz w:val="16"/>
              </w:rPr>
              <w:t> </w:t>
            </w:r>
            <w:r>
              <w:rPr>
                <w:color w:val="0B0B0B"/>
                <w:sz w:val="16"/>
              </w:rPr>
              <w:t>DOF</w:t>
            </w:r>
            <w:r>
              <w:rPr>
                <w:color w:val="0B0B0B"/>
                <w:spacing w:val="41"/>
                <w:sz w:val="16"/>
              </w:rPr>
              <w:t> </w:t>
            </w:r>
            <w:r>
              <w:rPr>
                <w:color w:val="0B0B0B"/>
                <w:sz w:val="16"/>
              </w:rPr>
              <w:t>el</w:t>
            </w:r>
            <w:r>
              <w:rPr>
                <w:color w:val="0B0B0B"/>
                <w:spacing w:val="41"/>
                <w:sz w:val="16"/>
              </w:rPr>
              <w:t> </w:t>
            </w:r>
            <w:r>
              <w:rPr>
                <w:color w:val="0B0B0B"/>
                <w:sz w:val="16"/>
              </w:rPr>
              <w:t>29</w:t>
            </w:r>
            <w:r>
              <w:rPr>
                <w:color w:val="0B0B0B"/>
                <w:spacing w:val="42"/>
                <w:sz w:val="16"/>
              </w:rPr>
              <w:t> </w:t>
            </w:r>
            <w:r>
              <w:rPr>
                <w:color w:val="0B0B0B"/>
                <w:sz w:val="16"/>
              </w:rPr>
              <w:t>de</w:t>
            </w:r>
            <w:r>
              <w:rPr>
                <w:color w:val="0B0B0B"/>
                <w:spacing w:val="42"/>
                <w:sz w:val="16"/>
              </w:rPr>
              <w:t> </w:t>
            </w:r>
            <w:r>
              <w:rPr>
                <w:color w:val="0B0B0B"/>
                <w:sz w:val="16"/>
              </w:rPr>
              <w:t>septiembre</w:t>
            </w:r>
            <w:r>
              <w:rPr>
                <w:color w:val="0B0B0B"/>
                <w:spacing w:val="41"/>
                <w:sz w:val="16"/>
              </w:rPr>
              <w:t> </w:t>
            </w:r>
            <w:r>
              <w:rPr>
                <w:color w:val="0B0B0B"/>
                <w:sz w:val="16"/>
              </w:rPr>
              <w:t>de</w:t>
            </w:r>
            <w:r>
              <w:rPr>
                <w:color w:val="0B0B0B"/>
                <w:spacing w:val="41"/>
                <w:sz w:val="16"/>
              </w:rPr>
              <w:t> </w:t>
            </w:r>
            <w:r>
              <w:rPr>
                <w:color w:val="0B0B0B"/>
                <w:spacing w:val="-2"/>
                <w:sz w:val="16"/>
              </w:rPr>
              <w:t>2015,</w:t>
            </w:r>
          </w:p>
        </w:tc>
      </w:tr>
      <w:tr>
        <w:trPr>
          <w:trHeight w:val="222" w:hRule="atLeast"/>
        </w:trPr>
        <w:tc>
          <w:tcPr>
            <w:tcW w:w="2778" w:type="dxa"/>
            <w:tcBorders>
              <w:top w:val="nil"/>
              <w:bottom w:val="nil"/>
            </w:tcBorders>
          </w:tcPr>
          <w:p>
            <w:pPr>
              <w:pStyle w:val="TableParagraph"/>
              <w:spacing w:before="16"/>
              <w:rPr>
                <w:sz w:val="16"/>
              </w:rPr>
            </w:pPr>
            <w:r>
              <w:rPr>
                <w:color w:val="0B0B0B"/>
                <w:sz w:val="16"/>
              </w:rPr>
              <w:t>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2015</w:t>
            </w:r>
          </w:p>
        </w:tc>
        <w:tc>
          <w:tcPr>
            <w:tcW w:w="4134" w:type="dxa"/>
            <w:tcBorders>
              <w:top w:val="nil"/>
              <w:bottom w:val="nil"/>
            </w:tcBorders>
          </w:tcPr>
          <w:p>
            <w:pPr>
              <w:pStyle w:val="TableParagraph"/>
              <w:spacing w:before="16"/>
              <w:rPr>
                <w:sz w:val="16"/>
              </w:rPr>
            </w:pPr>
            <w:r>
              <w:rPr>
                <w:color w:val="0B0B0B"/>
                <w:sz w:val="16"/>
              </w:rPr>
              <w:t>Anexo</w:t>
            </w:r>
            <w:r>
              <w:rPr>
                <w:color w:val="0B0B0B"/>
                <w:spacing w:val="31"/>
                <w:sz w:val="16"/>
              </w:rPr>
              <w:t>  </w:t>
            </w:r>
            <w:r>
              <w:rPr>
                <w:color w:val="0B0B0B"/>
                <w:sz w:val="16"/>
              </w:rPr>
              <w:t>3,</w:t>
            </w:r>
            <w:r>
              <w:rPr>
                <w:color w:val="0B0B0B"/>
                <w:spacing w:val="32"/>
                <w:sz w:val="16"/>
              </w:rPr>
              <w:t>  </w:t>
            </w:r>
            <w:r>
              <w:rPr>
                <w:color w:val="0B0B0B"/>
                <w:sz w:val="16"/>
              </w:rPr>
              <w:t>publicado</w:t>
            </w:r>
            <w:r>
              <w:rPr>
                <w:color w:val="0B0B0B"/>
                <w:spacing w:val="32"/>
                <w:sz w:val="16"/>
              </w:rPr>
              <w:t>  </w:t>
            </w:r>
            <w:r>
              <w:rPr>
                <w:color w:val="0B0B0B"/>
                <w:sz w:val="16"/>
              </w:rPr>
              <w:t>en</w:t>
            </w:r>
            <w:r>
              <w:rPr>
                <w:color w:val="0B0B0B"/>
                <w:spacing w:val="32"/>
                <w:sz w:val="16"/>
              </w:rPr>
              <w:t>  </w:t>
            </w:r>
            <w:r>
              <w:rPr>
                <w:color w:val="0B0B0B"/>
                <w:sz w:val="16"/>
              </w:rPr>
              <w:t>la</w:t>
            </w:r>
            <w:r>
              <w:rPr>
                <w:color w:val="0B0B0B"/>
                <w:spacing w:val="32"/>
                <w:sz w:val="16"/>
              </w:rPr>
              <w:t>  </w:t>
            </w:r>
            <w:r>
              <w:rPr>
                <w:color w:val="0B0B0B"/>
                <w:sz w:val="16"/>
              </w:rPr>
              <w:t>misma</w:t>
            </w:r>
            <w:r>
              <w:rPr>
                <w:color w:val="0B0B0B"/>
                <w:spacing w:val="32"/>
                <w:sz w:val="16"/>
              </w:rPr>
              <w:t>  </w:t>
            </w:r>
            <w:r>
              <w:rPr>
                <w:color w:val="0B0B0B"/>
                <w:sz w:val="16"/>
              </w:rPr>
              <w:t>fecha</w:t>
            </w:r>
            <w:r>
              <w:rPr>
                <w:color w:val="0B0B0B"/>
                <w:spacing w:val="31"/>
                <w:sz w:val="16"/>
              </w:rPr>
              <w:t>  </w:t>
            </w:r>
            <w:r>
              <w:rPr>
                <w:color w:val="0B0B0B"/>
                <w:sz w:val="16"/>
              </w:rPr>
              <w:t>de</w:t>
            </w:r>
            <w:r>
              <w:rPr>
                <w:color w:val="0B0B0B"/>
                <w:spacing w:val="32"/>
                <w:sz w:val="16"/>
              </w:rPr>
              <w:t>  </w:t>
            </w:r>
            <w:r>
              <w:rPr>
                <w:color w:val="0B0B0B"/>
                <w:spacing w:val="-5"/>
                <w:sz w:val="16"/>
              </w:rPr>
              <w:t>la</w:t>
            </w:r>
          </w:p>
        </w:tc>
      </w:tr>
      <w:tr>
        <w:trPr>
          <w:trHeight w:val="311" w:hRule="atLeast"/>
        </w:trPr>
        <w:tc>
          <w:tcPr>
            <w:tcW w:w="2778" w:type="dxa"/>
            <w:tcBorders>
              <w:top w:val="nil"/>
            </w:tcBorders>
          </w:tcPr>
          <w:p>
            <w:pPr>
              <w:pStyle w:val="TableParagraph"/>
              <w:spacing w:before="0"/>
              <w:ind w:left="0"/>
              <w:rPr>
                <w:rFonts w:ascii="Times New Roman"/>
                <w:sz w:val="16"/>
              </w:rPr>
            </w:pPr>
          </w:p>
        </w:tc>
        <w:tc>
          <w:tcPr>
            <w:tcW w:w="4134" w:type="dxa"/>
            <w:tcBorders>
              <w:top w:val="nil"/>
            </w:tcBorders>
          </w:tcPr>
          <w:p>
            <w:pPr>
              <w:pStyle w:val="TableParagraph"/>
              <w:spacing w:before="15"/>
              <w:rPr>
                <w:sz w:val="16"/>
              </w:rPr>
            </w:pPr>
            <w:r>
              <w:rPr>
                <w:color w:val="0B0B0B"/>
                <w:spacing w:val="-2"/>
                <w:sz w:val="16"/>
              </w:rPr>
              <w:t>Modificación.</w:t>
            </w:r>
          </w:p>
        </w:tc>
      </w:tr>
    </w:tbl>
    <w:p>
      <w:pPr>
        <w:pStyle w:val="BodyText"/>
        <w:spacing w:before="128"/>
        <w:ind w:left="0"/>
        <w:jc w:val="left"/>
      </w:pPr>
    </w:p>
    <w:p>
      <w:pPr>
        <w:pStyle w:val="Heading1"/>
        <w:numPr>
          <w:ilvl w:val="0"/>
          <w:numId w:val="50"/>
        </w:numPr>
        <w:tabs>
          <w:tab w:pos="1123" w:val="left" w:leader="none"/>
        </w:tabs>
        <w:spacing w:line="240" w:lineRule="auto" w:before="0" w:after="0"/>
        <w:ind w:left="1123" w:right="0" w:hanging="432"/>
        <w:jc w:val="left"/>
      </w:pPr>
      <w:r>
        <w:rPr>
          <w:color w:val="0B0B0B"/>
        </w:rPr>
        <w:t>Criterios</w:t>
      </w:r>
      <w:r>
        <w:rPr>
          <w:color w:val="0B0B0B"/>
          <w:spacing w:val="-4"/>
        </w:rPr>
        <w:t> </w:t>
      </w:r>
      <w:r>
        <w:rPr>
          <w:color w:val="0B0B0B"/>
        </w:rPr>
        <w:t>de</w:t>
      </w:r>
      <w:r>
        <w:rPr>
          <w:color w:val="0B0B0B"/>
          <w:spacing w:val="-3"/>
        </w:rPr>
        <w:t> </w:t>
      </w:r>
      <w:r>
        <w:rPr>
          <w:color w:val="0B0B0B"/>
        </w:rPr>
        <w:t>la</w:t>
      </w:r>
      <w:r>
        <w:rPr>
          <w:color w:val="0B0B0B"/>
          <w:spacing w:val="-3"/>
        </w:rPr>
        <w:t> </w:t>
      </w:r>
      <w:r>
        <w:rPr>
          <w:color w:val="0B0B0B"/>
          <w:spacing w:val="-5"/>
        </w:rPr>
        <w:t>LIF</w:t>
      </w:r>
    </w:p>
    <w:p>
      <w:pPr>
        <w:spacing w:line="259" w:lineRule="auto" w:before="117"/>
        <w:ind w:left="2145" w:right="255" w:hanging="1008"/>
        <w:jc w:val="both"/>
        <w:rPr>
          <w:rFonts w:ascii="Arial" w:hAnsi="Arial"/>
          <w:b/>
          <w:sz w:val="18"/>
        </w:rPr>
      </w:pPr>
      <w:r>
        <w:rPr>
          <w:rFonts w:ascii="Arial" w:hAnsi="Arial"/>
          <w:b/>
          <w:color w:val="0B0B0B"/>
          <w:sz w:val="18"/>
        </w:rPr>
        <w:t>1/LIF/PI</w:t>
      </w:r>
      <w:r>
        <w:rPr>
          <w:rFonts w:ascii="Arial" w:hAnsi="Arial"/>
          <w:b/>
          <w:color w:val="0B0B0B"/>
          <w:spacing w:val="80"/>
          <w:w w:val="150"/>
          <w:sz w:val="18"/>
        </w:rPr>
        <w:t>  </w:t>
      </w:r>
      <w:r>
        <w:rPr>
          <w:rFonts w:ascii="Arial" w:hAnsi="Arial"/>
          <w:b/>
          <w:color w:val="0B0B0B"/>
          <w:sz w:val="18"/>
        </w:rPr>
        <w:t>Estímulo fiscal a los contribuyentes que importen o adquieran diésel o biodiésel</w:t>
      </w:r>
      <w:r>
        <w:rPr>
          <w:rFonts w:ascii="Arial" w:hAnsi="Arial"/>
          <w:b/>
          <w:color w:val="0B0B0B"/>
          <w:spacing w:val="40"/>
          <w:sz w:val="18"/>
        </w:rPr>
        <w:t> </w:t>
      </w:r>
      <w:r>
        <w:rPr>
          <w:rFonts w:ascii="Arial" w:hAnsi="Arial"/>
          <w:b/>
          <w:color w:val="0B0B0B"/>
          <w:sz w:val="18"/>
        </w:rPr>
        <w:t>y</w:t>
      </w:r>
      <w:r>
        <w:rPr>
          <w:rFonts w:ascii="Arial" w:hAnsi="Arial"/>
          <w:b/>
          <w:color w:val="0B0B0B"/>
          <w:spacing w:val="-1"/>
          <w:sz w:val="18"/>
        </w:rPr>
        <w:t> </w:t>
      </w:r>
      <w:r>
        <w:rPr>
          <w:rFonts w:ascii="Arial" w:hAnsi="Arial"/>
          <w:b/>
          <w:color w:val="0B0B0B"/>
          <w:sz w:val="18"/>
        </w:rPr>
        <w:t>sus mezclas para</w:t>
      </w:r>
      <w:r>
        <w:rPr>
          <w:rFonts w:ascii="Arial" w:hAnsi="Arial"/>
          <w:b/>
          <w:color w:val="0B0B0B"/>
          <w:spacing w:val="-1"/>
          <w:sz w:val="18"/>
        </w:rPr>
        <w:t> </w:t>
      </w:r>
      <w:r>
        <w:rPr>
          <w:rFonts w:ascii="Arial" w:hAnsi="Arial"/>
          <w:b/>
          <w:color w:val="0B0B0B"/>
          <w:sz w:val="18"/>
        </w:rPr>
        <w:t>uso automotriz</w:t>
      </w:r>
      <w:r>
        <w:rPr>
          <w:rFonts w:ascii="Arial" w:hAnsi="Arial"/>
          <w:b/>
          <w:color w:val="0B0B0B"/>
          <w:spacing w:val="-1"/>
          <w:sz w:val="18"/>
        </w:rPr>
        <w:t> </w:t>
      </w:r>
      <w:r>
        <w:rPr>
          <w:rFonts w:ascii="Arial" w:hAnsi="Arial"/>
          <w:b/>
          <w:color w:val="0B0B0B"/>
          <w:sz w:val="18"/>
        </w:rPr>
        <w:t>en vehículos</w:t>
      </w:r>
      <w:r>
        <w:rPr>
          <w:rFonts w:ascii="Arial" w:hAnsi="Arial"/>
          <w:b/>
          <w:color w:val="0B0B0B"/>
          <w:spacing w:val="-1"/>
          <w:sz w:val="18"/>
        </w:rPr>
        <w:t> </w:t>
      </w:r>
      <w:r>
        <w:rPr>
          <w:rFonts w:ascii="Arial" w:hAnsi="Arial"/>
          <w:b/>
          <w:color w:val="0B0B0B"/>
          <w:sz w:val="18"/>
        </w:rPr>
        <w:t>que</w:t>
      </w:r>
      <w:r>
        <w:rPr>
          <w:rFonts w:ascii="Arial" w:hAnsi="Arial"/>
          <w:b/>
          <w:color w:val="0B0B0B"/>
          <w:spacing w:val="-1"/>
          <w:sz w:val="18"/>
        </w:rPr>
        <w:t> </w:t>
      </w:r>
      <w:r>
        <w:rPr>
          <w:rFonts w:ascii="Arial" w:hAnsi="Arial"/>
          <w:b/>
          <w:color w:val="0B0B0B"/>
          <w:sz w:val="18"/>
        </w:rPr>
        <w:t>se</w:t>
      </w:r>
      <w:r>
        <w:rPr>
          <w:rFonts w:ascii="Arial" w:hAnsi="Arial"/>
          <w:b/>
          <w:color w:val="0B0B0B"/>
          <w:spacing w:val="-1"/>
          <w:sz w:val="18"/>
        </w:rPr>
        <w:t> </w:t>
      </w:r>
      <w:r>
        <w:rPr>
          <w:rFonts w:ascii="Arial" w:hAnsi="Arial"/>
          <w:b/>
          <w:color w:val="0B0B0B"/>
          <w:sz w:val="18"/>
        </w:rPr>
        <w:t>destinen</w:t>
      </w:r>
      <w:r>
        <w:rPr>
          <w:rFonts w:ascii="Arial" w:hAnsi="Arial"/>
          <w:b/>
          <w:color w:val="0B0B0B"/>
          <w:spacing w:val="-1"/>
          <w:sz w:val="18"/>
        </w:rPr>
        <w:t> </w:t>
      </w:r>
      <w:r>
        <w:rPr>
          <w:rFonts w:ascii="Arial" w:hAnsi="Arial"/>
          <w:b/>
          <w:color w:val="0B0B0B"/>
          <w:sz w:val="18"/>
        </w:rPr>
        <w:t>exclusivamente al transporte. Su monto debe determinarse considerando el IEPS que efectivamente se haya causado.</w:t>
      </w:r>
    </w:p>
    <w:p>
      <w:pPr>
        <w:pStyle w:val="BodyText"/>
        <w:spacing w:line="259" w:lineRule="auto" w:before="99"/>
        <w:ind w:right="256"/>
      </w:pPr>
      <w:r>
        <w:rPr>
          <w:color w:val="0B0B0B"/>
        </w:rPr>
        <w:t>El artículo 20, apartado A, fracción IV, primer párrafo de la LIF otorga un estímulo</w:t>
      </w:r>
      <w:r>
        <w:rPr>
          <w:color w:val="0B0B0B"/>
          <w:spacing w:val="40"/>
        </w:rPr>
        <w:t> </w:t>
      </w:r>
      <w:r>
        <w:rPr>
          <w:color w:val="0B0B0B"/>
        </w:rPr>
        <w:t>fiscal a los contribuyentes que importen o adquieran diésel o biodiésel y sus mezclas para su consumo final y que sea para uso automotriz en vehículos que se destinen exclusivamente al transporte público y privado, de personas o de carga, así como el turístico, consistente</w:t>
      </w:r>
      <w:r>
        <w:rPr>
          <w:color w:val="0B0B0B"/>
        </w:rPr>
        <w:t> en permitir el acreditamiento de un monto equivalente al IEPS</w:t>
      </w:r>
      <w:r>
        <w:rPr>
          <w:color w:val="0B0B0B"/>
          <w:spacing w:val="40"/>
        </w:rPr>
        <w:t> </w:t>
      </w:r>
      <w:r>
        <w:rPr>
          <w:color w:val="0B0B0B"/>
        </w:rPr>
        <w:t>que las personas que enajenen diésel o biodiésel y sus mezclas en territorio nacional hayan causado por la enajenación de estos combustibles en términos del artículo 2o., fracción I, inciso D), numeral 1, subinciso c) o el numeral 2 de la Ley del IEPS, según corresponda al tipo de combustible, con los ajustes que en su caso correspondan, así como el acreditamiento del impuesto a que se refieren los numerales citados, que hayan pagado en su importación.</w:t>
      </w:r>
    </w:p>
    <w:p>
      <w:pPr>
        <w:pStyle w:val="BodyText"/>
        <w:spacing w:after="0" w:line="259" w:lineRule="auto"/>
        <w:sectPr>
          <w:headerReference w:type="default" r:id="rId64"/>
          <w:pgSz w:w="12240" w:h="15840"/>
          <w:pgMar w:header="690" w:footer="0" w:top="1040" w:bottom="280" w:left="1440" w:right="1440"/>
        </w:sectPr>
      </w:pPr>
    </w:p>
    <w:p>
      <w:pPr>
        <w:pStyle w:val="BodyText"/>
        <w:spacing w:line="264" w:lineRule="auto" w:before="120"/>
        <w:ind w:right="256"/>
      </w:pPr>
      <w:r>
        <w:rPr>
          <w:color w:val="0B0B0B"/>
        </w:rPr>
        <w:t>El artículo Único del “Decreto por</w:t>
      </w:r>
      <w:r>
        <w:rPr>
          <w:color w:val="0B0B0B"/>
        </w:rPr>
        <w:t> el que se modifica el diverso por</w:t>
      </w:r>
      <w:r>
        <w:rPr>
          <w:color w:val="0B0B0B"/>
        </w:rPr>
        <w:t> el que se</w:t>
      </w:r>
      <w:r>
        <w:rPr>
          <w:color w:val="0B0B0B"/>
          <w:spacing w:val="40"/>
        </w:rPr>
        <w:t> </w:t>
      </w:r>
      <w:r>
        <w:rPr>
          <w:color w:val="0B0B0B"/>
        </w:rPr>
        <w:t>establecen estímulos fiscales en materia del IEPS aplicables a los combustibles que</w:t>
      </w:r>
      <w:r>
        <w:rPr>
          <w:color w:val="0B0B0B"/>
          <w:spacing w:val="40"/>
        </w:rPr>
        <w:t> </w:t>
      </w:r>
      <w:r>
        <w:rPr>
          <w:color w:val="0B0B0B"/>
        </w:rPr>
        <w:t>se indican, publicado el 27 de diciembre de 2016”, publicado en el DOF el 28 de diciembre de 2018, señala que se otorga un estímulo fiscal durante los ejercicios fiscales</w:t>
      </w:r>
      <w:r>
        <w:rPr>
          <w:color w:val="0B0B0B"/>
          <w:spacing w:val="-3"/>
        </w:rPr>
        <w:t> </w:t>
      </w:r>
      <w:r>
        <w:rPr>
          <w:color w:val="0B0B0B"/>
        </w:rPr>
        <w:t>de</w:t>
      </w:r>
      <w:r>
        <w:rPr>
          <w:color w:val="0B0B0B"/>
          <w:spacing w:val="-4"/>
        </w:rPr>
        <w:t> </w:t>
      </w:r>
      <w:r>
        <w:rPr>
          <w:color w:val="0B0B0B"/>
        </w:rPr>
        <w:t>2018</w:t>
      </w:r>
      <w:r>
        <w:rPr>
          <w:color w:val="0B0B0B"/>
          <w:spacing w:val="-2"/>
        </w:rPr>
        <w:t> </w:t>
      </w:r>
      <w:r>
        <w:rPr>
          <w:color w:val="0B0B0B"/>
        </w:rPr>
        <w:t>y</w:t>
      </w:r>
      <w:r>
        <w:rPr>
          <w:color w:val="0B0B0B"/>
          <w:spacing w:val="-5"/>
        </w:rPr>
        <w:t> </w:t>
      </w:r>
      <w:r>
        <w:rPr>
          <w:color w:val="0B0B0B"/>
        </w:rPr>
        <w:t>2019</w:t>
      </w:r>
      <w:r>
        <w:rPr>
          <w:color w:val="0B0B0B"/>
          <w:spacing w:val="-4"/>
        </w:rPr>
        <w:t> </w:t>
      </w:r>
      <w:r>
        <w:rPr>
          <w:color w:val="0B0B0B"/>
        </w:rPr>
        <w:t>a</w:t>
      </w:r>
      <w:r>
        <w:rPr>
          <w:color w:val="0B0B0B"/>
          <w:spacing w:val="-3"/>
        </w:rPr>
        <w:t> </w:t>
      </w:r>
      <w:r>
        <w:rPr>
          <w:color w:val="0B0B0B"/>
        </w:rPr>
        <w:t>los</w:t>
      </w:r>
      <w:r>
        <w:rPr>
          <w:color w:val="0B0B0B"/>
          <w:spacing w:val="-2"/>
        </w:rPr>
        <w:t> </w:t>
      </w:r>
      <w:r>
        <w:rPr>
          <w:color w:val="0B0B0B"/>
        </w:rPr>
        <w:t>contribuyentes</w:t>
      </w:r>
      <w:r>
        <w:rPr>
          <w:color w:val="0B0B0B"/>
          <w:spacing w:val="-3"/>
        </w:rPr>
        <w:t> </w:t>
      </w:r>
      <w:r>
        <w:rPr>
          <w:color w:val="0B0B0B"/>
        </w:rPr>
        <w:t>que</w:t>
      </w:r>
      <w:r>
        <w:rPr>
          <w:color w:val="0B0B0B"/>
          <w:spacing w:val="-3"/>
        </w:rPr>
        <w:t> </w:t>
      </w:r>
      <w:r>
        <w:rPr>
          <w:color w:val="0B0B0B"/>
        </w:rPr>
        <w:t>importen</w:t>
      </w:r>
      <w:r>
        <w:rPr>
          <w:color w:val="0B0B0B"/>
          <w:spacing w:val="-2"/>
        </w:rPr>
        <w:t> </w:t>
      </w:r>
      <w:r>
        <w:rPr>
          <w:color w:val="0B0B0B"/>
        </w:rPr>
        <w:t>y</w:t>
      </w:r>
      <w:r>
        <w:rPr>
          <w:color w:val="0B0B0B"/>
          <w:spacing w:val="-3"/>
        </w:rPr>
        <w:t> </w:t>
      </w:r>
      <w:r>
        <w:rPr>
          <w:color w:val="0B0B0B"/>
        </w:rPr>
        <w:t>enajenen</w:t>
      </w:r>
      <w:r>
        <w:rPr>
          <w:color w:val="0B0B0B"/>
          <w:spacing w:val="-3"/>
        </w:rPr>
        <w:t> </w:t>
      </w:r>
      <w:r>
        <w:rPr>
          <w:color w:val="0B0B0B"/>
        </w:rPr>
        <w:t>gasolinas,</w:t>
      </w:r>
      <w:r>
        <w:rPr>
          <w:color w:val="0B0B0B"/>
          <w:spacing w:val="-3"/>
        </w:rPr>
        <w:t> </w:t>
      </w:r>
      <w:r>
        <w:rPr>
          <w:color w:val="0B0B0B"/>
        </w:rPr>
        <w:t>diésel y combustibles no fósiles a que se refiere el artículo 2o., fracción I, inciso D), numerales 1 y 2 de la Ley del IEPS, consistente en una cantidad equivalente a un porcentaje de las cuotas aplicables a dichos combustibles y que el estímulo fiscal se aplicará en forma directa</w:t>
      </w:r>
      <w:r>
        <w:rPr>
          <w:color w:val="0B0B0B"/>
        </w:rPr>
        <w:t> sobre las cuotas que correspondan, a efecto de disminuir estas últimas.</w:t>
      </w:r>
    </w:p>
    <w:p>
      <w:pPr>
        <w:pStyle w:val="BodyText"/>
        <w:spacing w:line="264" w:lineRule="auto" w:before="104"/>
        <w:ind w:right="256"/>
      </w:pPr>
      <w:r>
        <w:rPr>
          <w:color w:val="0B0B0B"/>
        </w:rPr>
        <w:t>La</w:t>
      </w:r>
      <w:r>
        <w:rPr>
          <w:color w:val="0B0B0B"/>
          <w:spacing w:val="-2"/>
        </w:rPr>
        <w:t> </w:t>
      </w:r>
      <w:r>
        <w:rPr>
          <w:color w:val="0B0B0B"/>
        </w:rPr>
        <w:t>aplicación</w:t>
      </w:r>
      <w:r>
        <w:rPr>
          <w:color w:val="0B0B0B"/>
          <w:spacing w:val="-3"/>
        </w:rPr>
        <w:t> </w:t>
      </w:r>
      <w:r>
        <w:rPr>
          <w:color w:val="0B0B0B"/>
        </w:rPr>
        <w:t>del</w:t>
      </w:r>
      <w:r>
        <w:rPr>
          <w:color w:val="0B0B0B"/>
          <w:spacing w:val="-2"/>
        </w:rPr>
        <w:t> </w:t>
      </w:r>
      <w:r>
        <w:rPr>
          <w:color w:val="0B0B0B"/>
        </w:rPr>
        <w:t>artículo</w:t>
      </w:r>
      <w:r>
        <w:rPr>
          <w:color w:val="0B0B0B"/>
          <w:spacing w:val="-2"/>
        </w:rPr>
        <w:t> </w:t>
      </w:r>
      <w:r>
        <w:rPr>
          <w:color w:val="0B0B0B"/>
        </w:rPr>
        <w:t>20,</w:t>
      </w:r>
      <w:r>
        <w:rPr>
          <w:color w:val="0B0B0B"/>
          <w:spacing w:val="-2"/>
        </w:rPr>
        <w:t> </w:t>
      </w:r>
      <w:r>
        <w:rPr>
          <w:color w:val="0B0B0B"/>
        </w:rPr>
        <w:t>apartado</w:t>
      </w:r>
      <w:r>
        <w:rPr>
          <w:color w:val="0B0B0B"/>
          <w:spacing w:val="-3"/>
        </w:rPr>
        <w:t> </w:t>
      </w:r>
      <w:r>
        <w:rPr>
          <w:color w:val="0B0B0B"/>
        </w:rPr>
        <w:t>A,</w:t>
      </w:r>
      <w:r>
        <w:rPr>
          <w:color w:val="0B0B0B"/>
          <w:spacing w:val="-3"/>
        </w:rPr>
        <w:t> </w:t>
      </w:r>
      <w:r>
        <w:rPr>
          <w:color w:val="0B0B0B"/>
        </w:rPr>
        <w:t>fracción</w:t>
      </w:r>
      <w:r>
        <w:rPr>
          <w:color w:val="0B0B0B"/>
          <w:spacing w:val="-3"/>
        </w:rPr>
        <w:t> </w:t>
      </w:r>
      <w:r>
        <w:rPr>
          <w:color w:val="0B0B0B"/>
        </w:rPr>
        <w:t>IV,</w:t>
      </w:r>
      <w:r>
        <w:rPr>
          <w:color w:val="0B0B0B"/>
          <w:spacing w:val="-3"/>
        </w:rPr>
        <w:t> </w:t>
      </w:r>
      <w:r>
        <w:rPr>
          <w:color w:val="0B0B0B"/>
        </w:rPr>
        <w:t>primer</w:t>
      </w:r>
      <w:r>
        <w:rPr>
          <w:color w:val="0B0B0B"/>
          <w:spacing w:val="-3"/>
        </w:rPr>
        <w:t> </w:t>
      </w:r>
      <w:r>
        <w:rPr>
          <w:color w:val="0B0B0B"/>
        </w:rPr>
        <w:t>párrafo</w:t>
      </w:r>
      <w:r>
        <w:rPr>
          <w:color w:val="0B0B0B"/>
          <w:spacing w:val="-3"/>
        </w:rPr>
        <w:t> </w:t>
      </w:r>
      <w:r>
        <w:rPr>
          <w:color w:val="0B0B0B"/>
        </w:rPr>
        <w:t>de</w:t>
      </w:r>
      <w:r>
        <w:rPr>
          <w:color w:val="0B0B0B"/>
          <w:spacing w:val="-3"/>
        </w:rPr>
        <w:t> </w:t>
      </w:r>
      <w:r>
        <w:rPr>
          <w:color w:val="0B0B0B"/>
        </w:rPr>
        <w:t>la</w:t>
      </w:r>
      <w:r>
        <w:rPr>
          <w:color w:val="0B0B0B"/>
          <w:spacing w:val="-2"/>
        </w:rPr>
        <w:t> </w:t>
      </w:r>
      <w:r>
        <w:rPr>
          <w:color w:val="0B0B0B"/>
        </w:rPr>
        <w:t>LIF</w:t>
      </w:r>
      <w:r>
        <w:rPr>
          <w:color w:val="0B0B0B"/>
          <w:spacing w:val="-3"/>
        </w:rPr>
        <w:t> </w:t>
      </w:r>
      <w:r>
        <w:rPr>
          <w:color w:val="0B0B0B"/>
        </w:rPr>
        <w:t>implica</w:t>
      </w:r>
      <w:r>
        <w:rPr>
          <w:color w:val="0B0B0B"/>
          <w:spacing w:val="-2"/>
        </w:rPr>
        <w:t> </w:t>
      </w:r>
      <w:r>
        <w:rPr>
          <w:color w:val="0B0B0B"/>
        </w:rPr>
        <w:t>la determinación de un monto equivalente al IEPS que las personas que enajenen diésel o biodiésel y sus mezclas en territorio nacional hayan causado por la enajenación de estos</w:t>
      </w:r>
      <w:r>
        <w:rPr>
          <w:color w:val="0B0B0B"/>
        </w:rPr>
        <w:t> combustibles en los términos del artículo 2o., fracción I, inciso D), numeral 1, subinciso c) o el numeral 2 de la Ley del IEPS.</w:t>
      </w:r>
    </w:p>
    <w:p>
      <w:pPr>
        <w:pStyle w:val="BodyText"/>
        <w:spacing w:line="264" w:lineRule="auto" w:before="102"/>
        <w:ind w:right="257"/>
      </w:pPr>
      <w:r>
        <w:rPr>
          <w:color w:val="0B0B0B"/>
        </w:rPr>
        <w:t>En ese sentido, si los contribuyentes que enajenaron en territorio nacional diésel o biodiesel y sus mezclas, causaron el IEPS de conformidad con el artículo Único del “Decreto por el que se modifica el diverso por el que se establecen estímulos fiscales en materia del impuesto</w:t>
      </w:r>
      <w:r>
        <w:rPr>
          <w:color w:val="0B0B0B"/>
        </w:rPr>
        <w:t> especial sobre producción y servicios aplicables a los combustibles que se indican, publicado el 27 de diciembre de 2016”, publicado en el DOF</w:t>
      </w:r>
      <w:r>
        <w:rPr>
          <w:color w:val="0B0B0B"/>
          <w:spacing w:val="-2"/>
        </w:rPr>
        <w:t> </w:t>
      </w:r>
      <w:r>
        <w:rPr>
          <w:color w:val="0B0B0B"/>
        </w:rPr>
        <w:t>el</w:t>
      </w:r>
      <w:r>
        <w:rPr>
          <w:color w:val="0B0B0B"/>
          <w:spacing w:val="-2"/>
        </w:rPr>
        <w:t> </w:t>
      </w:r>
      <w:r>
        <w:rPr>
          <w:color w:val="0B0B0B"/>
        </w:rPr>
        <w:t>28</w:t>
      </w:r>
      <w:r>
        <w:rPr>
          <w:color w:val="0B0B0B"/>
          <w:spacing w:val="-1"/>
        </w:rPr>
        <w:t> </w:t>
      </w:r>
      <w:r>
        <w:rPr>
          <w:color w:val="0B0B0B"/>
        </w:rPr>
        <w:t>de</w:t>
      </w:r>
      <w:r>
        <w:rPr>
          <w:color w:val="0B0B0B"/>
          <w:spacing w:val="-2"/>
        </w:rPr>
        <w:t> </w:t>
      </w:r>
      <w:r>
        <w:rPr>
          <w:color w:val="0B0B0B"/>
        </w:rPr>
        <w:t>diciembre</w:t>
      </w:r>
      <w:r>
        <w:rPr>
          <w:color w:val="0B0B0B"/>
          <w:spacing w:val="-2"/>
        </w:rPr>
        <w:t> </w:t>
      </w:r>
      <w:r>
        <w:rPr>
          <w:color w:val="0B0B0B"/>
        </w:rPr>
        <w:t>de</w:t>
      </w:r>
      <w:r>
        <w:rPr>
          <w:color w:val="0B0B0B"/>
          <w:spacing w:val="-2"/>
        </w:rPr>
        <w:t> </w:t>
      </w:r>
      <w:r>
        <w:rPr>
          <w:color w:val="0B0B0B"/>
        </w:rPr>
        <w:t>2018,</w:t>
      </w:r>
      <w:r>
        <w:rPr>
          <w:color w:val="0B0B0B"/>
          <w:spacing w:val="-2"/>
        </w:rPr>
        <w:t> </w:t>
      </w:r>
      <w:r>
        <w:rPr>
          <w:color w:val="0B0B0B"/>
        </w:rPr>
        <w:t>es</w:t>
      </w:r>
      <w:r>
        <w:rPr>
          <w:color w:val="0B0B0B"/>
          <w:spacing w:val="-2"/>
        </w:rPr>
        <w:t> </w:t>
      </w:r>
      <w:r>
        <w:rPr>
          <w:color w:val="0B0B0B"/>
        </w:rPr>
        <w:t>decir, aplicando</w:t>
      </w:r>
      <w:r>
        <w:rPr>
          <w:color w:val="0B0B0B"/>
          <w:spacing w:val="-2"/>
        </w:rPr>
        <w:t> </w:t>
      </w:r>
      <w:r>
        <w:rPr>
          <w:color w:val="0B0B0B"/>
        </w:rPr>
        <w:t>cuotas</w:t>
      </w:r>
      <w:r>
        <w:rPr>
          <w:color w:val="0B0B0B"/>
          <w:spacing w:val="-2"/>
        </w:rPr>
        <w:t> </w:t>
      </w:r>
      <w:r>
        <w:rPr>
          <w:color w:val="0B0B0B"/>
        </w:rPr>
        <w:t>disminuidas,</w:t>
      </w:r>
      <w:r>
        <w:rPr>
          <w:color w:val="0B0B0B"/>
          <w:spacing w:val="-1"/>
        </w:rPr>
        <w:t> </w:t>
      </w:r>
      <w:r>
        <w:rPr>
          <w:color w:val="0B0B0B"/>
        </w:rPr>
        <w:t>estas</w:t>
      </w:r>
      <w:r>
        <w:rPr>
          <w:color w:val="0B0B0B"/>
          <w:spacing w:val="-2"/>
        </w:rPr>
        <w:t> </w:t>
      </w:r>
      <w:r>
        <w:rPr>
          <w:color w:val="0B0B0B"/>
        </w:rPr>
        <w:t>son</w:t>
      </w:r>
      <w:r>
        <w:rPr>
          <w:color w:val="0B0B0B"/>
          <w:spacing w:val="-1"/>
        </w:rPr>
        <w:t> </w:t>
      </w:r>
      <w:r>
        <w:rPr>
          <w:color w:val="0B0B0B"/>
        </w:rPr>
        <w:t>las que conforme al citado Decreto deben considerarse para la aplicación del estímulo establecido en el artículo 20, apartado A, fracción IV, primer párrafo de la LIF.</w:t>
      </w:r>
    </w:p>
    <w:p>
      <w:pPr>
        <w:pStyle w:val="BodyText"/>
        <w:spacing w:line="264" w:lineRule="auto" w:before="104"/>
        <w:ind w:right="258"/>
      </w:pPr>
      <w:r>
        <w:rPr>
          <w:color w:val="0B0B0B"/>
        </w:rPr>
        <w:t>Al efecto, se ha detectado que algunos contribuyentes que aplican el estímulo a que</w:t>
      </w:r>
      <w:r>
        <w:rPr>
          <w:color w:val="0B0B0B"/>
          <w:spacing w:val="40"/>
        </w:rPr>
        <w:t> </w:t>
      </w:r>
      <w:r>
        <w:rPr>
          <w:color w:val="0B0B0B"/>
        </w:rPr>
        <w:t>se</w:t>
      </w:r>
      <w:r>
        <w:rPr>
          <w:color w:val="0B0B0B"/>
          <w:spacing w:val="-2"/>
        </w:rPr>
        <w:t> </w:t>
      </w:r>
      <w:r>
        <w:rPr>
          <w:color w:val="0B0B0B"/>
        </w:rPr>
        <w:t>refiere</w:t>
      </w:r>
      <w:r>
        <w:rPr>
          <w:color w:val="0B0B0B"/>
          <w:spacing w:val="-2"/>
        </w:rPr>
        <w:t> </w:t>
      </w:r>
      <w:r>
        <w:rPr>
          <w:color w:val="0B0B0B"/>
        </w:rPr>
        <w:t>el</w:t>
      </w:r>
      <w:r>
        <w:rPr>
          <w:color w:val="0B0B0B"/>
          <w:spacing w:val="-1"/>
        </w:rPr>
        <w:t> </w:t>
      </w:r>
      <w:r>
        <w:rPr>
          <w:color w:val="0B0B0B"/>
        </w:rPr>
        <w:t>artículo</w:t>
      </w:r>
      <w:r>
        <w:rPr>
          <w:color w:val="0B0B0B"/>
          <w:spacing w:val="-2"/>
        </w:rPr>
        <w:t> </w:t>
      </w:r>
      <w:r>
        <w:rPr>
          <w:color w:val="0B0B0B"/>
        </w:rPr>
        <w:t>20,</w:t>
      </w:r>
      <w:r>
        <w:rPr>
          <w:color w:val="0B0B0B"/>
          <w:spacing w:val="-2"/>
        </w:rPr>
        <w:t> </w:t>
      </w:r>
      <w:r>
        <w:rPr>
          <w:color w:val="0B0B0B"/>
        </w:rPr>
        <w:t>apartado</w:t>
      </w:r>
      <w:r>
        <w:rPr>
          <w:color w:val="0B0B0B"/>
          <w:spacing w:val="-2"/>
        </w:rPr>
        <w:t> </w:t>
      </w:r>
      <w:r>
        <w:rPr>
          <w:color w:val="0B0B0B"/>
        </w:rPr>
        <w:t>A,</w:t>
      </w:r>
      <w:r>
        <w:rPr>
          <w:color w:val="0B0B0B"/>
          <w:spacing w:val="-2"/>
        </w:rPr>
        <w:t> </w:t>
      </w:r>
      <w:r>
        <w:rPr>
          <w:color w:val="0B0B0B"/>
        </w:rPr>
        <w:t>fracción</w:t>
      </w:r>
      <w:r>
        <w:rPr>
          <w:color w:val="0B0B0B"/>
          <w:spacing w:val="-2"/>
        </w:rPr>
        <w:t> </w:t>
      </w:r>
      <w:r>
        <w:rPr>
          <w:color w:val="0B0B0B"/>
        </w:rPr>
        <w:t>IV,</w:t>
      </w:r>
      <w:r>
        <w:rPr>
          <w:color w:val="0B0B0B"/>
          <w:spacing w:val="-2"/>
        </w:rPr>
        <w:t> </w:t>
      </w:r>
      <w:r>
        <w:rPr>
          <w:color w:val="0B0B0B"/>
        </w:rPr>
        <w:t>primer</w:t>
      </w:r>
      <w:r>
        <w:rPr>
          <w:color w:val="0B0B0B"/>
          <w:spacing w:val="-2"/>
        </w:rPr>
        <w:t> </w:t>
      </w:r>
      <w:r>
        <w:rPr>
          <w:color w:val="0B0B0B"/>
        </w:rPr>
        <w:t>párrafo</w:t>
      </w:r>
      <w:r>
        <w:rPr>
          <w:color w:val="0B0B0B"/>
          <w:spacing w:val="-2"/>
        </w:rPr>
        <w:t> </w:t>
      </w:r>
      <w:r>
        <w:rPr>
          <w:color w:val="0B0B0B"/>
        </w:rPr>
        <w:t>de</w:t>
      </w:r>
      <w:r>
        <w:rPr>
          <w:color w:val="0B0B0B"/>
          <w:spacing w:val="-1"/>
        </w:rPr>
        <w:t> </w:t>
      </w:r>
      <w:r>
        <w:rPr>
          <w:color w:val="0B0B0B"/>
        </w:rPr>
        <w:t>la</w:t>
      </w:r>
      <w:r>
        <w:rPr>
          <w:color w:val="0B0B0B"/>
          <w:spacing w:val="-2"/>
        </w:rPr>
        <w:t> </w:t>
      </w:r>
      <w:r>
        <w:rPr>
          <w:color w:val="0B0B0B"/>
        </w:rPr>
        <w:t>LIF,</w:t>
      </w:r>
      <w:r>
        <w:rPr>
          <w:color w:val="0B0B0B"/>
          <w:spacing w:val="-2"/>
        </w:rPr>
        <w:t> </w:t>
      </w:r>
      <w:r>
        <w:rPr>
          <w:color w:val="0B0B0B"/>
        </w:rPr>
        <w:t>determinan</w:t>
      </w:r>
      <w:r>
        <w:rPr>
          <w:color w:val="0B0B0B"/>
          <w:spacing w:val="-2"/>
        </w:rPr>
        <w:t> </w:t>
      </w:r>
      <w:r>
        <w:rPr>
          <w:color w:val="0B0B0B"/>
        </w:rPr>
        <w:t>el monto del mismo considerando las cuotas actualizadas establecidas en la Ley del IEPS, sin ajuste alguno, realizando un cálculo que resulta en un monto superior en comparación con el que se hubiera obtenido utilizando las cuotas disminuidas conforme a las que efectivamente se causó el IEPS, tal como expresamente lo señala el citado artículo.</w:t>
      </w:r>
    </w:p>
    <w:p>
      <w:pPr>
        <w:pStyle w:val="BodyText"/>
        <w:spacing w:before="10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8"/>
        </w:rPr>
        <w:t> </w:t>
      </w:r>
      <w:r>
        <w:rPr>
          <w:color w:val="0B0B0B"/>
        </w:rPr>
        <w:t>que</w:t>
      </w:r>
      <w:r>
        <w:rPr>
          <w:color w:val="0B0B0B"/>
          <w:spacing w:val="-7"/>
        </w:rPr>
        <w:t> </w:t>
      </w:r>
      <w:r>
        <w:rPr>
          <w:color w:val="0B0B0B"/>
        </w:rPr>
        <w:t>realizan</w:t>
      </w:r>
      <w:r>
        <w:rPr>
          <w:color w:val="0B0B0B"/>
          <w:spacing w:val="-8"/>
        </w:rPr>
        <w:t> </w:t>
      </w:r>
      <w:r>
        <w:rPr>
          <w:color w:val="0B0B0B"/>
        </w:rPr>
        <w:t>una</w:t>
      </w:r>
      <w:r>
        <w:rPr>
          <w:color w:val="0B0B0B"/>
          <w:spacing w:val="-7"/>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1"/>
          <w:numId w:val="50"/>
        </w:numPr>
        <w:tabs>
          <w:tab w:pos="2664" w:val="left" w:leader="none"/>
        </w:tabs>
        <w:spacing w:line="264" w:lineRule="auto" w:before="121" w:after="0"/>
        <w:ind w:left="2664" w:right="256" w:hanging="504"/>
        <w:jc w:val="both"/>
        <w:rPr>
          <w:sz w:val="18"/>
        </w:rPr>
      </w:pPr>
      <w:r>
        <w:rPr>
          <w:color w:val="0B0B0B"/>
          <w:sz w:val="18"/>
        </w:rPr>
        <w:t>Los contribuyentes que determinen el monto del estímulo a que se refiere el artículo 20, apartado A, fracción IV, primer párrafo de la LIF, considerando las cuotas actualizadas establecidas en la Ley del IEPS en lugar de aquéllas conforme a las que el IEPS se haya causado por la enajenación del diésel, biodiesel y</w:t>
      </w:r>
      <w:r>
        <w:rPr>
          <w:color w:val="0B0B0B"/>
          <w:spacing w:val="-3"/>
          <w:sz w:val="18"/>
        </w:rPr>
        <w:t> </w:t>
      </w:r>
      <w:r>
        <w:rPr>
          <w:color w:val="0B0B0B"/>
          <w:sz w:val="18"/>
        </w:rPr>
        <w:t>sus mezclas</w:t>
      </w:r>
      <w:r>
        <w:rPr>
          <w:color w:val="0B0B0B"/>
          <w:spacing w:val="-1"/>
          <w:sz w:val="18"/>
        </w:rPr>
        <w:t> </w:t>
      </w:r>
      <w:r>
        <w:rPr>
          <w:color w:val="0B0B0B"/>
          <w:sz w:val="18"/>
        </w:rPr>
        <w:t>de</w:t>
      </w:r>
      <w:r>
        <w:rPr>
          <w:color w:val="0B0B0B"/>
          <w:spacing w:val="-1"/>
          <w:sz w:val="18"/>
        </w:rPr>
        <w:t> </w:t>
      </w:r>
      <w:r>
        <w:rPr>
          <w:color w:val="0B0B0B"/>
          <w:sz w:val="18"/>
        </w:rPr>
        <w:t>acuerdo</w:t>
      </w:r>
      <w:r>
        <w:rPr>
          <w:color w:val="0B0B0B"/>
          <w:spacing w:val="-1"/>
          <w:sz w:val="18"/>
        </w:rPr>
        <w:t> </w:t>
      </w:r>
      <w:r>
        <w:rPr>
          <w:color w:val="0B0B0B"/>
          <w:sz w:val="18"/>
        </w:rPr>
        <w:t>con</w:t>
      </w:r>
      <w:r>
        <w:rPr>
          <w:color w:val="0B0B0B"/>
          <w:spacing w:val="-1"/>
          <w:sz w:val="18"/>
        </w:rPr>
        <w:t> </w:t>
      </w:r>
      <w:r>
        <w:rPr>
          <w:color w:val="0B0B0B"/>
          <w:sz w:val="18"/>
        </w:rPr>
        <w:t>el</w:t>
      </w:r>
      <w:r>
        <w:rPr>
          <w:color w:val="0B0B0B"/>
          <w:spacing w:val="-1"/>
          <w:sz w:val="18"/>
        </w:rPr>
        <w:t> </w:t>
      </w:r>
      <w:r>
        <w:rPr>
          <w:color w:val="0B0B0B"/>
          <w:sz w:val="18"/>
        </w:rPr>
        <w:t>artículo</w:t>
      </w:r>
      <w:r>
        <w:rPr>
          <w:color w:val="0B0B0B"/>
          <w:spacing w:val="-1"/>
          <w:sz w:val="18"/>
        </w:rPr>
        <w:t> </w:t>
      </w:r>
      <w:r>
        <w:rPr>
          <w:color w:val="0B0B0B"/>
          <w:sz w:val="18"/>
        </w:rPr>
        <w:t>Único</w:t>
      </w:r>
      <w:r>
        <w:rPr>
          <w:color w:val="0B0B0B"/>
          <w:spacing w:val="-1"/>
          <w:sz w:val="18"/>
        </w:rPr>
        <w:t> </w:t>
      </w:r>
      <w:r>
        <w:rPr>
          <w:color w:val="0B0B0B"/>
          <w:sz w:val="18"/>
        </w:rPr>
        <w:t>del</w:t>
      </w:r>
      <w:r>
        <w:rPr>
          <w:color w:val="0B0B0B"/>
          <w:spacing w:val="-1"/>
          <w:sz w:val="18"/>
        </w:rPr>
        <w:t> </w:t>
      </w:r>
      <w:r>
        <w:rPr>
          <w:color w:val="0B0B0B"/>
          <w:sz w:val="18"/>
        </w:rPr>
        <w:t>“Decreto</w:t>
      </w:r>
      <w:r>
        <w:rPr>
          <w:color w:val="0B0B0B"/>
          <w:spacing w:val="-1"/>
          <w:sz w:val="18"/>
        </w:rPr>
        <w:t> </w:t>
      </w:r>
      <w:r>
        <w:rPr>
          <w:color w:val="0B0B0B"/>
          <w:sz w:val="18"/>
        </w:rPr>
        <w:t>por</w:t>
      </w:r>
      <w:r>
        <w:rPr>
          <w:color w:val="0B0B0B"/>
          <w:spacing w:val="-1"/>
          <w:sz w:val="18"/>
        </w:rPr>
        <w:t> </w:t>
      </w:r>
      <w:r>
        <w:rPr>
          <w:color w:val="0B0B0B"/>
          <w:sz w:val="18"/>
        </w:rPr>
        <w:t>el</w:t>
      </w:r>
      <w:r>
        <w:rPr>
          <w:color w:val="0B0B0B"/>
          <w:spacing w:val="-1"/>
          <w:sz w:val="18"/>
        </w:rPr>
        <w:t> </w:t>
      </w:r>
      <w:r>
        <w:rPr>
          <w:color w:val="0B0B0B"/>
          <w:sz w:val="18"/>
        </w:rPr>
        <w:t>que se</w:t>
      </w:r>
      <w:r>
        <w:rPr>
          <w:color w:val="0B0B0B"/>
          <w:spacing w:val="-1"/>
          <w:sz w:val="18"/>
        </w:rPr>
        <w:t> </w:t>
      </w:r>
      <w:r>
        <w:rPr>
          <w:color w:val="0B0B0B"/>
          <w:sz w:val="18"/>
        </w:rPr>
        <w:t>modifica</w:t>
      </w:r>
      <w:r>
        <w:rPr>
          <w:color w:val="0B0B0B"/>
          <w:spacing w:val="-1"/>
          <w:sz w:val="18"/>
        </w:rPr>
        <w:t> </w:t>
      </w:r>
      <w:r>
        <w:rPr>
          <w:color w:val="0B0B0B"/>
          <w:sz w:val="18"/>
        </w:rPr>
        <w:t>el diverso</w:t>
      </w:r>
      <w:r>
        <w:rPr>
          <w:color w:val="0B0B0B"/>
          <w:spacing w:val="-1"/>
          <w:sz w:val="18"/>
        </w:rPr>
        <w:t> </w:t>
      </w:r>
      <w:r>
        <w:rPr>
          <w:color w:val="0B0B0B"/>
          <w:sz w:val="18"/>
        </w:rPr>
        <w:t>por</w:t>
      </w:r>
      <w:r>
        <w:rPr>
          <w:color w:val="0B0B0B"/>
          <w:spacing w:val="-1"/>
          <w:sz w:val="18"/>
        </w:rPr>
        <w:t> </w:t>
      </w:r>
      <w:r>
        <w:rPr>
          <w:color w:val="0B0B0B"/>
          <w:sz w:val="18"/>
        </w:rPr>
        <w:t>el que</w:t>
      </w:r>
      <w:r>
        <w:rPr>
          <w:color w:val="0B0B0B"/>
          <w:spacing w:val="-1"/>
          <w:sz w:val="18"/>
        </w:rPr>
        <w:t> </w:t>
      </w:r>
      <w:r>
        <w:rPr>
          <w:color w:val="0B0B0B"/>
          <w:sz w:val="18"/>
        </w:rPr>
        <w:t>se</w:t>
      </w:r>
      <w:r>
        <w:rPr>
          <w:color w:val="0B0B0B"/>
          <w:spacing w:val="-1"/>
          <w:sz w:val="18"/>
        </w:rPr>
        <w:t> </w:t>
      </w:r>
      <w:r>
        <w:rPr>
          <w:color w:val="0B0B0B"/>
          <w:sz w:val="18"/>
        </w:rPr>
        <w:t>establecen</w:t>
      </w:r>
      <w:r>
        <w:rPr>
          <w:color w:val="0B0B0B"/>
          <w:spacing w:val="-1"/>
          <w:sz w:val="18"/>
        </w:rPr>
        <w:t> </w:t>
      </w:r>
      <w:r>
        <w:rPr>
          <w:color w:val="0B0B0B"/>
          <w:sz w:val="18"/>
        </w:rPr>
        <w:t>estímulos</w:t>
      </w:r>
      <w:r>
        <w:rPr>
          <w:color w:val="0B0B0B"/>
          <w:spacing w:val="-1"/>
          <w:sz w:val="18"/>
        </w:rPr>
        <w:t> </w:t>
      </w:r>
      <w:r>
        <w:rPr>
          <w:color w:val="0B0B0B"/>
          <w:sz w:val="18"/>
        </w:rPr>
        <w:t>fiscales en</w:t>
      </w:r>
      <w:r>
        <w:rPr>
          <w:color w:val="0B0B0B"/>
          <w:spacing w:val="-1"/>
          <w:sz w:val="18"/>
        </w:rPr>
        <w:t> </w:t>
      </w:r>
      <w:r>
        <w:rPr>
          <w:color w:val="0B0B0B"/>
          <w:sz w:val="18"/>
        </w:rPr>
        <w:t>materia</w:t>
      </w:r>
      <w:r>
        <w:rPr>
          <w:color w:val="0B0B0B"/>
          <w:spacing w:val="-1"/>
          <w:sz w:val="18"/>
        </w:rPr>
        <w:t> </w:t>
      </w:r>
      <w:r>
        <w:rPr>
          <w:color w:val="0B0B0B"/>
          <w:sz w:val="18"/>
        </w:rPr>
        <w:t>del impuesto</w:t>
      </w:r>
      <w:r>
        <w:rPr>
          <w:color w:val="0B0B0B"/>
          <w:sz w:val="18"/>
        </w:rPr>
        <w:t> especial sobre producción y servicios aplicables a los combustibles que se indican, publicado el 27 de diciembre de 2016”, publicado en el DOF el 28 de diciembre de 2018.</w:t>
      </w:r>
    </w:p>
    <w:p>
      <w:pPr>
        <w:pStyle w:val="ListParagraph"/>
        <w:numPr>
          <w:ilvl w:val="1"/>
          <w:numId w:val="50"/>
        </w:numPr>
        <w:tabs>
          <w:tab w:pos="2664" w:val="left" w:leader="none"/>
        </w:tabs>
        <w:spacing w:line="266" w:lineRule="auto" w:before="104" w:after="0"/>
        <w:ind w:left="2664" w:right="259" w:hanging="504"/>
        <w:jc w:val="both"/>
        <w:rPr>
          <w:sz w:val="18"/>
        </w:rPr>
      </w:pPr>
      <w:r>
        <w:rPr>
          <w:color w:val="0B0B0B"/>
          <w:sz w:val="18"/>
        </w:rPr>
        <w:t>Quien asesore, aconseje, preste</w:t>
      </w:r>
      <w:r>
        <w:rPr>
          <w:color w:val="0B0B0B"/>
          <w:sz w:val="18"/>
        </w:rPr>
        <w:t> servicios o participe en la realización o la implementación de la práctica anterior.</w:t>
      </w:r>
    </w:p>
    <w:p>
      <w:pPr>
        <w:pStyle w:val="BodyText"/>
        <w:spacing w:before="4"/>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4"/>
        <w:gridCol w:w="4210"/>
      </w:tblGrid>
      <w:tr>
        <w:trPr>
          <w:trHeight w:val="329" w:hRule="atLeast"/>
        </w:trPr>
        <w:tc>
          <w:tcPr>
            <w:tcW w:w="2694" w:type="dxa"/>
            <w:shd w:val="clear" w:color="auto" w:fill="BDBDBD"/>
          </w:tcPr>
          <w:p>
            <w:pPr>
              <w:pStyle w:val="TableParagraph"/>
              <w:spacing w:before="33"/>
              <w:ind w:left="12" w:right="1"/>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33"/>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6" w:hRule="atLeast"/>
        </w:trPr>
        <w:tc>
          <w:tcPr>
            <w:tcW w:w="2694" w:type="dxa"/>
          </w:tcPr>
          <w:p>
            <w:pPr>
              <w:pStyle w:val="TableParagraph"/>
              <w:spacing w:before="32"/>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2020</w:t>
            </w:r>
          </w:p>
        </w:tc>
        <w:tc>
          <w:tcPr>
            <w:tcW w:w="4210" w:type="dxa"/>
          </w:tcPr>
          <w:p>
            <w:pPr>
              <w:pStyle w:val="TableParagraph"/>
              <w:spacing w:line="300" w:lineRule="auto" w:before="31"/>
              <w:ind w:right="16"/>
              <w:rPr>
                <w:sz w:val="16"/>
              </w:rPr>
            </w:pPr>
            <w:r>
              <w:rPr>
                <w:color w:val="0B0B0B"/>
                <w:sz w:val="16"/>
              </w:rPr>
              <w:t>Publicada en el DOF el 29 de diciembre de 2019, </w:t>
            </w:r>
            <w:r>
              <w:rPr>
                <w:color w:val="0B0B0B"/>
                <w:sz w:val="16"/>
              </w:rPr>
              <w:t>Anexo 3, publicado el 9 de enero de 2020.</w:t>
            </w:r>
          </w:p>
        </w:tc>
      </w:tr>
    </w:tbl>
    <w:p>
      <w:pPr>
        <w:pStyle w:val="BodyText"/>
        <w:spacing w:before="136"/>
        <w:ind w:left="0"/>
        <w:jc w:val="left"/>
      </w:pPr>
    </w:p>
    <w:p>
      <w:pPr>
        <w:pStyle w:val="Heading1"/>
        <w:numPr>
          <w:ilvl w:val="0"/>
          <w:numId w:val="50"/>
        </w:numPr>
        <w:tabs>
          <w:tab w:pos="1123" w:val="left" w:leader="none"/>
        </w:tabs>
        <w:spacing w:line="240" w:lineRule="auto" w:before="0" w:after="0"/>
        <w:ind w:left="1123" w:right="0" w:hanging="432"/>
        <w:jc w:val="left"/>
      </w:pPr>
      <w:r>
        <w:rPr>
          <w:color w:val="0B0B0B"/>
        </w:rPr>
        <w:t>Criterios de la </w:t>
      </w:r>
      <w:r>
        <w:rPr>
          <w:color w:val="0B0B0B"/>
          <w:spacing w:val="-5"/>
        </w:rPr>
        <w:t>LFD</w:t>
      </w:r>
    </w:p>
    <w:p>
      <w:pPr>
        <w:spacing w:line="264" w:lineRule="auto" w:before="121"/>
        <w:ind w:left="2145" w:right="256" w:hanging="1008"/>
        <w:jc w:val="both"/>
        <w:rPr>
          <w:rFonts w:ascii="Arial" w:hAnsi="Arial"/>
          <w:b/>
          <w:sz w:val="18"/>
        </w:rPr>
      </w:pPr>
      <w:r>
        <w:rPr>
          <w:rFonts w:ascii="Arial" w:hAnsi="Arial"/>
          <w:b/>
          <w:color w:val="0B0B0B"/>
          <w:sz w:val="18"/>
        </w:rPr>
        <w:t>1/LFD/PI</w:t>
      </w:r>
      <w:r>
        <w:rPr>
          <w:rFonts w:ascii="Arial" w:hAnsi="Arial"/>
          <w:b/>
          <w:color w:val="0B0B0B"/>
          <w:spacing w:val="80"/>
          <w:sz w:val="18"/>
        </w:rPr>
        <w:t> </w:t>
      </w:r>
      <w:r>
        <w:rPr>
          <w:rFonts w:ascii="Arial" w:hAnsi="Arial"/>
          <w:b/>
          <w:color w:val="0B0B0B"/>
          <w:sz w:val="18"/>
        </w:rPr>
        <w:t>Derecho Extraordinario sobre Minería. El reconocimiento de los ingresos debe efectuarse al momento de la enajenación o venta del oro, plata y platino, con independencia del momento en que se perciban las contraprestaciones.</w:t>
      </w:r>
    </w:p>
    <w:p>
      <w:pPr>
        <w:pStyle w:val="BodyText"/>
        <w:spacing w:line="264" w:lineRule="auto" w:before="102"/>
        <w:ind w:right="257"/>
      </w:pPr>
      <w:r>
        <w:rPr>
          <w:color w:val="0B0B0B"/>
        </w:rPr>
        <w:t>Los artículos 2o., fracción IV del CFF y 1o. de la LFD, señalan que los derechos establecidos en dicha Ley se pagarán por el uso o aprovechamiento de los bienes de dominio público de la Nación.</w:t>
      </w:r>
    </w:p>
    <w:p>
      <w:pPr>
        <w:pStyle w:val="BodyText"/>
        <w:spacing w:after="0" w:line="264" w:lineRule="auto"/>
        <w:sectPr>
          <w:headerReference w:type="default" r:id="rId65"/>
          <w:pgSz w:w="12240" w:h="15840"/>
          <w:pgMar w:header="690" w:footer="0" w:top="1040" w:bottom="280" w:left="1440" w:right="1440"/>
        </w:sectPr>
      </w:pPr>
    </w:p>
    <w:p>
      <w:pPr>
        <w:pStyle w:val="BodyText"/>
        <w:spacing w:line="271" w:lineRule="auto" w:before="126"/>
        <w:ind w:right="255"/>
      </w:pPr>
      <w:r>
        <w:rPr>
          <w:color w:val="0B0B0B"/>
        </w:rPr>
        <w:t>A su vez, el artículo 270, primer párrafo de la LFD establece que los titulares de concesiones y asignaciones mineras pagarán anualmente el derecho extraordinario sobre minería, aplicando la tasa del 1% a los ingresos derivados de la enajenación del oro,</w:t>
      </w:r>
      <w:r>
        <w:rPr>
          <w:color w:val="0B0B0B"/>
        </w:rPr>
        <w:t> plata y platino, mediante declaración que se presentará ante las oficinas autorizadas por</w:t>
      </w:r>
      <w:r>
        <w:rPr>
          <w:color w:val="0B0B0B"/>
        </w:rPr>
        <w:t> el SAT a más tardar el último día hábil del mes de marzo del año siguiente a aquél al que corresponda el pago.</w:t>
      </w:r>
    </w:p>
    <w:p>
      <w:pPr>
        <w:pStyle w:val="BodyText"/>
        <w:spacing w:line="271" w:lineRule="auto" w:before="95"/>
        <w:ind w:right="258"/>
      </w:pPr>
      <w:r>
        <w:rPr>
          <w:color w:val="0B0B0B"/>
        </w:rPr>
        <w:t>De la interpretación armónica y sistemática de las disposiciones analizadas,</w:t>
      </w:r>
      <w:r>
        <w:rPr>
          <w:color w:val="0B0B0B"/>
        </w:rPr>
        <w:t> se desprende que el derecho extraordinario sobre minería es un gravamen que fue</w:t>
      </w:r>
      <w:r>
        <w:rPr>
          <w:color w:val="0B0B0B"/>
          <w:spacing w:val="40"/>
        </w:rPr>
        <w:t> </w:t>
      </w:r>
      <w:r>
        <w:rPr>
          <w:color w:val="0B0B0B"/>
        </w:rPr>
        <w:t>creado por el legislador por</w:t>
      </w:r>
      <w:r>
        <w:rPr>
          <w:color w:val="0B0B0B"/>
        </w:rPr>
        <w:t> el uso o aprovechamiento de los bienes del dominio</w:t>
      </w:r>
      <w:r>
        <w:rPr>
          <w:color w:val="0B0B0B"/>
          <w:spacing w:val="40"/>
        </w:rPr>
        <w:t> </w:t>
      </w:r>
      <w:r>
        <w:rPr>
          <w:color w:val="0B0B0B"/>
        </w:rPr>
        <w:t>público de la Nación, lo cual se materializa con la enajenación del oro, plata y platino.</w:t>
      </w:r>
    </w:p>
    <w:p>
      <w:pPr>
        <w:pStyle w:val="BodyText"/>
        <w:spacing w:line="271" w:lineRule="auto" w:before="98"/>
        <w:ind w:right="258"/>
      </w:pPr>
      <w:r>
        <w:rPr>
          <w:color w:val="0B0B0B"/>
        </w:rPr>
        <w:t>En ese sentido, la actividad gravada por el derecho extraordinario sobre minería</w:t>
      </w:r>
      <w:r>
        <w:rPr>
          <w:color w:val="0B0B0B"/>
        </w:rPr>
        <w:t> se configura con la enajenación del oro, plata y platino, por lo que en el momento en que ocurre esta, se actualiza la hipótesis de causación, con independencia de que la entrega de la contraprestación por</w:t>
      </w:r>
      <w:r>
        <w:rPr>
          <w:color w:val="0B0B0B"/>
        </w:rPr>
        <w:t> dicha enajenación se realice en un momento </w:t>
      </w:r>
      <w:r>
        <w:rPr>
          <w:color w:val="0B0B0B"/>
          <w:spacing w:val="-2"/>
        </w:rPr>
        <w:t>posterior.</w:t>
      </w:r>
    </w:p>
    <w:p>
      <w:pPr>
        <w:pStyle w:val="BodyText"/>
        <w:spacing w:line="268" w:lineRule="auto" w:before="96"/>
        <w:ind w:right="257"/>
      </w:pPr>
      <w:r>
        <w:rPr>
          <w:color w:val="0B0B0B"/>
        </w:rPr>
        <w:t>Al efecto, se ha detectado que algunos contribuyentes del derecho extraordinario</w:t>
      </w:r>
      <w:r>
        <w:rPr>
          <w:color w:val="0B0B0B"/>
          <w:spacing w:val="40"/>
        </w:rPr>
        <w:t> </w:t>
      </w:r>
      <w:r>
        <w:rPr>
          <w:color w:val="0B0B0B"/>
        </w:rPr>
        <w:t>sobre minería difieren su pago hasta el momento en que perciben las contraprestaciones correspondientes a la venta del oro, plata y platino, en lugar de considerar el momento de su enajenación.</w:t>
      </w:r>
    </w:p>
    <w:p>
      <w:pPr>
        <w:pStyle w:val="BodyText"/>
        <w:spacing w:before="106"/>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1"/>
          <w:numId w:val="50"/>
        </w:numPr>
        <w:tabs>
          <w:tab w:pos="2664" w:val="left" w:leader="none"/>
        </w:tabs>
        <w:spacing w:line="271" w:lineRule="auto" w:before="127" w:after="0"/>
        <w:ind w:left="2664" w:right="258" w:hanging="504"/>
        <w:jc w:val="both"/>
        <w:rPr>
          <w:sz w:val="18"/>
        </w:rPr>
      </w:pPr>
      <w:r>
        <w:rPr>
          <w:color w:val="0B0B0B"/>
          <w:sz w:val="18"/>
        </w:rPr>
        <w:t>El contribuyente que no realice el pago del derecho extraordinario sobre</w:t>
      </w:r>
      <w:r>
        <w:rPr>
          <w:color w:val="0B0B0B"/>
          <w:spacing w:val="40"/>
          <w:sz w:val="18"/>
        </w:rPr>
        <w:t> </w:t>
      </w:r>
      <w:r>
        <w:rPr>
          <w:color w:val="0B0B0B"/>
          <w:sz w:val="18"/>
        </w:rPr>
        <w:t>minería, a más tardar el último día hábil del mes de marzo del año siguiente a aquél en el que haya efectuado la enajenación del oro, plata y platino, con independencia de que la entrega de la contraprestación por dicha enajenación se realice en un momento posterior.</w:t>
      </w:r>
    </w:p>
    <w:p>
      <w:pPr>
        <w:pStyle w:val="ListParagraph"/>
        <w:numPr>
          <w:ilvl w:val="1"/>
          <w:numId w:val="50"/>
        </w:numPr>
        <w:tabs>
          <w:tab w:pos="2664" w:val="left" w:leader="none"/>
        </w:tabs>
        <w:spacing w:line="268" w:lineRule="auto" w:before="96"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6"/>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0"/>
      </w:tblGrid>
      <w:tr>
        <w:trPr>
          <w:trHeight w:val="333" w:hRule="atLeast"/>
        </w:trPr>
        <w:tc>
          <w:tcPr>
            <w:tcW w:w="2676" w:type="dxa"/>
            <w:shd w:val="clear" w:color="auto" w:fill="BDBDBD"/>
          </w:tcPr>
          <w:p>
            <w:pPr>
              <w:pStyle w:val="TableParagraph"/>
              <w:spacing w:before="37"/>
              <w:ind w:left="13"/>
              <w:jc w:val="center"/>
              <w:rPr>
                <w:rFonts w:ascii="Arial"/>
                <w:b/>
                <w:sz w:val="16"/>
              </w:rPr>
            </w:pPr>
            <w:r>
              <w:rPr>
                <w:rFonts w:ascii="Arial"/>
                <w:b/>
                <w:color w:val="0B0B0B"/>
                <w:spacing w:val="-2"/>
                <w:sz w:val="16"/>
              </w:rPr>
              <w:t>Origen</w:t>
            </w:r>
          </w:p>
        </w:tc>
        <w:tc>
          <w:tcPr>
            <w:tcW w:w="4210" w:type="dxa"/>
            <w:shd w:val="clear" w:color="auto" w:fill="BDBDBD"/>
          </w:tcPr>
          <w:p>
            <w:pPr>
              <w:pStyle w:val="TableParagraph"/>
              <w:spacing w:before="37"/>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6" w:hRule="atLeast"/>
        </w:trPr>
        <w:tc>
          <w:tcPr>
            <w:tcW w:w="2676"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210" w:type="dxa"/>
          </w:tcPr>
          <w:p>
            <w:pPr>
              <w:pStyle w:val="TableParagraph"/>
              <w:spacing w:line="304" w:lineRule="auto" w:before="38"/>
              <w:ind w:right="16"/>
              <w:rPr>
                <w:sz w:val="16"/>
              </w:rPr>
            </w:pPr>
            <w:r>
              <w:rPr>
                <w:color w:val="0B0B0B"/>
                <w:sz w:val="16"/>
              </w:rPr>
              <w:t>Publicada en el DOF el 29 de diciembre de 2019, </w:t>
            </w:r>
            <w:r>
              <w:rPr>
                <w:color w:val="0B0B0B"/>
                <w:sz w:val="16"/>
              </w:rPr>
              <w:t>Anexo 3, publicado el 9 de enero de 2020.</w:t>
            </w:r>
          </w:p>
        </w:tc>
      </w:tr>
    </w:tbl>
    <w:p>
      <w:pPr>
        <w:pStyle w:val="BodyText"/>
        <w:spacing w:before="146"/>
        <w:ind w:left="0"/>
        <w:jc w:val="left"/>
      </w:pPr>
    </w:p>
    <w:p>
      <w:pPr>
        <w:pStyle w:val="Heading1"/>
        <w:tabs>
          <w:tab w:pos="2145" w:val="left" w:leader="none"/>
        </w:tabs>
        <w:spacing w:line="268" w:lineRule="auto"/>
        <w:ind w:right="257"/>
      </w:pPr>
      <w:r>
        <w:rPr>
          <w:color w:val="0B0B0B"/>
          <w:spacing w:val="-2"/>
        </w:rPr>
        <w:t>2/LFD/PI</w:t>
      </w:r>
      <w:r>
        <w:rPr>
          <w:color w:val="0B0B0B"/>
        </w:rPr>
        <w:tab/>
        <w:t>Derecho Extraordinario sobre Minería. La base para calcular el pago del derecho corresponde a los ingresos totales del periodo sin disminución alguna.</w:t>
      </w:r>
    </w:p>
    <w:p>
      <w:pPr>
        <w:pStyle w:val="BodyText"/>
        <w:spacing w:line="268" w:lineRule="auto" w:before="104"/>
        <w:ind w:right="258"/>
      </w:pPr>
      <w:r>
        <w:rPr>
          <w:color w:val="0B0B0B"/>
        </w:rPr>
        <w:t>El artículo 270, primer párrafo de la LFD establece la base para calcular el pago del derecho extraordinario sobre minería, aplicando la tasa del 1% a los ingresos</w:t>
      </w:r>
      <w:r>
        <w:rPr>
          <w:color w:val="0B0B0B"/>
          <w:spacing w:val="40"/>
        </w:rPr>
        <w:t> </w:t>
      </w:r>
      <w:r>
        <w:rPr>
          <w:color w:val="0B0B0B"/>
        </w:rPr>
        <w:t>derivados de la enajenación del oro, plata y platino.</w:t>
      </w:r>
    </w:p>
    <w:p>
      <w:pPr>
        <w:pStyle w:val="BodyText"/>
        <w:spacing w:line="271" w:lineRule="auto" w:before="104"/>
        <w:ind w:right="259"/>
      </w:pPr>
      <w:r>
        <w:rPr>
          <w:color w:val="0B0B0B"/>
        </w:rPr>
        <w:t>El segundo párrafo</w:t>
      </w:r>
      <w:r>
        <w:rPr>
          <w:color w:val="0B0B0B"/>
        </w:rPr>
        <w:t> del artículo en comento, indica que dicho derecho se calculará considerando los ingresos totales del concesionario o asignatario minero por la enajenación o venta del oro, plata y platino, independientemente del número de concesiones o asignaciones de las que sea titular.</w:t>
      </w:r>
    </w:p>
    <w:p>
      <w:pPr>
        <w:pStyle w:val="BodyText"/>
        <w:spacing w:line="271" w:lineRule="auto" w:before="98"/>
        <w:ind w:right="259"/>
      </w:pPr>
      <w:r>
        <w:rPr>
          <w:color w:val="0B0B0B"/>
        </w:rPr>
        <w:t>De la lectura a los párrafos citados se advierte que el legislador previó que el pago del derecho extraordinario sobre minería se debe calcular sobre los ingresos totales, sin considerar algún tipo de elemento sustractivo o disminución a los mismos.</w:t>
      </w:r>
    </w:p>
    <w:p>
      <w:pPr>
        <w:pStyle w:val="BodyText"/>
        <w:spacing w:line="268" w:lineRule="auto" w:before="98"/>
        <w:ind w:right="258"/>
      </w:pPr>
      <w:r>
        <w:rPr>
          <w:color w:val="0B0B0B"/>
        </w:rPr>
        <w:t>Al efecto, se ha detectado que algunos contribuyentes del derecho extraordinario</w:t>
      </w:r>
      <w:r>
        <w:rPr>
          <w:color w:val="0B0B0B"/>
          <w:spacing w:val="40"/>
        </w:rPr>
        <w:t> </w:t>
      </w:r>
      <w:r>
        <w:rPr>
          <w:color w:val="0B0B0B"/>
        </w:rPr>
        <w:t>sobre minería disminuyen de los ingresos totales derivados de la enajenación o venta del oro, plata y platino, conceptos no previstos en la LFD.</w:t>
      </w:r>
    </w:p>
    <w:p>
      <w:pPr>
        <w:pStyle w:val="BodyText"/>
        <w:spacing w:before="10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70"/>
        </w:numPr>
        <w:tabs>
          <w:tab w:pos="2664" w:val="left" w:leader="none"/>
        </w:tabs>
        <w:spacing w:line="268" w:lineRule="auto" w:before="127" w:after="0"/>
        <w:ind w:left="2664" w:right="258" w:hanging="504"/>
        <w:jc w:val="both"/>
        <w:rPr>
          <w:sz w:val="18"/>
        </w:rPr>
      </w:pPr>
      <w:r>
        <w:rPr>
          <w:color w:val="0B0B0B"/>
          <w:sz w:val="18"/>
        </w:rPr>
        <w:t>El contribuyente que en la determinación del derecho extraordinario sobre minería,</w:t>
      </w:r>
      <w:r>
        <w:rPr>
          <w:color w:val="0B0B0B"/>
          <w:sz w:val="18"/>
        </w:rPr>
        <w:t> disminuya, de cualquier forma, los ingresos totales derivados de la enajenación o venta del oro, plata y platino.</w:t>
      </w:r>
    </w:p>
    <w:p>
      <w:pPr>
        <w:pStyle w:val="ListParagraph"/>
        <w:spacing w:after="0" w:line="268" w:lineRule="auto"/>
        <w:jc w:val="both"/>
        <w:rPr>
          <w:sz w:val="18"/>
        </w:rPr>
        <w:sectPr>
          <w:headerReference w:type="default" r:id="rId66"/>
          <w:pgSz w:w="12240" w:h="15840"/>
          <w:pgMar w:header="690" w:footer="0" w:top="1040" w:bottom="280" w:left="1440" w:right="1440"/>
        </w:sectPr>
      </w:pPr>
    </w:p>
    <w:p>
      <w:pPr>
        <w:pStyle w:val="ListParagraph"/>
        <w:numPr>
          <w:ilvl w:val="0"/>
          <w:numId w:val="70"/>
        </w:numPr>
        <w:tabs>
          <w:tab w:pos="2664" w:val="left" w:leader="none"/>
        </w:tabs>
        <w:spacing w:line="249" w:lineRule="auto" w:before="112" w:after="0"/>
        <w:ind w:left="2664" w:right="259" w:hanging="504"/>
        <w:jc w:val="left"/>
        <w:rPr>
          <w:sz w:val="18"/>
        </w:rPr>
      </w:pPr>
      <w:r>
        <w:rPr>
          <w:color w:val="0B0B0B"/>
          <w:sz w:val="18"/>
        </w:rPr>
        <w:t>Quien</w:t>
      </w:r>
      <w:r>
        <w:rPr>
          <w:color w:val="0B0B0B"/>
          <w:spacing w:val="40"/>
          <w:sz w:val="18"/>
        </w:rPr>
        <w:t> </w:t>
      </w:r>
      <w:r>
        <w:rPr>
          <w:color w:val="0B0B0B"/>
          <w:sz w:val="18"/>
        </w:rPr>
        <w:t>asesore,</w:t>
      </w:r>
      <w:r>
        <w:rPr>
          <w:color w:val="0B0B0B"/>
          <w:spacing w:val="40"/>
          <w:sz w:val="18"/>
        </w:rPr>
        <w:t> </w:t>
      </w:r>
      <w:r>
        <w:rPr>
          <w:color w:val="0B0B0B"/>
          <w:sz w:val="18"/>
        </w:rPr>
        <w:t>aconseje,</w:t>
      </w:r>
      <w:r>
        <w:rPr>
          <w:color w:val="0B0B0B"/>
          <w:spacing w:val="40"/>
          <w:sz w:val="18"/>
        </w:rPr>
        <w:t> </w:t>
      </w:r>
      <w:r>
        <w:rPr>
          <w:color w:val="0B0B0B"/>
          <w:sz w:val="18"/>
        </w:rPr>
        <w:t>preste</w:t>
      </w:r>
      <w:r>
        <w:rPr>
          <w:color w:val="0B0B0B"/>
          <w:spacing w:val="40"/>
          <w:sz w:val="18"/>
        </w:rPr>
        <w:t> </w:t>
      </w:r>
      <w:r>
        <w:rPr>
          <w:color w:val="0B0B0B"/>
          <w:sz w:val="18"/>
        </w:rPr>
        <w:t>servicios</w:t>
      </w:r>
      <w:r>
        <w:rPr>
          <w:color w:val="0B0B0B"/>
          <w:spacing w:val="40"/>
          <w:sz w:val="18"/>
        </w:rPr>
        <w:t> </w:t>
      </w:r>
      <w:r>
        <w:rPr>
          <w:color w:val="0B0B0B"/>
          <w:sz w:val="18"/>
        </w:rPr>
        <w:t>o</w:t>
      </w:r>
      <w:r>
        <w:rPr>
          <w:color w:val="0B0B0B"/>
          <w:spacing w:val="40"/>
          <w:sz w:val="18"/>
        </w:rPr>
        <w:t> </w:t>
      </w:r>
      <w:r>
        <w:rPr>
          <w:color w:val="0B0B0B"/>
          <w:sz w:val="18"/>
        </w:rPr>
        <w:t>participe</w:t>
      </w:r>
      <w:r>
        <w:rPr>
          <w:color w:val="0B0B0B"/>
          <w:spacing w:val="40"/>
          <w:sz w:val="18"/>
        </w:rPr>
        <w:t> </w:t>
      </w:r>
      <w:r>
        <w:rPr>
          <w:color w:val="0B0B0B"/>
          <w:sz w:val="18"/>
        </w:rPr>
        <w:t>en</w:t>
      </w:r>
      <w:r>
        <w:rPr>
          <w:color w:val="0B0B0B"/>
          <w:spacing w:val="40"/>
          <w:sz w:val="18"/>
        </w:rPr>
        <w:t> </w:t>
      </w:r>
      <w:r>
        <w:rPr>
          <w:color w:val="0B0B0B"/>
          <w:sz w:val="18"/>
        </w:rPr>
        <w:t>la</w:t>
      </w:r>
      <w:r>
        <w:rPr>
          <w:color w:val="0B0B0B"/>
          <w:spacing w:val="40"/>
          <w:sz w:val="18"/>
        </w:rPr>
        <w:t> </w:t>
      </w:r>
      <w:r>
        <w:rPr>
          <w:color w:val="0B0B0B"/>
          <w:sz w:val="18"/>
        </w:rPr>
        <w:t>realización</w:t>
      </w:r>
      <w:r>
        <w:rPr>
          <w:color w:val="0B0B0B"/>
          <w:spacing w:val="40"/>
          <w:sz w:val="18"/>
        </w:rPr>
        <w:t> </w:t>
      </w:r>
      <w:r>
        <w:rPr>
          <w:color w:val="0B0B0B"/>
          <w:sz w:val="18"/>
        </w:rPr>
        <w:t>o</w:t>
      </w:r>
      <w:r>
        <w:rPr>
          <w:color w:val="0B0B0B"/>
          <w:spacing w:val="40"/>
          <w:sz w:val="18"/>
        </w:rPr>
        <w:t> </w:t>
      </w:r>
      <w:r>
        <w:rPr>
          <w:color w:val="0B0B0B"/>
          <w:sz w:val="18"/>
        </w:rPr>
        <w:t>la implementación de cualquiera de las prácticas anteriores.</w:t>
      </w:r>
    </w:p>
    <w:p>
      <w:pPr>
        <w:pStyle w:val="BodyText"/>
        <w:spacing w:before="6"/>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210"/>
      </w:tblGrid>
      <w:tr>
        <w:trPr>
          <w:trHeight w:val="317" w:hRule="atLeast"/>
        </w:trPr>
        <w:tc>
          <w:tcPr>
            <w:tcW w:w="2676"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210" w:type="dxa"/>
            <w:shd w:val="clear" w:color="auto" w:fill="BDBDBD"/>
          </w:tcPr>
          <w:p>
            <w:pPr>
              <w:pStyle w:val="TableParagraph"/>
              <w:ind w:left="136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2" w:hRule="atLeast"/>
        </w:trPr>
        <w:tc>
          <w:tcPr>
            <w:tcW w:w="2676" w:type="dxa"/>
          </w:tcPr>
          <w:p>
            <w:pPr>
              <w:pStyle w:val="TableParagraph"/>
              <w:spacing w:before="22"/>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210" w:type="dxa"/>
          </w:tcPr>
          <w:p>
            <w:pPr>
              <w:pStyle w:val="TableParagraph"/>
              <w:spacing w:line="280" w:lineRule="auto" w:before="22"/>
              <w:ind w:right="16"/>
              <w:rPr>
                <w:sz w:val="16"/>
              </w:rPr>
            </w:pPr>
            <w:r>
              <w:rPr>
                <w:color w:val="0B0B0B"/>
                <w:sz w:val="16"/>
              </w:rPr>
              <w:t>Publicada en el DOF el 29 de diciembre de 2019, </w:t>
            </w:r>
            <w:r>
              <w:rPr>
                <w:color w:val="0B0B0B"/>
                <w:sz w:val="16"/>
              </w:rPr>
              <w:t>Anexo 3, publicado el 9 de enero de 2020.</w:t>
            </w:r>
          </w:p>
        </w:tc>
      </w:tr>
    </w:tbl>
    <w:p>
      <w:pPr>
        <w:pStyle w:val="BodyText"/>
        <w:spacing w:before="114"/>
        <w:ind w:left="0"/>
        <w:jc w:val="left"/>
      </w:pPr>
    </w:p>
    <w:p>
      <w:pPr>
        <w:pStyle w:val="Heading1"/>
        <w:spacing w:line="249" w:lineRule="auto" w:before="1"/>
        <w:ind w:right="256"/>
        <w:jc w:val="both"/>
      </w:pPr>
      <w:r>
        <w:rPr>
          <w:color w:val="0B0B0B"/>
        </w:rPr>
        <w:t>3/LFD/PI</w:t>
      </w:r>
      <w:r>
        <w:rPr>
          <w:color w:val="0B0B0B"/>
          <w:spacing w:val="80"/>
        </w:rPr>
        <w:t> </w:t>
      </w:r>
      <w:r>
        <w:rPr>
          <w:color w:val="0B0B0B"/>
        </w:rPr>
        <w:t>Derecho Especial sobre Minería</w:t>
      </w:r>
      <w:r>
        <w:rPr>
          <w:color w:val="0B0B0B"/>
        </w:rPr>
        <w:t> y Derecho</w:t>
      </w:r>
      <w:r>
        <w:rPr>
          <w:color w:val="0B0B0B"/>
        </w:rPr>
        <w:t> Extraordinario</w:t>
      </w:r>
      <w:r>
        <w:rPr>
          <w:color w:val="0B0B0B"/>
        </w:rPr>
        <w:t> sobre</w:t>
      </w:r>
      <w:r>
        <w:rPr>
          <w:color w:val="0B0B0B"/>
        </w:rPr>
        <w:t> Minería. Los adquirentes</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titularidad</w:t>
      </w:r>
      <w:r>
        <w:rPr>
          <w:color w:val="0B0B0B"/>
          <w:spacing w:val="-3"/>
        </w:rPr>
        <w:t> </w:t>
      </w:r>
      <w:r>
        <w:rPr>
          <w:color w:val="0B0B0B"/>
        </w:rPr>
        <w:t>de</w:t>
      </w:r>
      <w:r>
        <w:rPr>
          <w:color w:val="0B0B0B"/>
          <w:spacing w:val="-3"/>
        </w:rPr>
        <w:t> </w:t>
      </w:r>
      <w:r>
        <w:rPr>
          <w:color w:val="0B0B0B"/>
        </w:rPr>
        <w:t>una</w:t>
      </w:r>
      <w:r>
        <w:rPr>
          <w:color w:val="0B0B0B"/>
          <w:spacing w:val="-3"/>
        </w:rPr>
        <w:t> </w:t>
      </w:r>
      <w:r>
        <w:rPr>
          <w:color w:val="0B0B0B"/>
        </w:rPr>
        <w:t>concesión</w:t>
      </w:r>
      <w:r>
        <w:rPr>
          <w:color w:val="0B0B0B"/>
          <w:spacing w:val="-3"/>
        </w:rPr>
        <w:t> </w:t>
      </w:r>
      <w:r>
        <w:rPr>
          <w:color w:val="0B0B0B"/>
        </w:rPr>
        <w:t>o</w:t>
      </w:r>
      <w:r>
        <w:rPr>
          <w:color w:val="0B0B0B"/>
          <w:spacing w:val="-4"/>
        </w:rPr>
        <w:t> </w:t>
      </w:r>
      <w:r>
        <w:rPr>
          <w:color w:val="0B0B0B"/>
        </w:rPr>
        <w:t>de</w:t>
      </w:r>
      <w:r>
        <w:rPr>
          <w:color w:val="0B0B0B"/>
          <w:spacing w:val="-3"/>
        </w:rPr>
        <w:t> </w:t>
      </w:r>
      <w:r>
        <w:rPr>
          <w:color w:val="0B0B0B"/>
        </w:rPr>
        <w:t>los</w:t>
      </w:r>
      <w:r>
        <w:rPr>
          <w:color w:val="0B0B0B"/>
          <w:spacing w:val="-5"/>
        </w:rPr>
        <w:t> </w:t>
      </w:r>
      <w:r>
        <w:rPr>
          <w:color w:val="0B0B0B"/>
        </w:rPr>
        <w:t>derechos</w:t>
      </w:r>
      <w:r>
        <w:rPr>
          <w:color w:val="0B0B0B"/>
          <w:spacing w:val="-3"/>
        </w:rPr>
        <w:t> </w:t>
      </w:r>
      <w:r>
        <w:rPr>
          <w:color w:val="0B0B0B"/>
        </w:rPr>
        <w:t>relativos</w:t>
      </w:r>
      <w:r>
        <w:rPr>
          <w:color w:val="0B0B0B"/>
          <w:spacing w:val="-3"/>
        </w:rPr>
        <w:t> </w:t>
      </w:r>
      <w:r>
        <w:rPr>
          <w:color w:val="0B0B0B"/>
        </w:rPr>
        <w:t>a</w:t>
      </w:r>
      <w:r>
        <w:rPr>
          <w:color w:val="0B0B0B"/>
          <w:spacing w:val="-2"/>
        </w:rPr>
        <w:t> </w:t>
      </w:r>
      <w:r>
        <w:rPr>
          <w:color w:val="0B0B0B"/>
        </w:rPr>
        <w:t>esta, que obtengan ingresos de la actividad extractiva o enajenen oro, plata y platino, están obligados a su pago.</w:t>
      </w:r>
    </w:p>
    <w:p>
      <w:pPr>
        <w:pStyle w:val="BodyText"/>
        <w:spacing w:line="249" w:lineRule="auto" w:before="103"/>
        <w:ind w:right="257"/>
      </w:pPr>
      <w:r>
        <w:rPr>
          <w:color w:val="0B0B0B"/>
        </w:rPr>
        <w:t>El artículo 262 de la LFD establece que están obligadas a pagar los derechos sobre minería que establece el Capítulo XIII “Minería” de dicha Ley, todas las personas físicas o morales titulares de una concesión o que desarrollen trabajos relacionados con</w:t>
      </w:r>
      <w:r>
        <w:rPr>
          <w:color w:val="0B0B0B"/>
          <w:spacing w:val="-2"/>
        </w:rPr>
        <w:t> </w:t>
      </w:r>
      <w:r>
        <w:rPr>
          <w:color w:val="0B0B0B"/>
        </w:rPr>
        <w:t>la</w:t>
      </w:r>
      <w:r>
        <w:rPr>
          <w:color w:val="0B0B0B"/>
          <w:spacing w:val="-2"/>
        </w:rPr>
        <w:t> </w:t>
      </w:r>
      <w:r>
        <w:rPr>
          <w:color w:val="0B0B0B"/>
        </w:rPr>
        <w:t>exploración</w:t>
      </w:r>
      <w:r>
        <w:rPr>
          <w:color w:val="0B0B0B"/>
          <w:spacing w:val="-2"/>
        </w:rPr>
        <w:t> </w:t>
      </w:r>
      <w:r>
        <w:rPr>
          <w:color w:val="0B0B0B"/>
        </w:rPr>
        <w:t>o</w:t>
      </w:r>
      <w:r>
        <w:rPr>
          <w:color w:val="0B0B0B"/>
          <w:spacing w:val="-2"/>
        </w:rPr>
        <w:t> </w:t>
      </w:r>
      <w:r>
        <w:rPr>
          <w:color w:val="0B0B0B"/>
        </w:rPr>
        <w:t>explotación</w:t>
      </w:r>
      <w:r>
        <w:rPr>
          <w:color w:val="0B0B0B"/>
          <w:spacing w:val="-2"/>
        </w:rPr>
        <w:t> </w:t>
      </w:r>
      <w:r>
        <w:rPr>
          <w:color w:val="0B0B0B"/>
        </w:rPr>
        <w:t>de</w:t>
      </w:r>
      <w:r>
        <w:rPr>
          <w:color w:val="0B0B0B"/>
          <w:spacing w:val="-3"/>
        </w:rPr>
        <w:t> </w:t>
      </w:r>
      <w:r>
        <w:rPr>
          <w:color w:val="0B0B0B"/>
        </w:rPr>
        <w:t>sustancias</w:t>
      </w:r>
      <w:r>
        <w:rPr>
          <w:color w:val="0B0B0B"/>
          <w:spacing w:val="-3"/>
        </w:rPr>
        <w:t> </w:t>
      </w:r>
      <w:r>
        <w:rPr>
          <w:color w:val="0B0B0B"/>
        </w:rPr>
        <w:t>o</w:t>
      </w:r>
      <w:r>
        <w:rPr>
          <w:color w:val="0B0B0B"/>
          <w:spacing w:val="-2"/>
        </w:rPr>
        <w:t> </w:t>
      </w:r>
      <w:r>
        <w:rPr>
          <w:color w:val="0B0B0B"/>
        </w:rPr>
        <w:t>minerales</w:t>
      </w:r>
      <w:r>
        <w:rPr>
          <w:color w:val="0B0B0B"/>
          <w:spacing w:val="-2"/>
        </w:rPr>
        <w:t> </w:t>
      </w:r>
      <w:r>
        <w:rPr>
          <w:color w:val="0B0B0B"/>
        </w:rPr>
        <w:t>sujetos</w:t>
      </w:r>
      <w:r>
        <w:rPr>
          <w:color w:val="0B0B0B"/>
          <w:spacing w:val="-2"/>
        </w:rPr>
        <w:t> </w:t>
      </w:r>
      <w:r>
        <w:rPr>
          <w:color w:val="0B0B0B"/>
        </w:rPr>
        <w:t>a</w:t>
      </w:r>
      <w:r>
        <w:rPr>
          <w:color w:val="0B0B0B"/>
          <w:spacing w:val="-2"/>
        </w:rPr>
        <w:t> </w:t>
      </w:r>
      <w:r>
        <w:rPr>
          <w:color w:val="0B0B0B"/>
        </w:rPr>
        <w:t>la</w:t>
      </w:r>
      <w:r>
        <w:rPr>
          <w:color w:val="0B0B0B"/>
          <w:spacing w:val="-2"/>
        </w:rPr>
        <w:t> </w:t>
      </w:r>
      <w:r>
        <w:rPr>
          <w:color w:val="0B0B0B"/>
        </w:rPr>
        <w:t>aplicación</w:t>
      </w:r>
      <w:r>
        <w:rPr>
          <w:color w:val="0B0B0B"/>
          <w:spacing w:val="-2"/>
        </w:rPr>
        <w:t> </w:t>
      </w:r>
      <w:r>
        <w:rPr>
          <w:color w:val="0B0B0B"/>
        </w:rPr>
        <w:t>de</w:t>
      </w:r>
      <w:r>
        <w:rPr>
          <w:color w:val="0B0B0B"/>
          <w:spacing w:val="-2"/>
        </w:rPr>
        <w:t> </w:t>
      </w:r>
      <w:r>
        <w:rPr>
          <w:color w:val="0B0B0B"/>
        </w:rPr>
        <w:t>la Ley Minera.</w:t>
      </w:r>
    </w:p>
    <w:p>
      <w:pPr>
        <w:pStyle w:val="BodyText"/>
        <w:spacing w:line="249" w:lineRule="auto" w:before="106"/>
        <w:ind w:right="256"/>
      </w:pPr>
      <w:r>
        <w:rPr>
          <w:color w:val="0B0B0B"/>
        </w:rPr>
        <w:t>Por</w:t>
      </w:r>
      <w:r>
        <w:rPr>
          <w:color w:val="0B0B0B"/>
          <w:spacing w:val="-1"/>
        </w:rPr>
        <w:t> </w:t>
      </w:r>
      <w:r>
        <w:rPr>
          <w:color w:val="0B0B0B"/>
        </w:rPr>
        <w:t>otra</w:t>
      </w:r>
      <w:r>
        <w:rPr>
          <w:color w:val="0B0B0B"/>
          <w:spacing w:val="-1"/>
        </w:rPr>
        <w:t> </w:t>
      </w:r>
      <w:r>
        <w:rPr>
          <w:color w:val="0B0B0B"/>
        </w:rPr>
        <w:t>parte, los</w:t>
      </w:r>
      <w:r>
        <w:rPr>
          <w:color w:val="0B0B0B"/>
          <w:spacing w:val="-1"/>
        </w:rPr>
        <w:t> </w:t>
      </w:r>
      <w:r>
        <w:rPr>
          <w:color w:val="0B0B0B"/>
        </w:rPr>
        <w:t>artículos</w:t>
      </w:r>
      <w:r>
        <w:rPr>
          <w:color w:val="0B0B0B"/>
          <w:spacing w:val="-1"/>
        </w:rPr>
        <w:t> </w:t>
      </w:r>
      <w:r>
        <w:rPr>
          <w:color w:val="0B0B0B"/>
        </w:rPr>
        <w:t>268,</w:t>
      </w:r>
      <w:r>
        <w:rPr>
          <w:color w:val="0B0B0B"/>
          <w:spacing w:val="-1"/>
        </w:rPr>
        <w:t> </w:t>
      </w:r>
      <w:r>
        <w:rPr>
          <w:color w:val="0B0B0B"/>
        </w:rPr>
        <w:t>primer párrafo y</w:t>
      </w:r>
      <w:r>
        <w:rPr>
          <w:color w:val="0B0B0B"/>
          <w:spacing w:val="-1"/>
        </w:rPr>
        <w:t> </w:t>
      </w:r>
      <w:r>
        <w:rPr>
          <w:color w:val="0B0B0B"/>
        </w:rPr>
        <w:t>270, primer</w:t>
      </w:r>
      <w:r>
        <w:rPr>
          <w:color w:val="0B0B0B"/>
          <w:spacing w:val="-1"/>
        </w:rPr>
        <w:t> </w:t>
      </w:r>
      <w:r>
        <w:rPr>
          <w:color w:val="0B0B0B"/>
        </w:rPr>
        <w:t>párrafo de la LFD</w:t>
      </w:r>
      <w:r>
        <w:rPr>
          <w:color w:val="0B0B0B"/>
          <w:spacing w:val="-1"/>
        </w:rPr>
        <w:t> </w:t>
      </w:r>
      <w:r>
        <w:rPr>
          <w:color w:val="0B0B0B"/>
        </w:rPr>
        <w:t>indican que los titulares de concesiones y asignaciones mineras pagarán anualmente el derecho especial sobre minería y el derecho extraordinario sobre minería, respectivamente, aplicando la tasa del 8.5% a la diferencia positiva que resulte de disminuir de los ingresos derivados de la enajenación o venta de la actividad</w:t>
      </w:r>
      <w:r>
        <w:rPr>
          <w:color w:val="0B0B0B"/>
          <w:spacing w:val="40"/>
        </w:rPr>
        <w:t> </w:t>
      </w:r>
      <w:r>
        <w:rPr>
          <w:color w:val="0B0B0B"/>
        </w:rPr>
        <w:t>extractiva, las deducciones permitidas en el referido artículo 268, así como la tasa del 1% a los ingresos derivados de la enajenación del oro, plata y platino,</w:t>
      </w:r>
      <w:r>
        <w:rPr>
          <w:color w:val="0B0B0B"/>
          <w:spacing w:val="40"/>
        </w:rPr>
        <w:t> </w:t>
      </w:r>
      <w:r>
        <w:rPr>
          <w:color w:val="0B0B0B"/>
        </w:rPr>
        <w:t>respectivamente,</w:t>
      </w:r>
      <w:r>
        <w:rPr>
          <w:color w:val="0B0B0B"/>
          <w:spacing w:val="-5"/>
        </w:rPr>
        <w:t> </w:t>
      </w:r>
      <w:r>
        <w:rPr>
          <w:color w:val="0B0B0B"/>
        </w:rPr>
        <w:t>mediante</w:t>
      </w:r>
      <w:r>
        <w:rPr>
          <w:color w:val="0B0B0B"/>
          <w:spacing w:val="-5"/>
        </w:rPr>
        <w:t> </w:t>
      </w:r>
      <w:r>
        <w:rPr>
          <w:color w:val="0B0B0B"/>
        </w:rPr>
        <w:t>declaración</w:t>
      </w:r>
      <w:r>
        <w:rPr>
          <w:color w:val="0B0B0B"/>
          <w:spacing w:val="-4"/>
        </w:rPr>
        <w:t> </w:t>
      </w:r>
      <w:r>
        <w:rPr>
          <w:color w:val="0B0B0B"/>
        </w:rPr>
        <w:t>que</w:t>
      </w:r>
      <w:r>
        <w:rPr>
          <w:color w:val="0B0B0B"/>
          <w:spacing w:val="-5"/>
        </w:rPr>
        <w:t> </w:t>
      </w:r>
      <w:r>
        <w:rPr>
          <w:color w:val="0B0B0B"/>
        </w:rPr>
        <w:t>se</w:t>
      </w:r>
      <w:r>
        <w:rPr>
          <w:color w:val="0B0B0B"/>
          <w:spacing w:val="-6"/>
        </w:rPr>
        <w:t> </w:t>
      </w:r>
      <w:r>
        <w:rPr>
          <w:color w:val="0B0B0B"/>
        </w:rPr>
        <w:t>presentará</w:t>
      </w:r>
      <w:r>
        <w:rPr>
          <w:color w:val="0B0B0B"/>
          <w:spacing w:val="-4"/>
        </w:rPr>
        <w:t> </w:t>
      </w:r>
      <w:r>
        <w:rPr>
          <w:color w:val="0B0B0B"/>
        </w:rPr>
        <w:t>ante</w:t>
      </w:r>
      <w:r>
        <w:rPr>
          <w:color w:val="0B0B0B"/>
          <w:spacing w:val="-5"/>
        </w:rPr>
        <w:t> </w:t>
      </w:r>
      <w:r>
        <w:rPr>
          <w:color w:val="0B0B0B"/>
        </w:rPr>
        <w:t>las</w:t>
      </w:r>
      <w:r>
        <w:rPr>
          <w:color w:val="0B0B0B"/>
          <w:spacing w:val="-5"/>
        </w:rPr>
        <w:t> </w:t>
      </w:r>
      <w:r>
        <w:rPr>
          <w:color w:val="0B0B0B"/>
        </w:rPr>
        <w:t>oficinas</w:t>
      </w:r>
      <w:r>
        <w:rPr>
          <w:color w:val="0B0B0B"/>
          <w:spacing w:val="-4"/>
        </w:rPr>
        <w:t> </w:t>
      </w:r>
      <w:r>
        <w:rPr>
          <w:color w:val="0B0B0B"/>
        </w:rPr>
        <w:t>autorizadas por</w:t>
      </w:r>
      <w:r>
        <w:rPr>
          <w:color w:val="0B0B0B"/>
          <w:spacing w:val="-2"/>
        </w:rPr>
        <w:t> </w:t>
      </w:r>
      <w:r>
        <w:rPr>
          <w:color w:val="0B0B0B"/>
        </w:rPr>
        <w:t>el</w:t>
      </w:r>
      <w:r>
        <w:rPr>
          <w:color w:val="0B0B0B"/>
          <w:spacing w:val="-2"/>
        </w:rPr>
        <w:t> </w:t>
      </w:r>
      <w:r>
        <w:rPr>
          <w:color w:val="0B0B0B"/>
        </w:rPr>
        <w:t>SAT,</w:t>
      </w:r>
      <w:r>
        <w:rPr>
          <w:color w:val="0B0B0B"/>
          <w:spacing w:val="-2"/>
        </w:rPr>
        <w:t> </w:t>
      </w:r>
      <w:r>
        <w:rPr>
          <w:color w:val="0B0B0B"/>
        </w:rPr>
        <w:t>a</w:t>
      </w:r>
      <w:r>
        <w:rPr>
          <w:color w:val="0B0B0B"/>
          <w:spacing w:val="-2"/>
        </w:rPr>
        <w:t> </w:t>
      </w:r>
      <w:r>
        <w:rPr>
          <w:color w:val="0B0B0B"/>
        </w:rPr>
        <w:t>más</w:t>
      </w:r>
      <w:r>
        <w:rPr>
          <w:color w:val="0B0B0B"/>
          <w:spacing w:val="-2"/>
        </w:rPr>
        <w:t> </w:t>
      </w:r>
      <w:r>
        <w:rPr>
          <w:color w:val="0B0B0B"/>
        </w:rPr>
        <w:t>tardar</w:t>
      </w:r>
      <w:r>
        <w:rPr>
          <w:color w:val="0B0B0B"/>
          <w:spacing w:val="-1"/>
        </w:rPr>
        <w:t> </w:t>
      </w:r>
      <w:r>
        <w:rPr>
          <w:color w:val="0B0B0B"/>
        </w:rPr>
        <w:t>el</w:t>
      </w:r>
      <w:r>
        <w:rPr>
          <w:color w:val="0B0B0B"/>
          <w:spacing w:val="-1"/>
        </w:rPr>
        <w:t> </w:t>
      </w:r>
      <w:r>
        <w:rPr>
          <w:color w:val="0B0B0B"/>
        </w:rPr>
        <w:t>último</w:t>
      </w:r>
      <w:r>
        <w:rPr>
          <w:color w:val="0B0B0B"/>
          <w:spacing w:val="-2"/>
        </w:rPr>
        <w:t> </w:t>
      </w:r>
      <w:r>
        <w:rPr>
          <w:color w:val="0B0B0B"/>
        </w:rPr>
        <w:t>día</w:t>
      </w:r>
      <w:r>
        <w:rPr>
          <w:color w:val="0B0B0B"/>
          <w:spacing w:val="-2"/>
        </w:rPr>
        <w:t> </w:t>
      </w:r>
      <w:r>
        <w:rPr>
          <w:color w:val="0B0B0B"/>
        </w:rPr>
        <w:t>hábil</w:t>
      </w:r>
      <w:r>
        <w:rPr>
          <w:color w:val="0B0B0B"/>
          <w:spacing w:val="-1"/>
        </w:rPr>
        <w:t> </w:t>
      </w:r>
      <w:r>
        <w:rPr>
          <w:color w:val="0B0B0B"/>
        </w:rPr>
        <w:t>del</w:t>
      </w:r>
      <w:r>
        <w:rPr>
          <w:color w:val="0B0B0B"/>
          <w:spacing w:val="-3"/>
        </w:rPr>
        <w:t> </w:t>
      </w:r>
      <w:r>
        <w:rPr>
          <w:color w:val="0B0B0B"/>
        </w:rPr>
        <w:t>mes</w:t>
      </w:r>
      <w:r>
        <w:rPr>
          <w:color w:val="0B0B0B"/>
          <w:spacing w:val="-2"/>
        </w:rPr>
        <w:t> </w:t>
      </w:r>
      <w:r>
        <w:rPr>
          <w:color w:val="0B0B0B"/>
        </w:rPr>
        <w:t>de</w:t>
      </w:r>
      <w:r>
        <w:rPr>
          <w:color w:val="0B0B0B"/>
          <w:spacing w:val="-2"/>
        </w:rPr>
        <w:t> </w:t>
      </w:r>
      <w:r>
        <w:rPr>
          <w:color w:val="0B0B0B"/>
        </w:rPr>
        <w:t>marzo</w:t>
      </w:r>
      <w:r>
        <w:rPr>
          <w:color w:val="0B0B0B"/>
          <w:spacing w:val="-2"/>
        </w:rPr>
        <w:t> </w:t>
      </w:r>
      <w:r>
        <w:rPr>
          <w:color w:val="0B0B0B"/>
        </w:rPr>
        <w:t>del</w:t>
      </w:r>
      <w:r>
        <w:rPr>
          <w:color w:val="0B0B0B"/>
          <w:spacing w:val="-2"/>
        </w:rPr>
        <w:t> </w:t>
      </w:r>
      <w:r>
        <w:rPr>
          <w:color w:val="0B0B0B"/>
        </w:rPr>
        <w:t>año</w:t>
      </w:r>
      <w:r>
        <w:rPr>
          <w:color w:val="0B0B0B"/>
          <w:spacing w:val="-2"/>
        </w:rPr>
        <w:t> </w:t>
      </w:r>
      <w:r>
        <w:rPr>
          <w:color w:val="0B0B0B"/>
        </w:rPr>
        <w:t>siguiente</w:t>
      </w:r>
      <w:r>
        <w:rPr>
          <w:color w:val="0B0B0B"/>
          <w:spacing w:val="-2"/>
        </w:rPr>
        <w:t> </w:t>
      </w:r>
      <w:r>
        <w:rPr>
          <w:color w:val="0B0B0B"/>
        </w:rPr>
        <w:t>a</w:t>
      </w:r>
      <w:r>
        <w:rPr>
          <w:color w:val="0B0B0B"/>
          <w:spacing w:val="-2"/>
        </w:rPr>
        <w:t> </w:t>
      </w:r>
      <w:r>
        <w:rPr>
          <w:color w:val="0B0B0B"/>
        </w:rPr>
        <w:t>aquél al que corresponda el pago.</w:t>
      </w:r>
    </w:p>
    <w:p>
      <w:pPr>
        <w:pStyle w:val="BodyText"/>
        <w:spacing w:before="108"/>
      </w:pPr>
      <w:r>
        <w:rPr>
          <w:color w:val="0B0B0B"/>
        </w:rPr>
        <w:t>La</w:t>
      </w:r>
      <w:r>
        <w:rPr>
          <w:color w:val="0B0B0B"/>
          <w:spacing w:val="-2"/>
        </w:rPr>
        <w:t> </w:t>
      </w:r>
      <w:r>
        <w:rPr>
          <w:color w:val="0B0B0B"/>
        </w:rPr>
        <w:t>exposición de</w:t>
      </w:r>
      <w:r>
        <w:rPr>
          <w:color w:val="0B0B0B"/>
          <w:spacing w:val="-1"/>
        </w:rPr>
        <w:t> </w:t>
      </w:r>
      <w:r>
        <w:rPr>
          <w:color w:val="0B0B0B"/>
        </w:rPr>
        <w:t>motivos</w:t>
      </w:r>
      <w:r>
        <w:rPr>
          <w:color w:val="0B0B0B"/>
          <w:spacing w:val="-2"/>
        </w:rPr>
        <w:t> </w:t>
      </w:r>
      <w:r>
        <w:rPr>
          <w:color w:val="0B0B0B"/>
        </w:rPr>
        <w:t>que</w:t>
      </w:r>
      <w:r>
        <w:rPr>
          <w:color w:val="0B0B0B"/>
          <w:spacing w:val="-1"/>
        </w:rPr>
        <w:t> </w:t>
      </w:r>
      <w:r>
        <w:rPr>
          <w:color w:val="0B0B0B"/>
        </w:rPr>
        <w:t>dio</w:t>
      </w:r>
      <w:r>
        <w:rPr>
          <w:color w:val="0B0B0B"/>
          <w:spacing w:val="-1"/>
        </w:rPr>
        <w:t> </w:t>
      </w:r>
      <w:r>
        <w:rPr>
          <w:color w:val="0B0B0B"/>
        </w:rPr>
        <w:t>lugar</w:t>
      </w:r>
      <w:r>
        <w:rPr>
          <w:color w:val="0B0B0B"/>
          <w:spacing w:val="-2"/>
        </w:rPr>
        <w:t> </w:t>
      </w:r>
      <w:r>
        <w:rPr>
          <w:color w:val="0B0B0B"/>
        </w:rPr>
        <w:t>a</w:t>
      </w:r>
      <w:r>
        <w:rPr>
          <w:color w:val="0B0B0B"/>
          <w:spacing w:val="-1"/>
        </w:rPr>
        <w:t> </w:t>
      </w:r>
      <w:r>
        <w:rPr>
          <w:color w:val="0B0B0B"/>
        </w:rPr>
        <w:t>la reforma de</w:t>
      </w:r>
      <w:r>
        <w:rPr>
          <w:color w:val="0B0B0B"/>
          <w:spacing w:val="-1"/>
        </w:rPr>
        <w:t> </w:t>
      </w:r>
      <w:r>
        <w:rPr>
          <w:color w:val="0B0B0B"/>
        </w:rPr>
        <w:t>la LFD,</w:t>
      </w:r>
      <w:r>
        <w:rPr>
          <w:color w:val="0B0B0B"/>
          <w:spacing w:val="-1"/>
        </w:rPr>
        <w:t> </w:t>
      </w:r>
      <w:r>
        <w:rPr>
          <w:color w:val="0B0B0B"/>
        </w:rPr>
        <w:t>publicada</w:t>
      </w:r>
      <w:r>
        <w:rPr>
          <w:color w:val="0B0B0B"/>
          <w:spacing w:val="-1"/>
        </w:rPr>
        <w:t> </w:t>
      </w:r>
      <w:r>
        <w:rPr>
          <w:color w:val="0B0B0B"/>
        </w:rPr>
        <w:t>en el</w:t>
      </w:r>
      <w:r>
        <w:rPr>
          <w:color w:val="0B0B0B"/>
          <w:spacing w:val="-1"/>
        </w:rPr>
        <w:t> </w:t>
      </w:r>
      <w:r>
        <w:rPr>
          <w:color w:val="0B0B0B"/>
        </w:rPr>
        <w:t>DOF</w:t>
      </w:r>
      <w:r>
        <w:rPr>
          <w:color w:val="0B0B0B"/>
          <w:spacing w:val="-1"/>
        </w:rPr>
        <w:t> </w:t>
      </w:r>
      <w:r>
        <w:rPr>
          <w:color w:val="0B0B0B"/>
          <w:spacing w:val="-5"/>
        </w:rPr>
        <w:t>el</w:t>
      </w:r>
    </w:p>
    <w:p>
      <w:pPr>
        <w:pStyle w:val="BodyText"/>
        <w:spacing w:line="249" w:lineRule="auto" w:before="9"/>
        <w:ind w:right="257"/>
      </w:pPr>
      <w:r>
        <w:rPr>
          <w:color w:val="0B0B0B"/>
        </w:rPr>
        <w:t>11 de diciembre de 2013, justificó</w:t>
      </w:r>
      <w:r>
        <w:rPr>
          <w:color w:val="0B0B0B"/>
        </w:rPr>
        <w:t> la inclusión del artículo 268 de la LFD con la</w:t>
      </w:r>
      <w:r>
        <w:rPr>
          <w:color w:val="0B0B0B"/>
          <w:spacing w:val="40"/>
        </w:rPr>
        <w:t> </w:t>
      </w:r>
      <w:r>
        <w:rPr>
          <w:color w:val="0B0B0B"/>
        </w:rPr>
        <w:t>finalidad de que el Estado obtenga una retribución justa por el aprovechamiento de los recursos no renovables de la Nación, mediante el establecimiento de un porcentaje razonable acorde a la utilidad neta obtenida que refleja de manera directa el beneficio derivado de la extracción.</w:t>
      </w:r>
    </w:p>
    <w:p>
      <w:pPr>
        <w:pStyle w:val="BodyText"/>
        <w:spacing w:line="249" w:lineRule="auto" w:before="105"/>
        <w:ind w:right="258"/>
      </w:pPr>
      <w:r>
        <w:rPr>
          <w:color w:val="0B0B0B"/>
        </w:rPr>
        <w:t>Dicha reforma también dio lugar a la adición del artículo 270 de la LFD, indicando que el derecho a que se refiere dicho artículo, tiene como objetivo retribuir al Estado por la extracción de minerales preciosos que tienen un valor</w:t>
      </w:r>
      <w:r>
        <w:rPr>
          <w:color w:val="0B0B0B"/>
        </w:rPr>
        <w:t> en el mercado internacional considerablemente mayor al de otros metales, cuyos procesos extractivos afectan el entorno donde se encuentran, además del agotamiento de recursos no renovables.</w:t>
      </w:r>
    </w:p>
    <w:p>
      <w:pPr>
        <w:pStyle w:val="BodyText"/>
        <w:spacing w:line="249" w:lineRule="auto" w:before="104"/>
        <w:ind w:right="258"/>
      </w:pPr>
      <w:r>
        <w:rPr>
          <w:color w:val="0B0B0B"/>
        </w:rPr>
        <w:t>Por su parte, el artículo 19, fracción VII de la Ley Minera indica que las concesiones mineras confieren el derecho a transmitir su titularidad o los derechos establecidos por las fracciones I a VI de dicho artículo a personas legalmente capacitadas para </w:t>
      </w:r>
      <w:r>
        <w:rPr>
          <w:color w:val="0B0B0B"/>
          <w:spacing w:val="-2"/>
        </w:rPr>
        <w:t>obtenerlas.</w:t>
      </w:r>
    </w:p>
    <w:p>
      <w:pPr>
        <w:pStyle w:val="BodyText"/>
        <w:spacing w:line="249" w:lineRule="auto" w:before="104"/>
        <w:ind w:right="257"/>
      </w:pPr>
      <w:r>
        <w:rPr>
          <w:color w:val="0B0B0B"/>
        </w:rPr>
        <w:t>El artículo 23, primer párrafo de dicha Ley precisa que la transmisión de la titularidad de concesiones mineras o de los derechos que de ellas deriven surtirán sus efectos legales ante terceros a partir de su inscripción en el Registro Público de Minería.</w:t>
      </w:r>
    </w:p>
    <w:p>
      <w:pPr>
        <w:pStyle w:val="BodyText"/>
        <w:spacing w:line="249" w:lineRule="auto" w:before="103"/>
        <w:ind w:right="257"/>
      </w:pPr>
      <w:r>
        <w:rPr>
          <w:color w:val="0B0B0B"/>
        </w:rPr>
        <w:t>De la interpretación armónica y sistemática de las disposiciones analizadas,</w:t>
      </w:r>
      <w:r>
        <w:rPr>
          <w:color w:val="0B0B0B"/>
        </w:rPr>
        <w:t> se concluye que los adquirentes</w:t>
      </w:r>
      <w:r>
        <w:rPr>
          <w:color w:val="0B0B0B"/>
        </w:rPr>
        <w:t> de derechos relativos a las concesiones mineras que obtengan ingresos derivados de la enajenación o venta de la actividad extractiva, o bien, enajenen o vendan el oro, plata y platino, se ubican, respectivamente,</w:t>
      </w:r>
      <w:r>
        <w:rPr>
          <w:color w:val="0B0B0B"/>
        </w:rPr>
        <w:t> en las hipótesis de causación previstas en los artículos 268 y 270 de la LFD, con independencia de que la transmisión de la titularidad de dichas concesiones o de los derechos que de ellas deriven,</w:t>
      </w:r>
      <w:r>
        <w:rPr>
          <w:color w:val="0B0B0B"/>
        </w:rPr>
        <w:t> surta</w:t>
      </w:r>
      <w:r>
        <w:rPr>
          <w:color w:val="0B0B0B"/>
        </w:rPr>
        <w:t> sus</w:t>
      </w:r>
      <w:r>
        <w:rPr>
          <w:color w:val="0B0B0B"/>
        </w:rPr>
        <w:t> efectos</w:t>
      </w:r>
      <w:r>
        <w:rPr>
          <w:color w:val="0B0B0B"/>
        </w:rPr>
        <w:t> frente</w:t>
      </w:r>
      <w:r>
        <w:rPr>
          <w:color w:val="0B0B0B"/>
        </w:rPr>
        <w:t> a terceros a partir de su inscripción en el Registro Público de Minería.</w:t>
      </w:r>
    </w:p>
    <w:p>
      <w:pPr>
        <w:pStyle w:val="BodyText"/>
        <w:spacing w:line="249" w:lineRule="auto" w:before="108"/>
        <w:ind w:right="258"/>
      </w:pPr>
      <w:r>
        <w:rPr>
          <w:color w:val="0B0B0B"/>
        </w:rPr>
        <w:t>Al efecto, se ha detectado que algunos contribuyentes que efectuaron la adquisición</w:t>
      </w:r>
      <w:r>
        <w:rPr>
          <w:color w:val="0B0B0B"/>
          <w:spacing w:val="40"/>
        </w:rPr>
        <w:t> </w:t>
      </w:r>
      <w:r>
        <w:rPr>
          <w:color w:val="0B0B0B"/>
        </w:rPr>
        <w:t>de la titularidad de una concesión o de los derechos relativos</w:t>
      </w:r>
      <w:r>
        <w:rPr>
          <w:color w:val="0B0B0B"/>
        </w:rPr>
        <w:t> a esta, que obtienen ingresos derivados de la actividad extractiva o llevan a cabo la enajenación o venta de oro, plata y platino extraídos de la mina respectiva, no efectúan el pago del derecho especial sobre minería y el derecho extraordinario sobre minería, argumentando que</w:t>
      </w:r>
    </w:p>
    <w:p>
      <w:pPr>
        <w:pStyle w:val="BodyText"/>
        <w:spacing w:after="0" w:line="249" w:lineRule="auto"/>
        <w:sectPr>
          <w:headerReference w:type="default" r:id="rId67"/>
          <w:pgSz w:w="12240" w:h="15840"/>
          <w:pgMar w:header="690" w:footer="0" w:top="1040" w:bottom="280" w:left="1440" w:right="1440"/>
        </w:sectPr>
      </w:pPr>
    </w:p>
    <w:p>
      <w:pPr>
        <w:pStyle w:val="BodyText"/>
        <w:spacing w:line="249" w:lineRule="auto" w:before="112"/>
        <w:ind w:right="257"/>
      </w:pPr>
      <w:r>
        <w:rPr>
          <w:color w:val="0B0B0B"/>
        </w:rPr>
        <w:t>no son sujetos obligados al pago de dichos derechos por no tener la titularidad de la concesión minera, o bien que la transmisión de la titularidad de la concesión o los derechos aún no surte efectos legales ante terceros, debido a que su inscripción está en trámite en el Registro Público de Minería.</w:t>
      </w:r>
    </w:p>
    <w:p>
      <w:pPr>
        <w:pStyle w:val="BodyText"/>
        <w:spacing w:before="105"/>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71"/>
        </w:numPr>
        <w:tabs>
          <w:tab w:pos="2664" w:val="left" w:leader="none"/>
        </w:tabs>
        <w:spacing w:line="252" w:lineRule="auto" w:before="112" w:after="0"/>
        <w:ind w:left="2664" w:right="257" w:hanging="504"/>
        <w:jc w:val="both"/>
        <w:rPr>
          <w:sz w:val="18"/>
        </w:rPr>
      </w:pPr>
      <w:r>
        <w:rPr>
          <w:color w:val="0B0B0B"/>
          <w:sz w:val="18"/>
        </w:rPr>
        <w:t>Los adquirentes de la titularidad de una concesión o de los derechos relativos a esta, que obtengan ingresos derivados de la actividad extractiva o aquéllos que enajenen o vendan el oro, plata y platino, y no paguen los derechos especial y extraordinario sobre minería a que se refieren los artículos 268 y 270 de la LFD, </w:t>
      </w:r>
      <w:r>
        <w:rPr>
          <w:color w:val="0B0B0B"/>
          <w:spacing w:val="-2"/>
          <w:sz w:val="18"/>
        </w:rPr>
        <w:t>respectivamente.</w:t>
      </w:r>
    </w:p>
    <w:p>
      <w:pPr>
        <w:pStyle w:val="ListParagraph"/>
        <w:numPr>
          <w:ilvl w:val="0"/>
          <w:numId w:val="71"/>
        </w:numPr>
        <w:tabs>
          <w:tab w:pos="2664" w:val="left" w:leader="none"/>
        </w:tabs>
        <w:spacing w:line="254" w:lineRule="auto" w:before="103"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before="2"/>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192"/>
      </w:tblGrid>
      <w:tr>
        <w:trPr>
          <w:trHeight w:val="318" w:hRule="atLeast"/>
        </w:trPr>
        <w:tc>
          <w:tcPr>
            <w:tcW w:w="2676"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92" w:type="dxa"/>
            <w:shd w:val="clear" w:color="auto" w:fill="BDBDBD"/>
          </w:tcPr>
          <w:p>
            <w:pPr>
              <w:pStyle w:val="TableParagraph"/>
              <w:ind w:left="135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7" w:hRule="atLeast"/>
        </w:trPr>
        <w:tc>
          <w:tcPr>
            <w:tcW w:w="2676" w:type="dxa"/>
          </w:tcPr>
          <w:p>
            <w:pPr>
              <w:pStyle w:val="TableParagraph"/>
              <w:spacing w:before="2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192" w:type="dxa"/>
          </w:tcPr>
          <w:p>
            <w:pPr>
              <w:pStyle w:val="TableParagraph"/>
              <w:spacing w:line="283" w:lineRule="auto" w:before="25"/>
              <w:ind w:firstLine="1"/>
              <w:rPr>
                <w:sz w:val="16"/>
              </w:rPr>
            </w:pPr>
            <w:r>
              <w:rPr>
                <w:color w:val="0B0B0B"/>
                <w:sz w:val="16"/>
              </w:rPr>
              <w:t>Publicada en el DOF el 29 de diciembre de 2019, Anexo 3, publicado el 9 de enero de 2020.</w:t>
            </w:r>
          </w:p>
        </w:tc>
      </w:tr>
    </w:tbl>
    <w:p>
      <w:pPr>
        <w:pStyle w:val="BodyText"/>
        <w:spacing w:before="118"/>
        <w:ind w:left="0"/>
        <w:jc w:val="left"/>
      </w:pPr>
    </w:p>
    <w:p>
      <w:pPr>
        <w:pStyle w:val="Heading1"/>
        <w:tabs>
          <w:tab w:pos="1184" w:val="left" w:leader="none"/>
        </w:tabs>
        <w:ind w:left="176" w:firstLine="0"/>
        <w:jc w:val="center"/>
      </w:pPr>
      <w:r>
        <w:rPr>
          <w:color w:val="0B0B0B"/>
          <w:spacing w:val="-2"/>
        </w:rPr>
        <w:t>4/LFD/PI</w:t>
      </w:r>
      <w:r>
        <w:rPr>
          <w:color w:val="0B0B0B"/>
        </w:rPr>
        <w:tab/>
        <w:t>Derecho</w:t>
      </w:r>
      <w:r>
        <w:rPr>
          <w:color w:val="0B0B0B"/>
          <w:spacing w:val="-6"/>
        </w:rPr>
        <w:t> </w:t>
      </w:r>
      <w:r>
        <w:rPr>
          <w:color w:val="0B0B0B"/>
        </w:rPr>
        <w:t>Especial</w:t>
      </w:r>
      <w:r>
        <w:rPr>
          <w:color w:val="0B0B0B"/>
          <w:spacing w:val="-6"/>
        </w:rPr>
        <w:t> </w:t>
      </w:r>
      <w:r>
        <w:rPr>
          <w:color w:val="0B0B0B"/>
        </w:rPr>
        <w:t>sobre</w:t>
      </w:r>
      <w:r>
        <w:rPr>
          <w:color w:val="0B0B0B"/>
          <w:spacing w:val="-6"/>
        </w:rPr>
        <w:t> </w:t>
      </w:r>
      <w:r>
        <w:rPr>
          <w:color w:val="0B0B0B"/>
        </w:rPr>
        <w:t>Minería.</w:t>
      </w:r>
      <w:r>
        <w:rPr>
          <w:color w:val="0B0B0B"/>
          <w:spacing w:val="-6"/>
        </w:rPr>
        <w:t> </w:t>
      </w:r>
      <w:r>
        <w:rPr>
          <w:color w:val="0B0B0B"/>
        </w:rPr>
        <w:t>Deducción</w:t>
      </w:r>
      <w:r>
        <w:rPr>
          <w:color w:val="0B0B0B"/>
          <w:spacing w:val="-6"/>
        </w:rPr>
        <w:t> </w:t>
      </w:r>
      <w:r>
        <w:rPr>
          <w:color w:val="0B0B0B"/>
        </w:rPr>
        <w:t>de</w:t>
      </w:r>
      <w:r>
        <w:rPr>
          <w:color w:val="0B0B0B"/>
          <w:spacing w:val="-7"/>
        </w:rPr>
        <w:t> </w:t>
      </w:r>
      <w:r>
        <w:rPr>
          <w:color w:val="0B0B0B"/>
        </w:rPr>
        <w:t>inversiones</w:t>
      </w:r>
      <w:r>
        <w:rPr>
          <w:color w:val="0B0B0B"/>
          <w:spacing w:val="-7"/>
        </w:rPr>
        <w:t> </w:t>
      </w:r>
      <w:r>
        <w:rPr>
          <w:color w:val="0B0B0B"/>
        </w:rPr>
        <w:t>de</w:t>
      </w:r>
      <w:r>
        <w:rPr>
          <w:color w:val="0B0B0B"/>
          <w:spacing w:val="-6"/>
        </w:rPr>
        <w:t> </w:t>
      </w:r>
      <w:r>
        <w:rPr>
          <w:color w:val="0B0B0B"/>
        </w:rPr>
        <w:t>activo</w:t>
      </w:r>
      <w:r>
        <w:rPr>
          <w:color w:val="0B0B0B"/>
          <w:spacing w:val="-5"/>
        </w:rPr>
        <w:t> </w:t>
      </w:r>
      <w:r>
        <w:rPr>
          <w:color w:val="0B0B0B"/>
          <w:spacing w:val="-2"/>
        </w:rPr>
        <w:t>fijo.</w:t>
      </w:r>
    </w:p>
    <w:p>
      <w:pPr>
        <w:pStyle w:val="BodyText"/>
        <w:spacing w:line="252" w:lineRule="auto" w:before="111"/>
        <w:ind w:right="258"/>
      </w:pPr>
      <w:r>
        <w:rPr>
          <w:color w:val="0B0B0B"/>
        </w:rPr>
        <w:t>El artículo 268, primer párrafo de la LFD establece que los titulares de concesiones y asignaciones mineras pagarán anualmente el derecho especial sobre minería, aplicando la tasa del 8.5% a la diferencia positiva que resulte de disminuir de los ingresos derivados de la enajenación o venta de la actividad extractiva, las deducciones permitidas en dicho artículo.</w:t>
      </w:r>
    </w:p>
    <w:p>
      <w:pPr>
        <w:pStyle w:val="BodyText"/>
        <w:spacing w:line="252" w:lineRule="auto" w:before="105"/>
        <w:ind w:right="258"/>
      </w:pPr>
      <w:r>
        <w:rPr>
          <w:color w:val="0B0B0B"/>
        </w:rPr>
        <w:t>El tercer párrafo del artículo mencionado indica que para la determinación de la base de dicho derecho, se podrán disminuir las deducciones autorizadas conforme a la Ley del ISR, exceptuándose, entre otras, las inversiones, salvo las realizadas para la prospección y exploración minera o las que las sustituyan.</w:t>
      </w:r>
    </w:p>
    <w:p>
      <w:pPr>
        <w:pStyle w:val="BodyText"/>
        <w:spacing w:line="252" w:lineRule="auto" w:before="104"/>
        <w:ind w:right="255"/>
      </w:pPr>
      <w:r>
        <w:rPr>
          <w:color w:val="0B0B0B"/>
        </w:rPr>
        <w:t>El artículo 32, primer y segundo párrafos de la Ley del ISR precisa que se consideran inversiones, entre otros conceptos, los activos fijos, definidos como el conjunto de bienes</w:t>
      </w:r>
      <w:r>
        <w:rPr>
          <w:color w:val="0B0B0B"/>
          <w:spacing w:val="-3"/>
        </w:rPr>
        <w:t> </w:t>
      </w:r>
      <w:r>
        <w:rPr>
          <w:color w:val="0B0B0B"/>
        </w:rPr>
        <w:t>tangibles</w:t>
      </w:r>
      <w:r>
        <w:rPr>
          <w:color w:val="0B0B0B"/>
          <w:spacing w:val="-3"/>
        </w:rPr>
        <w:t> </w:t>
      </w:r>
      <w:r>
        <w:rPr>
          <w:color w:val="0B0B0B"/>
        </w:rPr>
        <w:t>que</w:t>
      </w:r>
      <w:r>
        <w:rPr>
          <w:color w:val="0B0B0B"/>
          <w:spacing w:val="-2"/>
        </w:rPr>
        <w:t> </w:t>
      </w:r>
      <w:r>
        <w:rPr>
          <w:color w:val="0B0B0B"/>
        </w:rPr>
        <w:t>utilicen</w:t>
      </w:r>
      <w:r>
        <w:rPr>
          <w:color w:val="0B0B0B"/>
          <w:spacing w:val="-3"/>
        </w:rPr>
        <w:t> </w:t>
      </w:r>
      <w:r>
        <w:rPr>
          <w:color w:val="0B0B0B"/>
        </w:rPr>
        <w:t>los</w:t>
      </w:r>
      <w:r>
        <w:rPr>
          <w:color w:val="0B0B0B"/>
          <w:spacing w:val="-3"/>
        </w:rPr>
        <w:t> </w:t>
      </w:r>
      <w:r>
        <w:rPr>
          <w:color w:val="0B0B0B"/>
        </w:rPr>
        <w:t>contribuyentes</w:t>
      </w:r>
      <w:r>
        <w:rPr>
          <w:color w:val="0B0B0B"/>
          <w:spacing w:val="-3"/>
        </w:rPr>
        <w:t> </w:t>
      </w:r>
      <w:r>
        <w:rPr>
          <w:color w:val="0B0B0B"/>
        </w:rPr>
        <w:t>para</w:t>
      </w:r>
      <w:r>
        <w:rPr>
          <w:color w:val="0B0B0B"/>
          <w:spacing w:val="-3"/>
        </w:rPr>
        <w:t> </w:t>
      </w:r>
      <w:r>
        <w:rPr>
          <w:color w:val="0B0B0B"/>
        </w:rPr>
        <w:t>la</w:t>
      </w:r>
      <w:r>
        <w:rPr>
          <w:color w:val="0B0B0B"/>
          <w:spacing w:val="-3"/>
        </w:rPr>
        <w:t> </w:t>
      </w:r>
      <w:r>
        <w:rPr>
          <w:color w:val="0B0B0B"/>
        </w:rPr>
        <w:t>realización</w:t>
      </w:r>
      <w:r>
        <w:rPr>
          <w:color w:val="0B0B0B"/>
          <w:spacing w:val="-3"/>
        </w:rPr>
        <w:t> </w:t>
      </w:r>
      <w:r>
        <w:rPr>
          <w:color w:val="0B0B0B"/>
        </w:rPr>
        <w:t>de</w:t>
      </w:r>
      <w:r>
        <w:rPr>
          <w:color w:val="0B0B0B"/>
          <w:spacing w:val="-3"/>
        </w:rPr>
        <w:t> </w:t>
      </w:r>
      <w:r>
        <w:rPr>
          <w:color w:val="0B0B0B"/>
        </w:rPr>
        <w:t>sus</w:t>
      </w:r>
      <w:r>
        <w:rPr>
          <w:color w:val="0B0B0B"/>
          <w:spacing w:val="-2"/>
        </w:rPr>
        <w:t> </w:t>
      </w:r>
      <w:r>
        <w:rPr>
          <w:color w:val="0B0B0B"/>
        </w:rPr>
        <w:t>actividades</w:t>
      </w:r>
      <w:r>
        <w:rPr>
          <w:color w:val="0B0B0B"/>
          <w:spacing w:val="-1"/>
        </w:rPr>
        <w:t> </w:t>
      </w:r>
      <w:r>
        <w:rPr>
          <w:color w:val="0B0B0B"/>
        </w:rPr>
        <w:t>y que se demeriten por el uso en el servicio del contribuyente y por el transcurso del tiempo.</w:t>
      </w:r>
      <w:r>
        <w:rPr>
          <w:color w:val="0B0B0B"/>
        </w:rPr>
        <w:t> Asimismo, el segundo párrafo referido establece que la adquisición o fabricación de estos bienes tendrá siempre como finalidad la utilización de los mismos para el desarrollo de las actividades del contribuyente, y no la de ser enajenados dentro del curso normal de sus operaciones.</w:t>
      </w:r>
    </w:p>
    <w:p>
      <w:pPr>
        <w:pStyle w:val="BodyText"/>
        <w:spacing w:line="252" w:lineRule="auto" w:before="106"/>
        <w:ind w:right="257"/>
      </w:pPr>
      <w:r>
        <w:rPr>
          <w:color w:val="0B0B0B"/>
        </w:rPr>
        <w:t>Al efecto, se ha detectado que algunos contribuyentes del derecho especial sobre minería, trasmiten activos fijos que eran de su propiedad a sus partes relacionadas a través</w:t>
      </w:r>
      <w:r>
        <w:rPr>
          <w:color w:val="0B0B0B"/>
        </w:rPr>
        <w:t> de la enajenación, escisión o cualquier otra figura jurídica y, posteriormente, pactan</w:t>
      </w:r>
      <w:r>
        <w:rPr>
          <w:color w:val="0B0B0B"/>
        </w:rPr>
        <w:t> su</w:t>
      </w:r>
      <w:r>
        <w:rPr>
          <w:color w:val="0B0B0B"/>
        </w:rPr>
        <w:t> uso, goce o aprovechamiento, a cambio de un pago que consideran un</w:t>
      </w:r>
      <w:r>
        <w:rPr>
          <w:color w:val="0B0B0B"/>
          <w:spacing w:val="40"/>
        </w:rPr>
        <w:t> </w:t>
      </w:r>
      <w:r>
        <w:rPr>
          <w:color w:val="0B0B0B"/>
        </w:rPr>
        <w:t>gasto deducible para efectos del derecho especial sobre minería, eludiendo de esta forma la imposibilidad de deducir el valor de las inversiones de activos fijos, que no están permitidas conforme al artículo 268, tercer párrafo de la LFD.</w:t>
      </w:r>
    </w:p>
    <w:p>
      <w:pPr>
        <w:pStyle w:val="BodyText"/>
        <w:spacing w:before="106"/>
      </w:pPr>
      <w:r>
        <w:rPr>
          <w:color w:val="0B0B0B"/>
        </w:rPr>
        <w:t>Por</w:t>
      </w:r>
      <w:r>
        <w:rPr>
          <w:color w:val="0B0B0B"/>
          <w:spacing w:val="-8"/>
        </w:rPr>
        <w:t> </w:t>
      </w:r>
      <w:r>
        <w:rPr>
          <w:color w:val="0B0B0B"/>
        </w:rPr>
        <w:t>lo</w:t>
      </w:r>
      <w:r>
        <w:rPr>
          <w:color w:val="0B0B0B"/>
          <w:spacing w:val="-7"/>
        </w:rPr>
        <w:t> </w:t>
      </w:r>
      <w:r>
        <w:rPr>
          <w:color w:val="0B0B0B"/>
        </w:rPr>
        <w:t>tanto,</w:t>
      </w:r>
      <w:r>
        <w:rPr>
          <w:color w:val="0B0B0B"/>
          <w:spacing w:val="-7"/>
        </w:rPr>
        <w:t> </w:t>
      </w:r>
      <w:r>
        <w:rPr>
          <w:color w:val="0B0B0B"/>
        </w:rPr>
        <w:t>se</w:t>
      </w:r>
      <w:r>
        <w:rPr>
          <w:color w:val="0B0B0B"/>
          <w:spacing w:val="-6"/>
        </w:rPr>
        <w:t> </w:t>
      </w:r>
      <w:r>
        <w:rPr>
          <w:color w:val="0B0B0B"/>
        </w:rPr>
        <w:t>considera</w:t>
      </w:r>
      <w:r>
        <w:rPr>
          <w:color w:val="0B0B0B"/>
          <w:spacing w:val="-7"/>
        </w:rPr>
        <w:t> </w:t>
      </w:r>
      <w:r>
        <w:rPr>
          <w:color w:val="0B0B0B"/>
        </w:rPr>
        <w:t>que</w:t>
      </w:r>
      <w:r>
        <w:rPr>
          <w:color w:val="0B0B0B"/>
          <w:spacing w:val="-6"/>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7"/>
        </w:rPr>
        <w:t> </w:t>
      </w:r>
      <w:r>
        <w:rPr>
          <w:color w:val="0B0B0B"/>
        </w:rPr>
        <w:t>fiscal</w:t>
      </w:r>
      <w:r>
        <w:rPr>
          <w:color w:val="0B0B0B"/>
          <w:spacing w:val="-7"/>
        </w:rPr>
        <w:t> </w:t>
      </w:r>
      <w:r>
        <w:rPr>
          <w:color w:val="0B0B0B"/>
          <w:spacing w:val="-2"/>
        </w:rPr>
        <w:t>indebida:</w:t>
      </w:r>
    </w:p>
    <w:p>
      <w:pPr>
        <w:pStyle w:val="ListParagraph"/>
        <w:numPr>
          <w:ilvl w:val="0"/>
          <w:numId w:val="72"/>
        </w:numPr>
        <w:tabs>
          <w:tab w:pos="2664" w:val="left" w:leader="none"/>
        </w:tabs>
        <w:spacing w:line="252" w:lineRule="auto" w:before="112" w:after="0"/>
        <w:ind w:left="2664" w:right="259" w:hanging="504"/>
        <w:jc w:val="both"/>
        <w:rPr>
          <w:sz w:val="18"/>
        </w:rPr>
      </w:pPr>
      <w:r>
        <w:rPr>
          <w:color w:val="0B0B0B"/>
          <w:sz w:val="18"/>
        </w:rPr>
        <w:t>El contribuyente que en la determinación del derecho especial sobre minería deduzca gastos por el uso, goce o aprovechamiento de bienes que deriven de inversiones de activos fijos que hubiesen sido de su propiedad y, posteriormente, hayan sido transmitidos a sus partes relacionadas, a las cuales les efectúa los pagos correspondientes por dicho uso, goce o aprovechamiento de bienes.</w:t>
      </w:r>
    </w:p>
    <w:p>
      <w:pPr>
        <w:pStyle w:val="ListParagraph"/>
        <w:numPr>
          <w:ilvl w:val="0"/>
          <w:numId w:val="72"/>
        </w:numPr>
        <w:tabs>
          <w:tab w:pos="2664" w:val="left" w:leader="none"/>
        </w:tabs>
        <w:spacing w:line="254" w:lineRule="auto" w:before="105" w:after="0"/>
        <w:ind w:left="2664" w:right="256" w:hanging="504"/>
        <w:jc w:val="both"/>
        <w:rPr>
          <w:sz w:val="18"/>
        </w:rPr>
      </w:pPr>
      <w:r>
        <w:rPr>
          <w:color w:val="0B0B0B"/>
          <w:sz w:val="18"/>
        </w:rPr>
        <w:t>Asesorar, aconsejar, prestar servicios o participar en la realización o implementación de la práctica anterior.</w:t>
      </w:r>
    </w:p>
    <w:p>
      <w:pPr>
        <w:pStyle w:val="BodyText"/>
        <w:spacing w:before="1"/>
        <w:ind w:left="0"/>
        <w:jc w:val="left"/>
        <w:rPr>
          <w:sz w:val="8"/>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76"/>
        <w:gridCol w:w="4192"/>
      </w:tblGrid>
      <w:tr>
        <w:trPr>
          <w:trHeight w:val="318" w:hRule="atLeast"/>
        </w:trPr>
        <w:tc>
          <w:tcPr>
            <w:tcW w:w="2676"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92" w:type="dxa"/>
            <w:shd w:val="clear" w:color="auto" w:fill="BDBDBD"/>
          </w:tcPr>
          <w:p>
            <w:pPr>
              <w:pStyle w:val="TableParagraph"/>
              <w:ind w:left="135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5" w:hRule="atLeast"/>
        </w:trPr>
        <w:tc>
          <w:tcPr>
            <w:tcW w:w="2676"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192" w:type="dxa"/>
          </w:tcPr>
          <w:p>
            <w:pPr>
              <w:pStyle w:val="TableParagraph"/>
              <w:spacing w:line="285" w:lineRule="auto"/>
              <w:ind w:firstLine="1"/>
              <w:rPr>
                <w:sz w:val="16"/>
              </w:rPr>
            </w:pPr>
            <w:r>
              <w:rPr>
                <w:color w:val="0B0B0B"/>
                <w:sz w:val="16"/>
              </w:rPr>
              <w:t>Publicada en el DOF el 29 de diciembre de 2019, Anexo 3, publicado el 9 de enero de 2020.</w:t>
            </w:r>
          </w:p>
        </w:tc>
      </w:tr>
    </w:tbl>
    <w:p>
      <w:pPr>
        <w:pStyle w:val="TableParagraph"/>
        <w:spacing w:after="0" w:line="285" w:lineRule="auto"/>
        <w:rPr>
          <w:sz w:val="16"/>
        </w:rPr>
        <w:sectPr>
          <w:headerReference w:type="default" r:id="rId68"/>
          <w:pgSz w:w="12240" w:h="15840"/>
          <w:pgMar w:header="690" w:footer="0" w:top="1040" w:bottom="280" w:left="1440" w:right="1440"/>
        </w:sectPr>
      </w:pPr>
    </w:p>
    <w:p>
      <w:pPr>
        <w:pStyle w:val="Heading1"/>
        <w:spacing w:line="266" w:lineRule="auto" w:before="122"/>
        <w:ind w:right="258"/>
        <w:jc w:val="both"/>
      </w:pPr>
      <w:r>
        <w:rPr>
          <w:color w:val="0B0B0B"/>
        </w:rPr>
        <w:t>5/LFD/PI</w:t>
      </w:r>
      <w:r>
        <w:rPr>
          <w:color w:val="0B0B0B"/>
          <w:spacing w:val="40"/>
        </w:rPr>
        <w:t> </w:t>
      </w:r>
      <w:r>
        <w:rPr>
          <w:color w:val="0B0B0B"/>
        </w:rPr>
        <w:t>Derecho Especial sobre Minería. Para su determinación es improcedente la deducción de inversiones de activo fijo, gastos diferidos y cargos diferidos.</w:t>
      </w:r>
    </w:p>
    <w:p>
      <w:pPr>
        <w:pStyle w:val="BodyText"/>
        <w:spacing w:line="266" w:lineRule="auto" w:before="102"/>
        <w:ind w:right="258"/>
      </w:pPr>
      <w:r>
        <w:rPr>
          <w:color w:val="0B0B0B"/>
        </w:rPr>
        <w:t>El artículo 268, primer párrafo de la LFD establece que los titulares de concesiones y asignaciones mineras pagarán anualmente el derecho especial sobre minería, aplicando la tasa del 8.5% a la diferencia positiva que resulte de disminuir de los ingresos derivados de la enajenación o venta de la actividad extractiva, las deducciones permitidas en dicho artículo.</w:t>
      </w:r>
    </w:p>
    <w:p>
      <w:pPr>
        <w:pStyle w:val="BodyText"/>
        <w:spacing w:line="266" w:lineRule="auto" w:before="102"/>
        <w:ind w:right="256"/>
      </w:pPr>
      <w:r>
        <w:rPr>
          <w:color w:val="0B0B0B"/>
        </w:rPr>
        <w:t>El tercer párrafo, inciso a) del artículo mencionado indica que, para la determinación</w:t>
      </w:r>
      <w:r>
        <w:rPr>
          <w:color w:val="0B0B0B"/>
          <w:spacing w:val="40"/>
        </w:rPr>
        <w:t> </w:t>
      </w:r>
      <w:r>
        <w:rPr>
          <w:color w:val="0B0B0B"/>
        </w:rPr>
        <w:t>de la base de dicho derecho, se podrán disminuir las deducciones autorizadas conforme</w:t>
      </w:r>
      <w:r>
        <w:rPr>
          <w:color w:val="0B0B0B"/>
          <w:spacing w:val="-1"/>
        </w:rPr>
        <w:t> </w:t>
      </w:r>
      <w:r>
        <w:rPr>
          <w:color w:val="0B0B0B"/>
        </w:rPr>
        <w:t>a</w:t>
      </w:r>
      <w:r>
        <w:rPr>
          <w:color w:val="0B0B0B"/>
          <w:spacing w:val="-2"/>
        </w:rPr>
        <w:t> </w:t>
      </w:r>
      <w:r>
        <w:rPr>
          <w:color w:val="0B0B0B"/>
        </w:rPr>
        <w:t>la</w:t>
      </w:r>
      <w:r>
        <w:rPr>
          <w:color w:val="0B0B0B"/>
          <w:spacing w:val="-1"/>
        </w:rPr>
        <w:t> </w:t>
      </w:r>
      <w:r>
        <w:rPr>
          <w:color w:val="0B0B0B"/>
        </w:rPr>
        <w:t>Ley</w:t>
      </w:r>
      <w:r>
        <w:rPr>
          <w:color w:val="0B0B0B"/>
          <w:spacing w:val="-2"/>
        </w:rPr>
        <w:t> </w:t>
      </w:r>
      <w:r>
        <w:rPr>
          <w:color w:val="0B0B0B"/>
        </w:rPr>
        <w:t>del</w:t>
      </w:r>
      <w:r>
        <w:rPr>
          <w:color w:val="0B0B0B"/>
          <w:spacing w:val="-2"/>
        </w:rPr>
        <w:t> </w:t>
      </w:r>
      <w:r>
        <w:rPr>
          <w:color w:val="0B0B0B"/>
        </w:rPr>
        <w:t>ISR,</w:t>
      </w:r>
      <w:r>
        <w:rPr>
          <w:color w:val="0B0B0B"/>
          <w:spacing w:val="-2"/>
        </w:rPr>
        <w:t> </w:t>
      </w:r>
      <w:r>
        <w:rPr>
          <w:color w:val="0B0B0B"/>
        </w:rPr>
        <w:t>con</w:t>
      </w:r>
      <w:r>
        <w:rPr>
          <w:color w:val="0B0B0B"/>
          <w:spacing w:val="-2"/>
        </w:rPr>
        <w:t> </w:t>
      </w:r>
      <w:r>
        <w:rPr>
          <w:color w:val="0B0B0B"/>
        </w:rPr>
        <w:t>excepción,</w:t>
      </w:r>
      <w:r>
        <w:rPr>
          <w:color w:val="0B0B0B"/>
          <w:spacing w:val="-1"/>
        </w:rPr>
        <w:t> </w:t>
      </w:r>
      <w:r>
        <w:rPr>
          <w:color w:val="0B0B0B"/>
        </w:rPr>
        <w:t>entre</w:t>
      </w:r>
      <w:r>
        <w:rPr>
          <w:color w:val="0B0B0B"/>
          <w:spacing w:val="-2"/>
        </w:rPr>
        <w:t> </w:t>
      </w:r>
      <w:r>
        <w:rPr>
          <w:color w:val="0B0B0B"/>
        </w:rPr>
        <w:t>otras,</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contemplada</w:t>
      </w:r>
      <w:r>
        <w:rPr>
          <w:color w:val="0B0B0B"/>
          <w:spacing w:val="-1"/>
        </w:rPr>
        <w:t> </w:t>
      </w:r>
      <w:r>
        <w:rPr>
          <w:color w:val="0B0B0B"/>
        </w:rPr>
        <w:t>en</w:t>
      </w:r>
      <w:r>
        <w:rPr>
          <w:color w:val="0B0B0B"/>
          <w:spacing w:val="-2"/>
        </w:rPr>
        <w:t> </w:t>
      </w:r>
      <w:r>
        <w:rPr>
          <w:color w:val="0B0B0B"/>
        </w:rPr>
        <w:t>el</w:t>
      </w:r>
      <w:r>
        <w:rPr>
          <w:color w:val="0B0B0B"/>
          <w:spacing w:val="-1"/>
        </w:rPr>
        <w:t> </w:t>
      </w:r>
      <w:r>
        <w:rPr>
          <w:color w:val="0B0B0B"/>
        </w:rPr>
        <w:t>artículo 25, fracción IV de dicho ordenamiento legal, salvo que se trate de las inversiones realizadas para la prospección y exploración minera o las que las sustituyan.</w:t>
      </w:r>
    </w:p>
    <w:p>
      <w:pPr>
        <w:pStyle w:val="BodyText"/>
        <w:spacing w:line="266" w:lineRule="auto" w:before="103"/>
        <w:ind w:right="256"/>
      </w:pPr>
      <w:r>
        <w:rPr>
          <w:color w:val="0B0B0B"/>
        </w:rPr>
        <w:t>De lo anterior se concluye, que para la determinación del derecho especial sobre minería es improcedente la deducción de inversiones diferentes a las realizadas para</w:t>
      </w:r>
      <w:r>
        <w:rPr>
          <w:color w:val="0B0B0B"/>
          <w:spacing w:val="40"/>
        </w:rPr>
        <w:t> </w:t>
      </w:r>
      <w:r>
        <w:rPr>
          <w:color w:val="0B0B0B"/>
        </w:rPr>
        <w:t>la prospección y exploración minera o las que las sustituyan.</w:t>
      </w:r>
    </w:p>
    <w:p>
      <w:pPr>
        <w:pStyle w:val="BodyText"/>
        <w:spacing w:line="266" w:lineRule="auto" w:before="101"/>
        <w:ind w:right="257"/>
      </w:pPr>
      <w:r>
        <w:rPr>
          <w:color w:val="0B0B0B"/>
        </w:rPr>
        <w:t>Al respecto, se ha detectado que algunos contribuyentes sujetos al pago del derecho especial sobre minería realizan erogaciones que corresponden a inversiones en activo fijo, gastos diferidos o cargos diferidos, a las cuales indebidamente se les da el tratamiento</w:t>
      </w:r>
      <w:r>
        <w:rPr>
          <w:color w:val="0B0B0B"/>
          <w:spacing w:val="-4"/>
        </w:rPr>
        <w:t> </w:t>
      </w:r>
      <w:r>
        <w:rPr>
          <w:color w:val="0B0B0B"/>
        </w:rPr>
        <w:t>fiscal</w:t>
      </w:r>
      <w:r>
        <w:rPr>
          <w:color w:val="0B0B0B"/>
          <w:spacing w:val="-4"/>
        </w:rPr>
        <w:t> </w:t>
      </w:r>
      <w:r>
        <w:rPr>
          <w:color w:val="0B0B0B"/>
        </w:rPr>
        <w:t>de</w:t>
      </w:r>
      <w:r>
        <w:rPr>
          <w:color w:val="0B0B0B"/>
          <w:spacing w:val="-3"/>
        </w:rPr>
        <w:t> </w:t>
      </w:r>
      <w:r>
        <w:rPr>
          <w:color w:val="0B0B0B"/>
        </w:rPr>
        <w:t>erogaciones</w:t>
      </w:r>
      <w:r>
        <w:rPr>
          <w:color w:val="0B0B0B"/>
          <w:spacing w:val="-4"/>
        </w:rPr>
        <w:t> </w:t>
      </w:r>
      <w:r>
        <w:rPr>
          <w:color w:val="0B0B0B"/>
        </w:rPr>
        <w:t>realizadas</w:t>
      </w:r>
      <w:r>
        <w:rPr>
          <w:color w:val="0B0B0B"/>
          <w:spacing w:val="-3"/>
        </w:rPr>
        <w:t> </w:t>
      </w:r>
      <w:r>
        <w:rPr>
          <w:color w:val="0B0B0B"/>
        </w:rPr>
        <w:t>en</w:t>
      </w:r>
      <w:r>
        <w:rPr>
          <w:color w:val="0B0B0B"/>
          <w:spacing w:val="-4"/>
        </w:rPr>
        <w:t> </w:t>
      </w:r>
      <w:r>
        <w:rPr>
          <w:color w:val="0B0B0B"/>
        </w:rPr>
        <w:t>periodo</w:t>
      </w:r>
      <w:r>
        <w:rPr>
          <w:color w:val="0B0B0B"/>
          <w:spacing w:val="-4"/>
        </w:rPr>
        <w:t> </w:t>
      </w:r>
      <w:r>
        <w:rPr>
          <w:color w:val="0B0B0B"/>
        </w:rPr>
        <w:t>preoperativo</w:t>
      </w:r>
      <w:r>
        <w:rPr>
          <w:color w:val="0B0B0B"/>
          <w:spacing w:val="-4"/>
        </w:rPr>
        <w:t> </w:t>
      </w:r>
      <w:r>
        <w:rPr>
          <w:color w:val="0B0B0B"/>
        </w:rPr>
        <w:t>o</w:t>
      </w:r>
      <w:r>
        <w:rPr>
          <w:color w:val="0B0B0B"/>
          <w:spacing w:val="-4"/>
        </w:rPr>
        <w:t> </w:t>
      </w:r>
      <w:r>
        <w:rPr>
          <w:color w:val="0B0B0B"/>
        </w:rPr>
        <w:t>por</w:t>
      </w:r>
      <w:r>
        <w:rPr>
          <w:color w:val="0B0B0B"/>
          <w:spacing w:val="-4"/>
        </w:rPr>
        <w:t> </w:t>
      </w:r>
      <w:r>
        <w:rPr>
          <w:color w:val="0B0B0B"/>
        </w:rPr>
        <w:t>concepto</w:t>
      </w:r>
      <w:r>
        <w:rPr>
          <w:color w:val="0B0B0B"/>
          <w:spacing w:val="-4"/>
        </w:rPr>
        <w:t> </w:t>
      </w:r>
      <w:r>
        <w:rPr>
          <w:color w:val="0B0B0B"/>
        </w:rPr>
        <w:t>de costo</w:t>
      </w:r>
      <w:r>
        <w:rPr>
          <w:color w:val="0B0B0B"/>
        </w:rPr>
        <w:t> de lo vendido o gasto del ejercicio, a que se refieren los artículos 32, último párrafo y</w:t>
      </w:r>
      <w:r>
        <w:rPr>
          <w:color w:val="0B0B0B"/>
          <w:spacing w:val="-2"/>
        </w:rPr>
        <w:t> </w:t>
      </w:r>
      <w:r>
        <w:rPr>
          <w:color w:val="0B0B0B"/>
        </w:rPr>
        <w:t>25</w:t>
      </w:r>
      <w:r>
        <w:rPr>
          <w:color w:val="0B0B0B"/>
          <w:spacing w:val="-1"/>
        </w:rPr>
        <w:t> </w:t>
      </w:r>
      <w:r>
        <w:rPr>
          <w:color w:val="0B0B0B"/>
        </w:rPr>
        <w:t>de la</w:t>
      </w:r>
      <w:r>
        <w:rPr>
          <w:color w:val="0B0B0B"/>
          <w:spacing w:val="-1"/>
        </w:rPr>
        <w:t> </w:t>
      </w:r>
      <w:r>
        <w:rPr>
          <w:color w:val="0B0B0B"/>
        </w:rPr>
        <w:t>Ley</w:t>
      </w:r>
      <w:r>
        <w:rPr>
          <w:color w:val="0B0B0B"/>
          <w:spacing w:val="-2"/>
        </w:rPr>
        <w:t> </w:t>
      </w:r>
      <w:r>
        <w:rPr>
          <w:color w:val="0B0B0B"/>
        </w:rPr>
        <w:t>del</w:t>
      </w:r>
      <w:r>
        <w:rPr>
          <w:color w:val="0B0B0B"/>
          <w:spacing w:val="-1"/>
        </w:rPr>
        <w:t> </w:t>
      </w:r>
      <w:r>
        <w:rPr>
          <w:color w:val="0B0B0B"/>
        </w:rPr>
        <w:t>ISR,</w:t>
      </w:r>
      <w:r>
        <w:rPr>
          <w:color w:val="0B0B0B"/>
          <w:spacing w:val="-1"/>
        </w:rPr>
        <w:t> </w:t>
      </w:r>
      <w:r>
        <w:rPr>
          <w:color w:val="0B0B0B"/>
        </w:rPr>
        <w:t>respectivamente,</w:t>
      </w:r>
      <w:r>
        <w:rPr>
          <w:color w:val="0B0B0B"/>
          <w:spacing w:val="-1"/>
        </w:rPr>
        <w:t> </w:t>
      </w:r>
      <w:r>
        <w:rPr>
          <w:color w:val="0B0B0B"/>
        </w:rPr>
        <w:t>evadiendo con</w:t>
      </w:r>
      <w:r>
        <w:rPr>
          <w:color w:val="0B0B0B"/>
          <w:spacing w:val="-1"/>
        </w:rPr>
        <w:t> </w:t>
      </w:r>
      <w:r>
        <w:rPr>
          <w:color w:val="0B0B0B"/>
        </w:rPr>
        <w:t>ello</w:t>
      </w:r>
      <w:r>
        <w:rPr>
          <w:color w:val="0B0B0B"/>
          <w:spacing w:val="-1"/>
        </w:rPr>
        <w:t> </w:t>
      </w:r>
      <w:r>
        <w:rPr>
          <w:color w:val="0B0B0B"/>
        </w:rPr>
        <w:t>la</w:t>
      </w:r>
      <w:r>
        <w:rPr>
          <w:color w:val="0B0B0B"/>
          <w:spacing w:val="-1"/>
        </w:rPr>
        <w:t> </w:t>
      </w:r>
      <w:r>
        <w:rPr>
          <w:color w:val="0B0B0B"/>
        </w:rPr>
        <w:t>prohibición</w:t>
      </w:r>
      <w:r>
        <w:rPr>
          <w:color w:val="0B0B0B"/>
          <w:spacing w:val="-1"/>
        </w:rPr>
        <w:t> </w:t>
      </w:r>
      <w:r>
        <w:rPr>
          <w:color w:val="0B0B0B"/>
        </w:rPr>
        <w:t>para deducir inversiones diferentes a las realizadas para la prospección y exploración minera o las que las sustituyan, establecida en el artículo 268, tercer párrafo, inciso a) de la LFD, lo que conlleva la disminución o no pago del derecho especial sobre </w:t>
      </w:r>
      <w:r>
        <w:rPr>
          <w:color w:val="0B0B0B"/>
          <w:spacing w:val="-2"/>
        </w:rPr>
        <w:t>minería.</w:t>
      </w:r>
    </w:p>
    <w:p>
      <w:pPr>
        <w:pStyle w:val="BodyText"/>
        <w:spacing w:before="104"/>
      </w:pPr>
      <w:r>
        <w:rPr>
          <w:color w:val="0B0B0B"/>
        </w:rPr>
        <w:t>Por</w:t>
      </w:r>
      <w:r>
        <w:rPr>
          <w:color w:val="0B0B0B"/>
          <w:spacing w:val="-8"/>
        </w:rPr>
        <w:t> </w:t>
      </w:r>
      <w:r>
        <w:rPr>
          <w:color w:val="0B0B0B"/>
        </w:rPr>
        <w:t>lo</w:t>
      </w:r>
      <w:r>
        <w:rPr>
          <w:color w:val="0B0B0B"/>
          <w:spacing w:val="-7"/>
        </w:rPr>
        <w:t> </w:t>
      </w:r>
      <w:r>
        <w:rPr>
          <w:color w:val="0B0B0B"/>
        </w:rPr>
        <w:t>tanto,</w:t>
      </w:r>
      <w:r>
        <w:rPr>
          <w:color w:val="0B0B0B"/>
          <w:spacing w:val="-7"/>
        </w:rPr>
        <w:t> </w:t>
      </w:r>
      <w:r>
        <w:rPr>
          <w:color w:val="0B0B0B"/>
        </w:rPr>
        <w:t>se</w:t>
      </w:r>
      <w:r>
        <w:rPr>
          <w:color w:val="0B0B0B"/>
          <w:spacing w:val="-6"/>
        </w:rPr>
        <w:t> </w:t>
      </w:r>
      <w:r>
        <w:rPr>
          <w:color w:val="0B0B0B"/>
        </w:rPr>
        <w:t>considera</w:t>
      </w:r>
      <w:r>
        <w:rPr>
          <w:color w:val="0B0B0B"/>
          <w:spacing w:val="-7"/>
        </w:rPr>
        <w:t> </w:t>
      </w:r>
      <w:r>
        <w:rPr>
          <w:color w:val="0B0B0B"/>
        </w:rPr>
        <w:t>que</w:t>
      </w:r>
      <w:r>
        <w:rPr>
          <w:color w:val="0B0B0B"/>
          <w:spacing w:val="-6"/>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7"/>
        </w:rPr>
        <w:t> </w:t>
      </w:r>
      <w:r>
        <w:rPr>
          <w:color w:val="0B0B0B"/>
        </w:rPr>
        <w:t>fiscal</w:t>
      </w:r>
      <w:r>
        <w:rPr>
          <w:color w:val="0B0B0B"/>
          <w:spacing w:val="-7"/>
        </w:rPr>
        <w:t> </w:t>
      </w:r>
      <w:r>
        <w:rPr>
          <w:color w:val="0B0B0B"/>
          <w:spacing w:val="-2"/>
        </w:rPr>
        <w:t>indebida:</w:t>
      </w:r>
    </w:p>
    <w:p>
      <w:pPr>
        <w:pStyle w:val="ListParagraph"/>
        <w:numPr>
          <w:ilvl w:val="0"/>
          <w:numId w:val="73"/>
        </w:numPr>
        <w:tabs>
          <w:tab w:pos="2664" w:val="left" w:leader="none"/>
        </w:tabs>
        <w:spacing w:line="266" w:lineRule="auto" w:before="123" w:after="0"/>
        <w:ind w:left="2664" w:right="258" w:hanging="504"/>
        <w:jc w:val="both"/>
        <w:rPr>
          <w:sz w:val="18"/>
        </w:rPr>
      </w:pPr>
      <w:r>
        <w:rPr>
          <w:color w:val="0B0B0B"/>
          <w:sz w:val="18"/>
        </w:rPr>
        <w:t>El contribuyente que, en la determinación del derecho especial sobre minería, deduzca el valor de las inversiones correspondientes</w:t>
      </w:r>
      <w:r>
        <w:rPr>
          <w:color w:val="0B0B0B"/>
          <w:sz w:val="18"/>
        </w:rPr>
        <w:t> a activos fijos, gastos diferidos o cargos diferidos, caracterizándolos como erogaciones realizadas en periodo preoperativo o por concepto de costo de lo vendido, gastos del ejercicio o cualquier otro concepto, independientemente</w:t>
      </w:r>
      <w:r>
        <w:rPr>
          <w:color w:val="0B0B0B"/>
          <w:sz w:val="18"/>
        </w:rPr>
        <w:t> del nombre con el que se le </w:t>
      </w:r>
      <w:r>
        <w:rPr>
          <w:color w:val="0B0B0B"/>
          <w:spacing w:val="-2"/>
          <w:sz w:val="18"/>
        </w:rPr>
        <w:t>designe.</w:t>
      </w:r>
    </w:p>
    <w:p>
      <w:pPr>
        <w:pStyle w:val="ListParagraph"/>
        <w:numPr>
          <w:ilvl w:val="0"/>
          <w:numId w:val="73"/>
        </w:numPr>
        <w:tabs>
          <w:tab w:pos="2664" w:val="left" w:leader="none"/>
        </w:tabs>
        <w:spacing w:line="266" w:lineRule="auto" w:before="104" w:after="0"/>
        <w:ind w:left="2664" w:right="256" w:hanging="504"/>
        <w:jc w:val="both"/>
        <w:rPr>
          <w:sz w:val="18"/>
        </w:rPr>
      </w:pPr>
      <w:r>
        <w:rPr>
          <w:color w:val="0B0B0B"/>
          <w:sz w:val="18"/>
        </w:rPr>
        <w:t>Asesorar, aconsejar, prestar servicios o participar en la realización o implementación de la práctica anterior.</w:t>
      </w:r>
    </w:p>
    <w:p>
      <w:pPr>
        <w:pStyle w:val="BodyText"/>
        <w:spacing w:before="5"/>
        <w:ind w:left="0"/>
        <w:jc w:val="left"/>
        <w:rPr>
          <w:sz w:val="7"/>
        </w:rPr>
      </w:pPr>
    </w:p>
    <w:tbl>
      <w:tblPr>
        <w:tblW w:w="0" w:type="auto"/>
        <w:jc w:val="left"/>
        <w:tblInd w:w="217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74"/>
        <w:gridCol w:w="3921"/>
      </w:tblGrid>
      <w:tr>
        <w:trPr>
          <w:trHeight w:val="330" w:hRule="atLeast"/>
        </w:trPr>
        <w:tc>
          <w:tcPr>
            <w:tcW w:w="2974" w:type="dxa"/>
            <w:shd w:val="clear" w:color="auto" w:fill="BDBDBD"/>
          </w:tcPr>
          <w:p>
            <w:pPr>
              <w:pStyle w:val="TableParagraph"/>
              <w:spacing w:before="34"/>
              <w:ind w:left="12"/>
              <w:jc w:val="center"/>
              <w:rPr>
                <w:rFonts w:ascii="Arial"/>
                <w:b/>
                <w:sz w:val="16"/>
              </w:rPr>
            </w:pPr>
            <w:r>
              <w:rPr>
                <w:rFonts w:ascii="Arial"/>
                <w:b/>
                <w:color w:val="0B0B0B"/>
                <w:spacing w:val="-2"/>
                <w:sz w:val="16"/>
              </w:rPr>
              <w:t>Origen</w:t>
            </w:r>
          </w:p>
        </w:tc>
        <w:tc>
          <w:tcPr>
            <w:tcW w:w="3921" w:type="dxa"/>
            <w:shd w:val="clear" w:color="auto" w:fill="BDBDBD"/>
          </w:tcPr>
          <w:p>
            <w:pPr>
              <w:pStyle w:val="TableParagraph"/>
              <w:spacing w:before="34"/>
              <w:ind w:left="121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1" w:hRule="atLeast"/>
        </w:trPr>
        <w:tc>
          <w:tcPr>
            <w:tcW w:w="2974" w:type="dxa"/>
          </w:tcPr>
          <w:p>
            <w:pPr>
              <w:pStyle w:val="TableParagraph"/>
              <w:spacing w:line="300" w:lineRule="auto" w:before="34"/>
              <w:ind w:right="29"/>
              <w:rPr>
                <w:sz w:val="16"/>
              </w:rPr>
            </w:pPr>
            <w:r>
              <w:rPr>
                <w:color w:val="0B0B0B"/>
                <w:sz w:val="16"/>
              </w:rPr>
              <w:t>Tercera</w:t>
            </w:r>
            <w:r>
              <w:rPr>
                <w:color w:val="0B0B0B"/>
                <w:spacing w:val="26"/>
                <w:sz w:val="16"/>
              </w:rPr>
              <w:t> </w:t>
            </w:r>
            <w:r>
              <w:rPr>
                <w:color w:val="0B0B0B"/>
                <w:sz w:val="16"/>
              </w:rPr>
              <w:t>Resolución</w:t>
            </w:r>
            <w:r>
              <w:rPr>
                <w:color w:val="0B0B0B"/>
                <w:spacing w:val="26"/>
                <w:sz w:val="16"/>
              </w:rPr>
              <w:t> </w:t>
            </w:r>
            <w:r>
              <w:rPr>
                <w:color w:val="0B0B0B"/>
                <w:sz w:val="16"/>
              </w:rPr>
              <w:t>de</w:t>
            </w:r>
            <w:r>
              <w:rPr>
                <w:color w:val="0B0B0B"/>
                <w:spacing w:val="26"/>
                <w:sz w:val="16"/>
              </w:rPr>
              <w:t> </w:t>
            </w:r>
            <w:r>
              <w:rPr>
                <w:color w:val="0B0B0B"/>
                <w:sz w:val="16"/>
              </w:rPr>
              <w:t>Modificaciones a la RMF para 2020</w:t>
            </w:r>
          </w:p>
        </w:tc>
        <w:tc>
          <w:tcPr>
            <w:tcW w:w="3921" w:type="dxa"/>
          </w:tcPr>
          <w:p>
            <w:pPr>
              <w:pStyle w:val="TableParagraph"/>
              <w:spacing w:line="300" w:lineRule="auto" w:before="34"/>
              <w:rPr>
                <w:sz w:val="16"/>
              </w:rPr>
            </w:pPr>
            <w:r>
              <w:rPr>
                <w:color w:val="0B0B0B"/>
                <w:sz w:val="16"/>
              </w:rPr>
              <w:t>Publicada</w:t>
            </w:r>
            <w:r>
              <w:rPr>
                <w:color w:val="0B0B0B"/>
                <w:spacing w:val="20"/>
                <w:sz w:val="16"/>
              </w:rPr>
              <w:t> </w:t>
            </w:r>
            <w:r>
              <w:rPr>
                <w:color w:val="0B0B0B"/>
                <w:sz w:val="16"/>
              </w:rPr>
              <w:t>en</w:t>
            </w:r>
            <w:r>
              <w:rPr>
                <w:color w:val="0B0B0B"/>
                <w:spacing w:val="20"/>
                <w:sz w:val="16"/>
              </w:rPr>
              <w:t> </w:t>
            </w:r>
            <w:r>
              <w:rPr>
                <w:color w:val="0B0B0B"/>
                <w:sz w:val="16"/>
              </w:rPr>
              <w:t>el</w:t>
            </w:r>
            <w:r>
              <w:rPr>
                <w:color w:val="0B0B0B"/>
                <w:spacing w:val="20"/>
                <w:sz w:val="16"/>
              </w:rPr>
              <w:t> </w:t>
            </w:r>
            <w:r>
              <w:rPr>
                <w:color w:val="0B0B0B"/>
                <w:sz w:val="16"/>
              </w:rPr>
              <w:t>DOF</w:t>
            </w:r>
            <w:r>
              <w:rPr>
                <w:color w:val="0B0B0B"/>
                <w:spacing w:val="20"/>
                <w:sz w:val="16"/>
              </w:rPr>
              <w:t> </w:t>
            </w:r>
            <w:r>
              <w:rPr>
                <w:color w:val="0B0B0B"/>
                <w:sz w:val="16"/>
              </w:rPr>
              <w:t>el</w:t>
            </w:r>
            <w:r>
              <w:rPr>
                <w:color w:val="0B0B0B"/>
                <w:spacing w:val="20"/>
                <w:sz w:val="16"/>
              </w:rPr>
              <w:t> </w:t>
            </w:r>
            <w:r>
              <w:rPr>
                <w:color w:val="0B0B0B"/>
                <w:sz w:val="16"/>
              </w:rPr>
              <w:t>18</w:t>
            </w:r>
            <w:r>
              <w:rPr>
                <w:color w:val="0B0B0B"/>
                <w:spacing w:val="20"/>
                <w:sz w:val="16"/>
              </w:rPr>
              <w:t> </w:t>
            </w:r>
            <w:r>
              <w:rPr>
                <w:color w:val="0B0B0B"/>
                <w:sz w:val="16"/>
              </w:rPr>
              <w:t>de</w:t>
            </w:r>
            <w:r>
              <w:rPr>
                <w:color w:val="0B0B0B"/>
                <w:spacing w:val="20"/>
                <w:sz w:val="16"/>
              </w:rPr>
              <w:t> </w:t>
            </w:r>
            <w:r>
              <w:rPr>
                <w:color w:val="0B0B0B"/>
                <w:sz w:val="16"/>
              </w:rPr>
              <w:t>noviembre</w:t>
            </w:r>
            <w:r>
              <w:rPr>
                <w:color w:val="0B0B0B"/>
                <w:spacing w:val="20"/>
                <w:sz w:val="16"/>
              </w:rPr>
              <w:t> </w:t>
            </w:r>
            <w:r>
              <w:rPr>
                <w:color w:val="0B0B0B"/>
                <w:sz w:val="16"/>
              </w:rPr>
              <w:t>de</w:t>
            </w:r>
            <w:r>
              <w:rPr>
                <w:color w:val="0B0B0B"/>
                <w:spacing w:val="20"/>
                <w:sz w:val="16"/>
              </w:rPr>
              <w:t> </w:t>
            </w:r>
            <w:r>
              <w:rPr>
                <w:color w:val="0B0B0B"/>
                <w:sz w:val="16"/>
              </w:rPr>
              <w:t>2020, Anexo 3, publicado el 23 de noviembre de 2020.</w:t>
            </w:r>
          </w:p>
        </w:tc>
      </w:tr>
    </w:tbl>
    <w:p>
      <w:pPr>
        <w:pStyle w:val="BodyText"/>
        <w:spacing w:before="140"/>
        <w:ind w:left="0"/>
        <w:jc w:val="left"/>
      </w:pPr>
    </w:p>
    <w:p>
      <w:pPr>
        <w:pStyle w:val="Heading1"/>
        <w:spacing w:line="266" w:lineRule="auto"/>
        <w:ind w:right="256"/>
        <w:jc w:val="both"/>
      </w:pPr>
      <w:r>
        <w:rPr>
          <w:color w:val="0B0B0B"/>
        </w:rPr>
        <w:t>6/LFD/PI</w:t>
      </w:r>
      <w:r>
        <w:rPr>
          <w:color w:val="0B0B0B"/>
          <w:spacing w:val="40"/>
        </w:rPr>
        <w:t>  </w:t>
      </w:r>
      <w:r>
        <w:rPr>
          <w:color w:val="0B0B0B"/>
        </w:rPr>
        <w:t>Derecho</w:t>
      </w:r>
      <w:r>
        <w:rPr>
          <w:color w:val="0B0B0B"/>
          <w:spacing w:val="40"/>
        </w:rPr>
        <w:t> </w:t>
      </w:r>
      <w:r>
        <w:rPr>
          <w:color w:val="0B0B0B"/>
        </w:rPr>
        <w:t>Especial</w:t>
      </w:r>
      <w:r>
        <w:rPr>
          <w:color w:val="0B0B0B"/>
          <w:spacing w:val="40"/>
        </w:rPr>
        <w:t> </w:t>
      </w:r>
      <w:r>
        <w:rPr>
          <w:color w:val="0B0B0B"/>
        </w:rPr>
        <w:t>sobre</w:t>
      </w:r>
      <w:r>
        <w:rPr>
          <w:color w:val="0B0B0B"/>
          <w:spacing w:val="40"/>
        </w:rPr>
        <w:t> </w:t>
      </w:r>
      <w:r>
        <w:rPr>
          <w:color w:val="0B0B0B"/>
        </w:rPr>
        <w:t>Minería.</w:t>
      </w:r>
      <w:r>
        <w:rPr>
          <w:color w:val="0B0B0B"/>
          <w:spacing w:val="40"/>
        </w:rPr>
        <w:t> </w:t>
      </w:r>
      <w:r>
        <w:rPr>
          <w:color w:val="0B0B0B"/>
        </w:rPr>
        <w:t>La</w:t>
      </w:r>
      <w:r>
        <w:rPr>
          <w:color w:val="0B0B0B"/>
          <w:spacing w:val="40"/>
        </w:rPr>
        <w:t> </w:t>
      </w:r>
      <w:r>
        <w:rPr>
          <w:color w:val="0B0B0B"/>
        </w:rPr>
        <w:t>adquisición</w:t>
      </w:r>
      <w:r>
        <w:rPr>
          <w:color w:val="0B0B0B"/>
          <w:spacing w:val="40"/>
        </w:rPr>
        <w:t> </w:t>
      </w:r>
      <w:r>
        <w:rPr>
          <w:color w:val="0B0B0B"/>
        </w:rPr>
        <w:t>de</w:t>
      </w:r>
      <w:r>
        <w:rPr>
          <w:color w:val="0B0B0B"/>
          <w:spacing w:val="40"/>
        </w:rPr>
        <w:t> </w:t>
      </w:r>
      <w:r>
        <w:rPr>
          <w:color w:val="0B0B0B"/>
        </w:rPr>
        <w:t>concesiones</w:t>
      </w:r>
      <w:r>
        <w:rPr>
          <w:color w:val="0B0B0B"/>
          <w:spacing w:val="40"/>
        </w:rPr>
        <w:t> </w:t>
      </w:r>
      <w:r>
        <w:rPr>
          <w:color w:val="0B0B0B"/>
        </w:rPr>
        <w:t>mineras</w:t>
      </w:r>
      <w:r>
        <w:rPr>
          <w:color w:val="0B0B0B"/>
          <w:spacing w:val="40"/>
        </w:rPr>
        <w:t> </w:t>
      </w:r>
      <w:r>
        <w:rPr>
          <w:color w:val="0B0B0B"/>
        </w:rPr>
        <w:t>no tiene la naturaleza de inversión realizada para la prospección y exploración minera, por lo que es improcedente su deducción para la determinación del citado derecho.</w:t>
      </w:r>
    </w:p>
    <w:p>
      <w:pPr>
        <w:pStyle w:val="BodyText"/>
        <w:spacing w:line="266" w:lineRule="auto" w:before="102"/>
        <w:ind w:right="258"/>
      </w:pPr>
      <w:r>
        <w:rPr>
          <w:color w:val="0B0B0B"/>
        </w:rPr>
        <w:t>El artículo 268, primer párrafo de la LFD establece que los titulares de concesiones y asignaciones mineras pagarán anualmente el derecho especial sobre minería, aplicando la tasa del 8.5% a la diferencia positiva que resulte de disminuir de los ingresos derivados de la enajenación o venta de la actividad extractiva, las deducciones permitidas en dicho artículo.</w:t>
      </w:r>
    </w:p>
    <w:p>
      <w:pPr>
        <w:pStyle w:val="BodyText"/>
        <w:spacing w:line="266" w:lineRule="auto" w:before="102"/>
        <w:ind w:right="256"/>
      </w:pPr>
      <w:r>
        <w:rPr>
          <w:color w:val="0B0B0B"/>
        </w:rPr>
        <w:t>El tercer párrafo, inciso a) del artículo mencionado, indica que, para la determinación de la base de dicho derecho, se podrán disminuir las deducciones autorizadas conforme</w:t>
      </w:r>
      <w:r>
        <w:rPr>
          <w:color w:val="0B0B0B"/>
          <w:spacing w:val="-1"/>
        </w:rPr>
        <w:t> </w:t>
      </w:r>
      <w:r>
        <w:rPr>
          <w:color w:val="0B0B0B"/>
        </w:rPr>
        <w:t>a</w:t>
      </w:r>
      <w:r>
        <w:rPr>
          <w:color w:val="0B0B0B"/>
          <w:spacing w:val="-2"/>
        </w:rPr>
        <w:t> </w:t>
      </w:r>
      <w:r>
        <w:rPr>
          <w:color w:val="0B0B0B"/>
        </w:rPr>
        <w:t>la</w:t>
      </w:r>
      <w:r>
        <w:rPr>
          <w:color w:val="0B0B0B"/>
          <w:spacing w:val="-1"/>
        </w:rPr>
        <w:t> </w:t>
      </w:r>
      <w:r>
        <w:rPr>
          <w:color w:val="0B0B0B"/>
        </w:rPr>
        <w:t>Ley</w:t>
      </w:r>
      <w:r>
        <w:rPr>
          <w:color w:val="0B0B0B"/>
          <w:spacing w:val="-2"/>
        </w:rPr>
        <w:t> </w:t>
      </w:r>
      <w:r>
        <w:rPr>
          <w:color w:val="0B0B0B"/>
        </w:rPr>
        <w:t>del</w:t>
      </w:r>
      <w:r>
        <w:rPr>
          <w:color w:val="0B0B0B"/>
          <w:spacing w:val="-2"/>
        </w:rPr>
        <w:t> </w:t>
      </w:r>
      <w:r>
        <w:rPr>
          <w:color w:val="0B0B0B"/>
        </w:rPr>
        <w:t>ISR,</w:t>
      </w:r>
      <w:r>
        <w:rPr>
          <w:color w:val="0B0B0B"/>
          <w:spacing w:val="-2"/>
        </w:rPr>
        <w:t> </w:t>
      </w:r>
      <w:r>
        <w:rPr>
          <w:color w:val="0B0B0B"/>
        </w:rPr>
        <w:t>con</w:t>
      </w:r>
      <w:r>
        <w:rPr>
          <w:color w:val="0B0B0B"/>
          <w:spacing w:val="-2"/>
        </w:rPr>
        <w:t> </w:t>
      </w:r>
      <w:r>
        <w:rPr>
          <w:color w:val="0B0B0B"/>
        </w:rPr>
        <w:t>excepción,</w:t>
      </w:r>
      <w:r>
        <w:rPr>
          <w:color w:val="0B0B0B"/>
          <w:spacing w:val="-1"/>
        </w:rPr>
        <w:t> </w:t>
      </w:r>
      <w:r>
        <w:rPr>
          <w:color w:val="0B0B0B"/>
        </w:rPr>
        <w:t>entre</w:t>
      </w:r>
      <w:r>
        <w:rPr>
          <w:color w:val="0B0B0B"/>
          <w:spacing w:val="-2"/>
        </w:rPr>
        <w:t> </w:t>
      </w:r>
      <w:r>
        <w:rPr>
          <w:color w:val="0B0B0B"/>
        </w:rPr>
        <w:t>otras,</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contemplada</w:t>
      </w:r>
      <w:r>
        <w:rPr>
          <w:color w:val="0B0B0B"/>
          <w:spacing w:val="-1"/>
        </w:rPr>
        <w:t> </w:t>
      </w:r>
      <w:r>
        <w:rPr>
          <w:color w:val="0B0B0B"/>
        </w:rPr>
        <w:t>en</w:t>
      </w:r>
      <w:r>
        <w:rPr>
          <w:color w:val="0B0B0B"/>
          <w:spacing w:val="-2"/>
        </w:rPr>
        <w:t> </w:t>
      </w:r>
      <w:r>
        <w:rPr>
          <w:color w:val="0B0B0B"/>
        </w:rPr>
        <w:t>el</w:t>
      </w:r>
      <w:r>
        <w:rPr>
          <w:color w:val="0B0B0B"/>
          <w:spacing w:val="-1"/>
        </w:rPr>
        <w:t> </w:t>
      </w:r>
      <w:r>
        <w:rPr>
          <w:color w:val="0B0B0B"/>
        </w:rPr>
        <w:t>artículo 25, fracción IV de dicho ordenamiento legal, salvo que se trate de las inversiones realizadas para la prospección y exploración minera o las que las sustituyan.</w:t>
      </w:r>
    </w:p>
    <w:p>
      <w:pPr>
        <w:pStyle w:val="BodyText"/>
        <w:spacing w:after="0" w:line="266" w:lineRule="auto"/>
        <w:sectPr>
          <w:headerReference w:type="default" r:id="rId69"/>
          <w:pgSz w:w="12240" w:h="15840"/>
          <w:pgMar w:header="690" w:footer="0" w:top="1040" w:bottom="280" w:left="1440" w:right="1440"/>
        </w:sectPr>
      </w:pPr>
    </w:p>
    <w:p>
      <w:pPr>
        <w:pStyle w:val="BodyText"/>
        <w:spacing w:line="261" w:lineRule="auto" w:before="120"/>
        <w:ind w:right="257"/>
      </w:pPr>
      <w:r>
        <w:rPr>
          <w:color w:val="0B0B0B"/>
        </w:rPr>
        <w:t>Los artículos 16 de la Ley General de Bienes Nacionales y 3, fracción I, 15 y 19 de la Ley Minera, establecen que un título de concesión minera es aquél que confiere derechos a los particulares para explorar</w:t>
      </w:r>
      <w:r>
        <w:rPr>
          <w:color w:val="0B0B0B"/>
        </w:rPr>
        <w:t> y</w:t>
      </w:r>
      <w:r>
        <w:rPr>
          <w:color w:val="0B0B0B"/>
        </w:rPr>
        <w:t> explotar</w:t>
      </w:r>
      <w:r>
        <w:rPr>
          <w:color w:val="0B0B0B"/>
        </w:rPr>
        <w:t> un lote minero, y que la</w:t>
      </w:r>
      <w:r>
        <w:rPr>
          <w:color w:val="0B0B0B"/>
          <w:spacing w:val="40"/>
        </w:rPr>
        <w:t> </w:t>
      </w:r>
      <w:r>
        <w:rPr>
          <w:color w:val="0B0B0B"/>
        </w:rPr>
        <w:t>exploración</w:t>
      </w:r>
      <w:r>
        <w:rPr>
          <w:color w:val="0B0B0B"/>
          <w:spacing w:val="-2"/>
        </w:rPr>
        <w:t> </w:t>
      </w:r>
      <w:r>
        <w:rPr>
          <w:color w:val="0B0B0B"/>
        </w:rPr>
        <w:t>la</w:t>
      </w:r>
      <w:r>
        <w:rPr>
          <w:color w:val="0B0B0B"/>
          <w:spacing w:val="-1"/>
        </w:rPr>
        <w:t> </w:t>
      </w:r>
      <w:r>
        <w:rPr>
          <w:color w:val="0B0B0B"/>
        </w:rPr>
        <w:t>constituyen</w:t>
      </w:r>
      <w:r>
        <w:rPr>
          <w:color w:val="0B0B0B"/>
          <w:spacing w:val="-2"/>
        </w:rPr>
        <w:t> </w:t>
      </w:r>
      <w:r>
        <w:rPr>
          <w:color w:val="0B0B0B"/>
        </w:rPr>
        <w:t>las</w:t>
      </w:r>
      <w:r>
        <w:rPr>
          <w:color w:val="0B0B0B"/>
          <w:spacing w:val="-1"/>
        </w:rPr>
        <w:t> </w:t>
      </w:r>
      <w:r>
        <w:rPr>
          <w:color w:val="0B0B0B"/>
        </w:rPr>
        <w:t>obras</w:t>
      </w:r>
      <w:r>
        <w:rPr>
          <w:color w:val="0B0B0B"/>
          <w:spacing w:val="-1"/>
        </w:rPr>
        <w:t> </w:t>
      </w:r>
      <w:r>
        <w:rPr>
          <w:color w:val="0B0B0B"/>
        </w:rPr>
        <w:t>y</w:t>
      </w:r>
      <w:r>
        <w:rPr>
          <w:color w:val="0B0B0B"/>
          <w:spacing w:val="-2"/>
        </w:rPr>
        <w:t> </w:t>
      </w:r>
      <w:r>
        <w:rPr>
          <w:color w:val="0B0B0B"/>
        </w:rPr>
        <w:t>trabajos</w:t>
      </w:r>
      <w:r>
        <w:rPr>
          <w:color w:val="0B0B0B"/>
          <w:spacing w:val="-2"/>
        </w:rPr>
        <w:t> </w:t>
      </w:r>
      <w:r>
        <w:rPr>
          <w:color w:val="0B0B0B"/>
        </w:rPr>
        <w:t>realizados</w:t>
      </w:r>
      <w:r>
        <w:rPr>
          <w:color w:val="0B0B0B"/>
          <w:spacing w:val="-2"/>
        </w:rPr>
        <w:t> </w:t>
      </w:r>
      <w:r>
        <w:rPr>
          <w:color w:val="0B0B0B"/>
        </w:rPr>
        <w:t>en</w:t>
      </w:r>
      <w:r>
        <w:rPr>
          <w:color w:val="0B0B0B"/>
          <w:spacing w:val="-2"/>
        </w:rPr>
        <w:t> </w:t>
      </w:r>
      <w:r>
        <w:rPr>
          <w:color w:val="0B0B0B"/>
        </w:rPr>
        <w:t>el</w:t>
      </w:r>
      <w:r>
        <w:rPr>
          <w:color w:val="0B0B0B"/>
          <w:spacing w:val="-2"/>
        </w:rPr>
        <w:t> </w:t>
      </w:r>
      <w:r>
        <w:rPr>
          <w:color w:val="0B0B0B"/>
        </w:rPr>
        <w:t>terreno</w:t>
      </w:r>
      <w:r>
        <w:rPr>
          <w:color w:val="0B0B0B"/>
          <w:spacing w:val="-2"/>
        </w:rPr>
        <w:t> </w:t>
      </w:r>
      <w:r>
        <w:rPr>
          <w:color w:val="0B0B0B"/>
        </w:rPr>
        <w:t>con</w:t>
      </w:r>
      <w:r>
        <w:rPr>
          <w:color w:val="0B0B0B"/>
          <w:spacing w:val="-2"/>
        </w:rPr>
        <w:t> </w:t>
      </w:r>
      <w:r>
        <w:rPr>
          <w:color w:val="0B0B0B"/>
        </w:rPr>
        <w:t>el</w:t>
      </w:r>
      <w:r>
        <w:rPr>
          <w:color w:val="0B0B0B"/>
          <w:spacing w:val="-1"/>
        </w:rPr>
        <w:t> </w:t>
      </w:r>
      <w:r>
        <w:rPr>
          <w:color w:val="0B0B0B"/>
        </w:rPr>
        <w:t>objeto</w:t>
      </w:r>
      <w:r>
        <w:rPr>
          <w:color w:val="0B0B0B"/>
          <w:spacing w:val="-2"/>
        </w:rPr>
        <w:t> </w:t>
      </w:r>
      <w:r>
        <w:rPr>
          <w:color w:val="0B0B0B"/>
        </w:rPr>
        <w:t>de identificar</w:t>
      </w:r>
      <w:r>
        <w:rPr>
          <w:color w:val="0B0B0B"/>
          <w:spacing w:val="-1"/>
        </w:rPr>
        <w:t> </w:t>
      </w:r>
      <w:r>
        <w:rPr>
          <w:color w:val="0B0B0B"/>
        </w:rPr>
        <w:t>depósitos</w:t>
      </w:r>
      <w:r>
        <w:rPr>
          <w:color w:val="0B0B0B"/>
          <w:spacing w:val="-1"/>
        </w:rPr>
        <w:t> </w:t>
      </w:r>
      <w:r>
        <w:rPr>
          <w:color w:val="0B0B0B"/>
        </w:rPr>
        <w:t>de</w:t>
      </w:r>
      <w:r>
        <w:rPr>
          <w:color w:val="0B0B0B"/>
          <w:spacing w:val="-1"/>
        </w:rPr>
        <w:t> </w:t>
      </w:r>
      <w:r>
        <w:rPr>
          <w:color w:val="0B0B0B"/>
        </w:rPr>
        <w:t>minerales</w:t>
      </w:r>
      <w:r>
        <w:rPr>
          <w:color w:val="0B0B0B"/>
          <w:spacing w:val="-1"/>
        </w:rPr>
        <w:t> </w:t>
      </w:r>
      <w:r>
        <w:rPr>
          <w:color w:val="0B0B0B"/>
        </w:rPr>
        <w:t>o</w:t>
      </w:r>
      <w:r>
        <w:rPr>
          <w:color w:val="0B0B0B"/>
          <w:spacing w:val="-1"/>
        </w:rPr>
        <w:t> </w:t>
      </w:r>
      <w:r>
        <w:rPr>
          <w:color w:val="0B0B0B"/>
        </w:rPr>
        <w:t>sustancias,</w:t>
      </w:r>
      <w:r>
        <w:rPr>
          <w:color w:val="0B0B0B"/>
          <w:spacing w:val="-1"/>
        </w:rPr>
        <w:t> </w:t>
      </w:r>
      <w:r>
        <w:rPr>
          <w:color w:val="0B0B0B"/>
        </w:rPr>
        <w:t>al</w:t>
      </w:r>
      <w:r>
        <w:rPr>
          <w:color w:val="0B0B0B"/>
          <w:spacing w:val="-1"/>
        </w:rPr>
        <w:t> </w:t>
      </w:r>
      <w:r>
        <w:rPr>
          <w:color w:val="0B0B0B"/>
        </w:rPr>
        <w:t>igual</w:t>
      </w:r>
      <w:r>
        <w:rPr>
          <w:color w:val="0B0B0B"/>
          <w:spacing w:val="-1"/>
        </w:rPr>
        <w:t> </w:t>
      </w:r>
      <w:r>
        <w:rPr>
          <w:color w:val="0B0B0B"/>
        </w:rPr>
        <w:t>que de</w:t>
      </w:r>
      <w:r>
        <w:rPr>
          <w:color w:val="0B0B0B"/>
          <w:spacing w:val="-1"/>
        </w:rPr>
        <w:t> </w:t>
      </w:r>
      <w:r>
        <w:rPr>
          <w:color w:val="0B0B0B"/>
        </w:rPr>
        <w:t>cuantificar y</w:t>
      </w:r>
      <w:r>
        <w:rPr>
          <w:color w:val="0B0B0B"/>
          <w:spacing w:val="-1"/>
        </w:rPr>
        <w:t> </w:t>
      </w:r>
      <w:r>
        <w:rPr>
          <w:color w:val="0B0B0B"/>
        </w:rPr>
        <w:t>evaluar</w:t>
      </w:r>
      <w:r>
        <w:rPr>
          <w:color w:val="0B0B0B"/>
          <w:spacing w:val="-1"/>
        </w:rPr>
        <w:t> </w:t>
      </w:r>
      <w:r>
        <w:rPr>
          <w:color w:val="0B0B0B"/>
        </w:rPr>
        <w:t>las reservas económicamente aprovechables.</w:t>
      </w:r>
    </w:p>
    <w:p>
      <w:pPr>
        <w:pStyle w:val="BodyText"/>
        <w:spacing w:line="261" w:lineRule="auto" w:before="103"/>
        <w:ind w:right="258"/>
      </w:pPr>
      <w:r>
        <w:rPr>
          <w:color w:val="0B0B0B"/>
        </w:rPr>
        <w:t>El</w:t>
      </w:r>
      <w:r>
        <w:rPr>
          <w:color w:val="0B0B0B"/>
          <w:spacing w:val="-2"/>
        </w:rPr>
        <w:t> </w:t>
      </w:r>
      <w:r>
        <w:rPr>
          <w:color w:val="0B0B0B"/>
        </w:rPr>
        <w:t>artículo</w:t>
      </w:r>
      <w:r>
        <w:rPr>
          <w:color w:val="0B0B0B"/>
          <w:spacing w:val="-1"/>
        </w:rPr>
        <w:t> </w:t>
      </w:r>
      <w:r>
        <w:rPr>
          <w:color w:val="0B0B0B"/>
        </w:rPr>
        <w:t>32,</w:t>
      </w:r>
      <w:r>
        <w:rPr>
          <w:color w:val="0B0B0B"/>
          <w:spacing w:val="-1"/>
        </w:rPr>
        <w:t> </w:t>
      </w:r>
      <w:r>
        <w:rPr>
          <w:color w:val="0B0B0B"/>
        </w:rPr>
        <w:t>primer</w:t>
      </w:r>
      <w:r>
        <w:rPr>
          <w:color w:val="0B0B0B"/>
          <w:spacing w:val="-1"/>
        </w:rPr>
        <w:t> </w:t>
      </w:r>
      <w:r>
        <w:rPr>
          <w:color w:val="0B0B0B"/>
        </w:rPr>
        <w:t>y</w:t>
      </w:r>
      <w:r>
        <w:rPr>
          <w:color w:val="0B0B0B"/>
          <w:spacing w:val="-2"/>
        </w:rPr>
        <w:t> </w:t>
      </w:r>
      <w:r>
        <w:rPr>
          <w:color w:val="0B0B0B"/>
        </w:rPr>
        <w:t>tercer</w:t>
      </w:r>
      <w:r>
        <w:rPr>
          <w:color w:val="0B0B0B"/>
          <w:spacing w:val="-1"/>
        </w:rPr>
        <w:t> </w:t>
      </w:r>
      <w:r>
        <w:rPr>
          <w:color w:val="0B0B0B"/>
        </w:rPr>
        <w:t>párrafos</w:t>
      </w:r>
      <w:r>
        <w:rPr>
          <w:color w:val="0B0B0B"/>
          <w:spacing w:val="-1"/>
        </w:rPr>
        <w:t> </w:t>
      </w:r>
      <w:r>
        <w:rPr>
          <w:color w:val="0B0B0B"/>
        </w:rPr>
        <w:t>de</w:t>
      </w:r>
      <w:r>
        <w:rPr>
          <w:color w:val="0B0B0B"/>
          <w:spacing w:val="-2"/>
        </w:rPr>
        <w:t> </w:t>
      </w:r>
      <w:r>
        <w:rPr>
          <w:color w:val="0B0B0B"/>
        </w:rPr>
        <w:t>la</w:t>
      </w:r>
      <w:r>
        <w:rPr>
          <w:color w:val="0B0B0B"/>
          <w:spacing w:val="-1"/>
        </w:rPr>
        <w:t> </w:t>
      </w:r>
      <w:r>
        <w:rPr>
          <w:color w:val="0B0B0B"/>
        </w:rPr>
        <w:t>Ley</w:t>
      </w:r>
      <w:r>
        <w:rPr>
          <w:color w:val="0B0B0B"/>
          <w:spacing w:val="-2"/>
        </w:rPr>
        <w:t> </w:t>
      </w:r>
      <w:r>
        <w:rPr>
          <w:color w:val="0B0B0B"/>
        </w:rPr>
        <w:t>del</w:t>
      </w:r>
      <w:r>
        <w:rPr>
          <w:color w:val="0B0B0B"/>
          <w:spacing w:val="-2"/>
        </w:rPr>
        <w:t> </w:t>
      </w:r>
      <w:r>
        <w:rPr>
          <w:color w:val="0B0B0B"/>
        </w:rPr>
        <w:t>ISR,</w:t>
      </w:r>
      <w:r>
        <w:rPr>
          <w:color w:val="0B0B0B"/>
          <w:spacing w:val="-2"/>
        </w:rPr>
        <w:t> </w:t>
      </w:r>
      <w:r>
        <w:rPr>
          <w:color w:val="0B0B0B"/>
        </w:rPr>
        <w:t>establecen</w:t>
      </w:r>
      <w:r>
        <w:rPr>
          <w:color w:val="0B0B0B"/>
          <w:spacing w:val="-2"/>
        </w:rPr>
        <w:t> </w:t>
      </w:r>
      <w:r>
        <w:rPr>
          <w:color w:val="0B0B0B"/>
        </w:rPr>
        <w:t>que</w:t>
      </w:r>
      <w:r>
        <w:rPr>
          <w:color w:val="0B0B0B"/>
          <w:spacing w:val="-2"/>
        </w:rPr>
        <w:t> </w:t>
      </w:r>
      <w:r>
        <w:rPr>
          <w:color w:val="0B0B0B"/>
        </w:rPr>
        <w:t>se</w:t>
      </w:r>
      <w:r>
        <w:rPr>
          <w:color w:val="0B0B0B"/>
          <w:spacing w:val="-2"/>
        </w:rPr>
        <w:t> </w:t>
      </w:r>
      <w:r>
        <w:rPr>
          <w:color w:val="0B0B0B"/>
        </w:rPr>
        <w:t>consideran inversiones, entre otros conceptos, los gastos diferidos, siendo estos los activos intangibles que permitan la explotación de bienes del dominio público o la prestación de un servicio público concesionado.</w:t>
      </w:r>
    </w:p>
    <w:p>
      <w:pPr>
        <w:spacing w:line="261" w:lineRule="auto" w:before="103"/>
        <w:ind w:left="2145" w:right="256" w:firstLine="0"/>
        <w:jc w:val="both"/>
        <w:rPr>
          <w:rFonts w:ascii="Arial" w:hAnsi="Arial"/>
          <w:i/>
          <w:sz w:val="18"/>
        </w:rPr>
      </w:pPr>
      <w:r>
        <w:rPr>
          <w:color w:val="0B0B0B"/>
          <w:sz w:val="18"/>
        </w:rPr>
        <w:t>En relación con lo anterior, en la iniciativa del Ejecutivo relativa a la exposición de motivos que dio origen a la reforma al párrafo referido, publicada en el DOF del 31 de diciembre de 1999, se indicó: </w:t>
      </w:r>
      <w:r>
        <w:rPr>
          <w:rFonts w:ascii="Arial" w:hAnsi="Arial"/>
          <w:i/>
          <w:color w:val="0B0B0B"/>
          <w:sz w:val="18"/>
        </w:rPr>
        <w:t>“(</w:t>
      </w:r>
      <w:r>
        <w:rPr>
          <w:rFonts w:ascii="Arial" w:hAnsi="Arial"/>
          <w:b/>
          <w:i/>
          <w:color w:val="0B0B0B"/>
          <w:sz w:val="18"/>
        </w:rPr>
        <w:t>...</w:t>
      </w:r>
      <w:r>
        <w:rPr>
          <w:rFonts w:ascii="Arial" w:hAnsi="Arial"/>
          <w:i/>
          <w:color w:val="0B0B0B"/>
          <w:sz w:val="18"/>
        </w:rPr>
        <w:t>)</w:t>
      </w:r>
      <w:r>
        <w:rPr>
          <w:rFonts w:ascii="Arial" w:hAnsi="Arial"/>
          <w:i/>
          <w:color w:val="0B0B0B"/>
          <w:sz w:val="18"/>
        </w:rPr>
        <w:t> se propone a esa Soberanía establecer expresamente la deducción de las erogaciones para la adquisición del título de concesión como un gasto diferido, (</w:t>
      </w:r>
      <w:r>
        <w:rPr>
          <w:rFonts w:ascii="Arial" w:hAnsi="Arial"/>
          <w:b/>
          <w:i/>
          <w:color w:val="0B0B0B"/>
          <w:sz w:val="18"/>
        </w:rPr>
        <w:t>...</w:t>
      </w:r>
      <w:r>
        <w:rPr>
          <w:rFonts w:ascii="Arial" w:hAnsi="Arial"/>
          <w:i/>
          <w:color w:val="0B0B0B"/>
          <w:sz w:val="18"/>
        </w:rPr>
        <w:t>).”, bajo las consideraciones siguientes: “(</w:t>
      </w:r>
      <w:r>
        <w:rPr>
          <w:rFonts w:ascii="Arial" w:hAnsi="Arial"/>
          <w:b/>
          <w:i/>
          <w:color w:val="0B0B0B"/>
          <w:sz w:val="18"/>
        </w:rPr>
        <w:t>...</w:t>
      </w:r>
      <w:r>
        <w:rPr>
          <w:rFonts w:ascii="Arial" w:hAnsi="Arial"/>
          <w:i/>
          <w:color w:val="0B0B0B"/>
          <w:sz w:val="18"/>
        </w:rPr>
        <w:t>) en</w:t>
      </w:r>
      <w:r>
        <w:rPr>
          <w:rFonts w:ascii="Arial" w:hAnsi="Arial"/>
          <w:i/>
          <w:color w:val="0B0B0B"/>
          <w:spacing w:val="40"/>
          <w:sz w:val="18"/>
        </w:rPr>
        <w:t> </w:t>
      </w:r>
      <w:r>
        <w:rPr>
          <w:rFonts w:ascii="Arial" w:hAnsi="Arial"/>
          <w:i/>
          <w:color w:val="0B0B0B"/>
          <w:sz w:val="18"/>
        </w:rPr>
        <w:t>la Ley del Impuesto sobre la Renta no establece expresamente cómo deducir las erogaciones realizadas por la adquisición de títulos de concesión. Esto ha generado incertidumbre en los contribuyentes y el que se apliquen porcientos que en algunos casos son muy superiores a lo que corresponde a su vida útil. Ello puede conducir a que</w:t>
      </w:r>
      <w:r>
        <w:rPr>
          <w:rFonts w:ascii="Arial" w:hAnsi="Arial"/>
          <w:i/>
          <w:color w:val="0B0B0B"/>
          <w:spacing w:val="-1"/>
          <w:sz w:val="18"/>
        </w:rPr>
        <w:t> </w:t>
      </w:r>
      <w:r>
        <w:rPr>
          <w:rFonts w:ascii="Arial" w:hAnsi="Arial"/>
          <w:i/>
          <w:color w:val="0B0B0B"/>
          <w:sz w:val="18"/>
        </w:rPr>
        <w:t>las</w:t>
      </w:r>
      <w:r>
        <w:rPr>
          <w:rFonts w:ascii="Arial" w:hAnsi="Arial"/>
          <w:i/>
          <w:color w:val="0B0B0B"/>
          <w:spacing w:val="-1"/>
          <w:sz w:val="18"/>
        </w:rPr>
        <w:t> </w:t>
      </w:r>
      <w:r>
        <w:rPr>
          <w:rFonts w:ascii="Arial" w:hAnsi="Arial"/>
          <w:i/>
          <w:color w:val="0B0B0B"/>
          <w:sz w:val="18"/>
        </w:rPr>
        <w:t>empresas</w:t>
      </w:r>
      <w:r>
        <w:rPr>
          <w:rFonts w:ascii="Arial" w:hAnsi="Arial"/>
          <w:i/>
          <w:color w:val="0B0B0B"/>
          <w:spacing w:val="-1"/>
          <w:sz w:val="18"/>
        </w:rPr>
        <w:t> </w:t>
      </w:r>
      <w:r>
        <w:rPr>
          <w:rFonts w:ascii="Arial" w:hAnsi="Arial"/>
          <w:i/>
          <w:color w:val="0B0B0B"/>
          <w:sz w:val="18"/>
        </w:rPr>
        <w:t>beneficiarias</w:t>
      </w:r>
      <w:r>
        <w:rPr>
          <w:rFonts w:ascii="Arial" w:hAnsi="Arial"/>
          <w:i/>
          <w:color w:val="0B0B0B"/>
          <w:spacing w:val="-1"/>
          <w:sz w:val="18"/>
        </w:rPr>
        <w:t> </w:t>
      </w:r>
      <w:r>
        <w:rPr>
          <w:rFonts w:ascii="Arial" w:hAnsi="Arial"/>
          <w:i/>
          <w:color w:val="0B0B0B"/>
          <w:sz w:val="18"/>
        </w:rPr>
        <w:t>de</w:t>
      </w:r>
      <w:r>
        <w:rPr>
          <w:rFonts w:ascii="Arial" w:hAnsi="Arial"/>
          <w:i/>
          <w:color w:val="0B0B0B"/>
          <w:spacing w:val="-1"/>
          <w:sz w:val="18"/>
        </w:rPr>
        <w:t> </w:t>
      </w:r>
      <w:r>
        <w:rPr>
          <w:rFonts w:ascii="Arial" w:hAnsi="Arial"/>
          <w:i/>
          <w:color w:val="0B0B0B"/>
          <w:sz w:val="18"/>
        </w:rPr>
        <w:t>concesiones no</w:t>
      </w:r>
      <w:r>
        <w:rPr>
          <w:rFonts w:ascii="Arial" w:hAnsi="Arial"/>
          <w:i/>
          <w:color w:val="0B0B0B"/>
          <w:spacing w:val="-1"/>
          <w:sz w:val="18"/>
        </w:rPr>
        <w:t> </w:t>
      </w:r>
      <w:r>
        <w:rPr>
          <w:rFonts w:ascii="Arial" w:hAnsi="Arial"/>
          <w:i/>
          <w:color w:val="0B0B0B"/>
          <w:sz w:val="18"/>
        </w:rPr>
        <w:t>paguen impuesto</w:t>
      </w:r>
      <w:r>
        <w:rPr>
          <w:rFonts w:ascii="Arial" w:hAnsi="Arial"/>
          <w:i/>
          <w:color w:val="0B0B0B"/>
          <w:spacing w:val="-1"/>
          <w:sz w:val="18"/>
        </w:rPr>
        <w:t> </w:t>
      </w:r>
      <w:r>
        <w:rPr>
          <w:rFonts w:ascii="Arial" w:hAnsi="Arial"/>
          <w:i/>
          <w:color w:val="0B0B0B"/>
          <w:sz w:val="18"/>
        </w:rPr>
        <w:t>sobre</w:t>
      </w:r>
      <w:r>
        <w:rPr>
          <w:rFonts w:ascii="Arial" w:hAnsi="Arial"/>
          <w:i/>
          <w:color w:val="0B0B0B"/>
          <w:spacing w:val="-1"/>
          <w:sz w:val="18"/>
        </w:rPr>
        <w:t> </w:t>
      </w:r>
      <w:r>
        <w:rPr>
          <w:rFonts w:ascii="Arial" w:hAnsi="Arial"/>
          <w:i/>
          <w:color w:val="0B0B0B"/>
          <w:sz w:val="18"/>
        </w:rPr>
        <w:t>la</w:t>
      </w:r>
      <w:r>
        <w:rPr>
          <w:rFonts w:ascii="Arial" w:hAnsi="Arial"/>
          <w:i/>
          <w:color w:val="0B0B0B"/>
          <w:spacing w:val="-1"/>
          <w:sz w:val="18"/>
        </w:rPr>
        <w:t> </w:t>
      </w:r>
      <w:r>
        <w:rPr>
          <w:rFonts w:ascii="Arial" w:hAnsi="Arial"/>
          <w:i/>
          <w:color w:val="0B0B0B"/>
          <w:sz w:val="18"/>
        </w:rPr>
        <w:t>renta</w:t>
      </w:r>
      <w:r>
        <w:rPr>
          <w:rFonts w:ascii="Arial" w:hAnsi="Arial"/>
          <w:i/>
          <w:color w:val="0B0B0B"/>
          <w:spacing w:val="-1"/>
          <w:sz w:val="18"/>
        </w:rPr>
        <w:t> </w:t>
      </w:r>
      <w:r>
        <w:rPr>
          <w:rFonts w:ascii="Arial" w:hAnsi="Arial"/>
          <w:i/>
          <w:color w:val="0B0B0B"/>
          <w:sz w:val="18"/>
        </w:rPr>
        <w:t>por largos periodos de tiempo de manera indebida (</w:t>
      </w:r>
      <w:r>
        <w:rPr>
          <w:rFonts w:ascii="Arial" w:hAnsi="Arial"/>
          <w:b/>
          <w:i/>
          <w:color w:val="0B0B0B"/>
          <w:sz w:val="18"/>
        </w:rPr>
        <w:t>...</w:t>
      </w:r>
      <w:r>
        <w:rPr>
          <w:rFonts w:ascii="Arial" w:hAnsi="Arial"/>
          <w:i/>
          <w:color w:val="0B0B0B"/>
          <w:sz w:val="18"/>
        </w:rPr>
        <w:t>)”.</w:t>
      </w:r>
    </w:p>
    <w:p>
      <w:pPr>
        <w:pStyle w:val="BodyText"/>
        <w:spacing w:line="261" w:lineRule="auto" w:before="106"/>
        <w:ind w:right="256"/>
      </w:pPr>
      <w:r>
        <w:rPr>
          <w:color w:val="0B0B0B"/>
        </w:rPr>
        <w:t>En ese sentido, la adquisición de derechos para la exploración y explotación minera, conocidos</w:t>
      </w:r>
      <w:r>
        <w:rPr>
          <w:color w:val="0B0B0B"/>
          <w:spacing w:val="-3"/>
        </w:rPr>
        <w:t> </w:t>
      </w:r>
      <w:r>
        <w:rPr>
          <w:color w:val="0B0B0B"/>
        </w:rPr>
        <w:t>como</w:t>
      </w:r>
      <w:r>
        <w:rPr>
          <w:color w:val="0B0B0B"/>
          <w:spacing w:val="-3"/>
        </w:rPr>
        <w:t> </w:t>
      </w:r>
      <w:r>
        <w:rPr>
          <w:color w:val="0B0B0B"/>
        </w:rPr>
        <w:t>concesión</w:t>
      </w:r>
      <w:r>
        <w:rPr>
          <w:color w:val="0B0B0B"/>
          <w:spacing w:val="-3"/>
        </w:rPr>
        <w:t> </w:t>
      </w:r>
      <w:r>
        <w:rPr>
          <w:color w:val="0B0B0B"/>
        </w:rPr>
        <w:t>minera,</w:t>
      </w:r>
      <w:r>
        <w:rPr>
          <w:color w:val="0B0B0B"/>
          <w:spacing w:val="-3"/>
        </w:rPr>
        <w:t> </w:t>
      </w:r>
      <w:r>
        <w:rPr>
          <w:color w:val="0B0B0B"/>
        </w:rPr>
        <w:t>no</w:t>
      </w:r>
      <w:r>
        <w:rPr>
          <w:color w:val="0B0B0B"/>
          <w:spacing w:val="-3"/>
        </w:rPr>
        <w:t> </w:t>
      </w:r>
      <w:r>
        <w:rPr>
          <w:color w:val="0B0B0B"/>
        </w:rPr>
        <w:t>constituyen</w:t>
      </w:r>
      <w:r>
        <w:rPr>
          <w:color w:val="0B0B0B"/>
          <w:spacing w:val="-3"/>
        </w:rPr>
        <w:t> </w:t>
      </w:r>
      <w:r>
        <w:rPr>
          <w:color w:val="0B0B0B"/>
        </w:rPr>
        <w:t>las</w:t>
      </w:r>
      <w:r>
        <w:rPr>
          <w:color w:val="0B0B0B"/>
          <w:spacing w:val="-3"/>
        </w:rPr>
        <w:t> </w:t>
      </w:r>
      <w:r>
        <w:rPr>
          <w:color w:val="0B0B0B"/>
        </w:rPr>
        <w:t>obras y</w:t>
      </w:r>
      <w:r>
        <w:rPr>
          <w:color w:val="0B0B0B"/>
          <w:spacing w:val="-5"/>
        </w:rPr>
        <w:t> </w:t>
      </w:r>
      <w:r>
        <w:rPr>
          <w:color w:val="0B0B0B"/>
        </w:rPr>
        <w:t>trabajos</w:t>
      </w:r>
      <w:r>
        <w:rPr>
          <w:color w:val="0B0B0B"/>
          <w:spacing w:val="-3"/>
        </w:rPr>
        <w:t> </w:t>
      </w:r>
      <w:r>
        <w:rPr>
          <w:color w:val="0B0B0B"/>
        </w:rPr>
        <w:t>realizados</w:t>
      </w:r>
      <w:r>
        <w:rPr>
          <w:color w:val="0B0B0B"/>
          <w:spacing w:val="-3"/>
        </w:rPr>
        <w:t> </w:t>
      </w:r>
      <w:r>
        <w:rPr>
          <w:color w:val="0B0B0B"/>
        </w:rPr>
        <w:t>en</w:t>
      </w:r>
      <w:r>
        <w:rPr>
          <w:color w:val="0B0B0B"/>
          <w:spacing w:val="-3"/>
        </w:rPr>
        <w:t> </w:t>
      </w:r>
      <w:r>
        <w:rPr>
          <w:color w:val="0B0B0B"/>
        </w:rPr>
        <w:t>el terreno con el objeto de identificar depósitos minerales, cuantificar o evaluar las reservas económicamente aprovechables, sino que constituyen un activo intangible que permite a su comprador la explotación de un bien del dominio público.</w:t>
      </w:r>
    </w:p>
    <w:p>
      <w:pPr>
        <w:pStyle w:val="BodyText"/>
        <w:spacing w:line="261" w:lineRule="auto" w:before="101"/>
        <w:ind w:right="256"/>
      </w:pPr>
      <w:r>
        <w:rPr>
          <w:color w:val="0B0B0B"/>
        </w:rPr>
        <w:t>Por lo tanto, la adquisición de dichos derechos,</w:t>
      </w:r>
      <w:r>
        <w:rPr>
          <w:color w:val="0B0B0B"/>
        </w:rPr>
        <w:t> independientemente de la etapa en</w:t>
      </w:r>
      <w:r>
        <w:rPr>
          <w:color w:val="0B0B0B"/>
          <w:spacing w:val="40"/>
        </w:rPr>
        <w:t> </w:t>
      </w:r>
      <w:r>
        <w:rPr>
          <w:color w:val="0B0B0B"/>
        </w:rPr>
        <w:t>que se encuentre el lote minero al momento en el que se lleve a cabo la misma, tiene la naturaleza para efectos fiscales de gasto diferido, no así de inversión realizada para la prospección y exploración minera a que se refiere el artículo 268, tercer párrafo, inciso</w:t>
      </w:r>
      <w:r>
        <w:rPr>
          <w:color w:val="0B0B0B"/>
          <w:spacing w:val="-1"/>
        </w:rPr>
        <w:t> </w:t>
      </w:r>
      <w:r>
        <w:rPr>
          <w:color w:val="0B0B0B"/>
        </w:rPr>
        <w:t>a),</w:t>
      </w:r>
      <w:r>
        <w:rPr>
          <w:color w:val="0B0B0B"/>
          <w:spacing w:val="-2"/>
        </w:rPr>
        <w:t> </w:t>
      </w:r>
      <w:r>
        <w:rPr>
          <w:color w:val="0B0B0B"/>
        </w:rPr>
        <w:t>última</w:t>
      </w:r>
      <w:r>
        <w:rPr>
          <w:color w:val="0B0B0B"/>
          <w:spacing w:val="-2"/>
        </w:rPr>
        <w:t> </w:t>
      </w:r>
      <w:r>
        <w:rPr>
          <w:color w:val="0B0B0B"/>
        </w:rPr>
        <w:t>oración</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LFD,</w:t>
      </w:r>
      <w:r>
        <w:rPr>
          <w:color w:val="0B0B0B"/>
          <w:spacing w:val="-1"/>
        </w:rPr>
        <w:t> </w:t>
      </w:r>
      <w:r>
        <w:rPr>
          <w:color w:val="0B0B0B"/>
        </w:rPr>
        <w:t>ya</w:t>
      </w:r>
      <w:r>
        <w:rPr>
          <w:color w:val="0B0B0B"/>
          <w:spacing w:val="-1"/>
        </w:rPr>
        <w:t> </w:t>
      </w:r>
      <w:r>
        <w:rPr>
          <w:color w:val="0B0B0B"/>
        </w:rPr>
        <w:t>que</w:t>
      </w:r>
      <w:r>
        <w:rPr>
          <w:color w:val="0B0B0B"/>
          <w:spacing w:val="-2"/>
        </w:rPr>
        <w:t> </w:t>
      </w:r>
      <w:r>
        <w:rPr>
          <w:color w:val="0B0B0B"/>
        </w:rPr>
        <w:t>dicha</w:t>
      </w:r>
      <w:r>
        <w:rPr>
          <w:color w:val="0B0B0B"/>
          <w:spacing w:val="-2"/>
        </w:rPr>
        <w:t> </w:t>
      </w:r>
      <w:r>
        <w:rPr>
          <w:color w:val="0B0B0B"/>
        </w:rPr>
        <w:t>adquisición</w:t>
      </w:r>
      <w:r>
        <w:rPr>
          <w:color w:val="0B0B0B"/>
          <w:spacing w:val="-2"/>
        </w:rPr>
        <w:t> </w:t>
      </w:r>
      <w:r>
        <w:rPr>
          <w:color w:val="0B0B0B"/>
        </w:rPr>
        <w:t>concede</w:t>
      </w:r>
      <w:r>
        <w:rPr>
          <w:color w:val="0B0B0B"/>
          <w:spacing w:val="-2"/>
        </w:rPr>
        <w:t> </w:t>
      </w:r>
      <w:r>
        <w:rPr>
          <w:color w:val="0B0B0B"/>
        </w:rPr>
        <w:t>a</w:t>
      </w:r>
      <w:r>
        <w:rPr>
          <w:color w:val="0B0B0B"/>
          <w:spacing w:val="-2"/>
        </w:rPr>
        <w:t> </w:t>
      </w:r>
      <w:r>
        <w:rPr>
          <w:color w:val="0B0B0B"/>
        </w:rPr>
        <w:t>los</w:t>
      </w:r>
      <w:r>
        <w:rPr>
          <w:color w:val="0B0B0B"/>
          <w:spacing w:val="-2"/>
        </w:rPr>
        <w:t> </w:t>
      </w:r>
      <w:r>
        <w:rPr>
          <w:color w:val="0B0B0B"/>
        </w:rPr>
        <w:t>particulares el derecho a la explotación del lote minero.</w:t>
      </w:r>
    </w:p>
    <w:p>
      <w:pPr>
        <w:pStyle w:val="BodyText"/>
        <w:spacing w:line="261" w:lineRule="auto" w:before="105"/>
        <w:ind w:right="256"/>
      </w:pPr>
      <w:r>
        <w:rPr>
          <w:color w:val="0B0B0B"/>
        </w:rPr>
        <w:t>Al respecto, se ha detectado que existen contribuyentes sujetos al pago del derecho especial sobre minería que, al determinar la base del citado derecho, deducen los valores correspondientes</w:t>
      </w:r>
      <w:r>
        <w:rPr>
          <w:color w:val="0B0B0B"/>
        </w:rPr>
        <w:t> a la adquisición de la denominada concesión minera, considerando indebidamente que se trata de una erogación realizada en periodo preoperativo y no de un gasto diferido, evadiendo con ello la prohibición para deducir inversiones diferentes a las realizadas para la prospección y exploración minera o las que las sustituyan, establecida en el artículo 268, tercer párrafo, inciso a) de la LFD, lo que conlleva la disminución o no pago del derecho especial sobre minería.</w:t>
      </w:r>
    </w:p>
    <w:p>
      <w:pPr>
        <w:pStyle w:val="BodyText"/>
        <w:spacing w:before="103"/>
      </w:pPr>
      <w:r>
        <w:rPr>
          <w:color w:val="0B0B0B"/>
        </w:rPr>
        <w:t>Por</w:t>
      </w:r>
      <w:r>
        <w:rPr>
          <w:color w:val="0B0B0B"/>
          <w:spacing w:val="-8"/>
        </w:rPr>
        <w:t> </w:t>
      </w:r>
      <w:r>
        <w:rPr>
          <w:color w:val="0B0B0B"/>
        </w:rPr>
        <w:t>lo</w:t>
      </w:r>
      <w:r>
        <w:rPr>
          <w:color w:val="0B0B0B"/>
          <w:spacing w:val="-7"/>
        </w:rPr>
        <w:t> </w:t>
      </w:r>
      <w:r>
        <w:rPr>
          <w:color w:val="0B0B0B"/>
        </w:rPr>
        <w:t>tanto,</w:t>
      </w:r>
      <w:r>
        <w:rPr>
          <w:color w:val="0B0B0B"/>
          <w:spacing w:val="-7"/>
        </w:rPr>
        <w:t> </w:t>
      </w:r>
      <w:r>
        <w:rPr>
          <w:color w:val="0B0B0B"/>
        </w:rPr>
        <w:t>se</w:t>
      </w:r>
      <w:r>
        <w:rPr>
          <w:color w:val="0B0B0B"/>
          <w:spacing w:val="-6"/>
        </w:rPr>
        <w:t> </w:t>
      </w:r>
      <w:r>
        <w:rPr>
          <w:color w:val="0B0B0B"/>
        </w:rPr>
        <w:t>considera</w:t>
      </w:r>
      <w:r>
        <w:rPr>
          <w:color w:val="0B0B0B"/>
          <w:spacing w:val="-7"/>
        </w:rPr>
        <w:t> </w:t>
      </w:r>
      <w:r>
        <w:rPr>
          <w:color w:val="0B0B0B"/>
        </w:rPr>
        <w:t>que</w:t>
      </w:r>
      <w:r>
        <w:rPr>
          <w:color w:val="0B0B0B"/>
          <w:spacing w:val="-6"/>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7"/>
        </w:rPr>
        <w:t> </w:t>
      </w:r>
      <w:r>
        <w:rPr>
          <w:color w:val="0B0B0B"/>
        </w:rPr>
        <w:t>fiscal</w:t>
      </w:r>
      <w:r>
        <w:rPr>
          <w:color w:val="0B0B0B"/>
          <w:spacing w:val="-7"/>
        </w:rPr>
        <w:t> </w:t>
      </w:r>
      <w:r>
        <w:rPr>
          <w:color w:val="0B0B0B"/>
          <w:spacing w:val="-2"/>
        </w:rPr>
        <w:t>indebida:</w:t>
      </w:r>
    </w:p>
    <w:p>
      <w:pPr>
        <w:pStyle w:val="ListParagraph"/>
        <w:numPr>
          <w:ilvl w:val="0"/>
          <w:numId w:val="74"/>
        </w:numPr>
        <w:tabs>
          <w:tab w:pos="2664" w:val="left" w:leader="none"/>
        </w:tabs>
        <w:spacing w:line="261" w:lineRule="auto" w:before="120" w:after="0"/>
        <w:ind w:left="2664" w:right="258" w:hanging="504"/>
        <w:jc w:val="both"/>
        <w:rPr>
          <w:sz w:val="18"/>
        </w:rPr>
      </w:pPr>
      <w:r>
        <w:rPr>
          <w:color w:val="0B0B0B"/>
          <w:sz w:val="18"/>
        </w:rPr>
        <w:t>El contribuyente que, en la determinación del derecho especial sobre minería, deduzca los valores correspondientes a la adquisición de los derechos para la exploración y explotación minera.</w:t>
      </w:r>
    </w:p>
    <w:p>
      <w:pPr>
        <w:pStyle w:val="ListParagraph"/>
        <w:numPr>
          <w:ilvl w:val="0"/>
          <w:numId w:val="74"/>
        </w:numPr>
        <w:tabs>
          <w:tab w:pos="2664" w:val="left" w:leader="none"/>
        </w:tabs>
        <w:spacing w:line="261" w:lineRule="auto" w:before="102" w:after="0"/>
        <w:ind w:left="2664" w:right="256" w:hanging="504"/>
        <w:jc w:val="both"/>
        <w:rPr>
          <w:sz w:val="18"/>
        </w:rPr>
      </w:pPr>
      <w:r>
        <w:rPr>
          <w:color w:val="0B0B0B"/>
          <w:sz w:val="18"/>
        </w:rPr>
        <w:t>Asesorar, aconsejar, prestar servicios o participar en la realización o implementación de la práctica anterior.</w:t>
      </w:r>
    </w:p>
    <w:p>
      <w:pPr>
        <w:pStyle w:val="BodyText"/>
        <w:spacing w:before="10"/>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0"/>
        <w:gridCol w:w="4126"/>
      </w:tblGrid>
      <w:tr>
        <w:trPr>
          <w:trHeight w:val="327" w:hRule="atLeast"/>
        </w:trPr>
        <w:tc>
          <w:tcPr>
            <w:tcW w:w="2760" w:type="dxa"/>
            <w:shd w:val="clear" w:color="auto" w:fill="BDBDBD"/>
          </w:tcPr>
          <w:p>
            <w:pPr>
              <w:pStyle w:val="TableParagraph"/>
              <w:spacing w:before="31"/>
              <w:ind w:left="13"/>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31"/>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2" w:hRule="atLeast"/>
        </w:trPr>
        <w:tc>
          <w:tcPr>
            <w:tcW w:w="2760" w:type="dxa"/>
          </w:tcPr>
          <w:p>
            <w:pPr>
              <w:pStyle w:val="TableParagraph"/>
              <w:tabs>
                <w:tab w:pos="1170" w:val="left" w:leader="none"/>
                <w:tab w:pos="2509" w:val="left" w:leader="none"/>
              </w:tabs>
              <w:spacing w:line="295" w:lineRule="auto" w:before="31"/>
              <w:ind w:right="55"/>
              <w:rPr>
                <w:sz w:val="16"/>
              </w:rPr>
            </w:pPr>
            <w:r>
              <w:rPr>
                <w:color w:val="0B0B0B"/>
                <w:spacing w:val="-2"/>
                <w:sz w:val="16"/>
              </w:rPr>
              <w:t>Tercera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2020</w:t>
            </w:r>
          </w:p>
        </w:tc>
        <w:tc>
          <w:tcPr>
            <w:tcW w:w="4126" w:type="dxa"/>
          </w:tcPr>
          <w:p>
            <w:pPr>
              <w:pStyle w:val="TableParagraph"/>
              <w:spacing w:line="295" w:lineRule="auto" w:before="31"/>
              <w:rPr>
                <w:sz w:val="16"/>
              </w:rPr>
            </w:pPr>
            <w:r>
              <w:rPr>
                <w:color w:val="0B0B0B"/>
                <w:sz w:val="16"/>
              </w:rPr>
              <w:t>Publicada</w:t>
            </w:r>
            <w:r>
              <w:rPr>
                <w:color w:val="0B0B0B"/>
                <w:spacing w:val="40"/>
                <w:sz w:val="16"/>
              </w:rPr>
              <w:t> </w:t>
            </w:r>
            <w:r>
              <w:rPr>
                <w:color w:val="0B0B0B"/>
                <w:sz w:val="16"/>
              </w:rPr>
              <w:t>en</w:t>
            </w:r>
            <w:r>
              <w:rPr>
                <w:color w:val="0B0B0B"/>
                <w:spacing w:val="40"/>
                <w:sz w:val="16"/>
              </w:rPr>
              <w:t> </w:t>
            </w:r>
            <w:r>
              <w:rPr>
                <w:color w:val="0B0B0B"/>
                <w:sz w:val="16"/>
              </w:rPr>
              <w:t>el</w:t>
            </w:r>
            <w:r>
              <w:rPr>
                <w:color w:val="0B0B0B"/>
                <w:spacing w:val="40"/>
                <w:sz w:val="16"/>
              </w:rPr>
              <w:t> </w:t>
            </w:r>
            <w:r>
              <w:rPr>
                <w:color w:val="0B0B0B"/>
                <w:sz w:val="16"/>
              </w:rPr>
              <w:t>DOF</w:t>
            </w:r>
            <w:r>
              <w:rPr>
                <w:color w:val="0B0B0B"/>
                <w:spacing w:val="40"/>
                <w:sz w:val="16"/>
              </w:rPr>
              <w:t> </w:t>
            </w:r>
            <w:r>
              <w:rPr>
                <w:color w:val="0B0B0B"/>
                <w:sz w:val="16"/>
              </w:rPr>
              <w:t>el</w:t>
            </w:r>
            <w:r>
              <w:rPr>
                <w:color w:val="0B0B0B"/>
                <w:spacing w:val="40"/>
                <w:sz w:val="16"/>
              </w:rPr>
              <w:t> </w:t>
            </w:r>
            <w:r>
              <w:rPr>
                <w:color w:val="0B0B0B"/>
                <w:sz w:val="16"/>
              </w:rPr>
              <w:t>18</w:t>
            </w:r>
            <w:r>
              <w:rPr>
                <w:color w:val="0B0B0B"/>
                <w:spacing w:val="40"/>
                <w:sz w:val="16"/>
              </w:rPr>
              <w:t> </w:t>
            </w:r>
            <w:r>
              <w:rPr>
                <w:color w:val="0B0B0B"/>
                <w:sz w:val="16"/>
              </w:rPr>
              <w:t>de</w:t>
            </w:r>
            <w:r>
              <w:rPr>
                <w:color w:val="0B0B0B"/>
                <w:spacing w:val="40"/>
                <w:sz w:val="16"/>
              </w:rPr>
              <w:t> </w:t>
            </w:r>
            <w:r>
              <w:rPr>
                <w:color w:val="0B0B0B"/>
                <w:sz w:val="16"/>
              </w:rPr>
              <w:t>noviembre</w:t>
            </w:r>
            <w:r>
              <w:rPr>
                <w:color w:val="0B0B0B"/>
                <w:spacing w:val="40"/>
                <w:sz w:val="16"/>
              </w:rPr>
              <w:t> </w:t>
            </w:r>
            <w:r>
              <w:rPr>
                <w:color w:val="0B0B0B"/>
                <w:sz w:val="16"/>
              </w:rPr>
              <w:t>de</w:t>
            </w:r>
            <w:r>
              <w:rPr>
                <w:color w:val="0B0B0B"/>
                <w:spacing w:val="40"/>
                <w:sz w:val="16"/>
              </w:rPr>
              <w:t> </w:t>
            </w:r>
            <w:r>
              <w:rPr>
                <w:color w:val="0B0B0B"/>
                <w:sz w:val="16"/>
              </w:rPr>
              <w:t>2020, Anexo 3, publicado el 23 de noviembre de 2020.</w:t>
            </w:r>
          </w:p>
        </w:tc>
      </w:tr>
    </w:tbl>
    <w:p>
      <w:pPr>
        <w:pStyle w:val="BodyText"/>
        <w:spacing w:before="132"/>
        <w:ind w:left="0"/>
        <w:jc w:val="left"/>
      </w:pPr>
    </w:p>
    <w:p>
      <w:pPr>
        <w:pStyle w:val="Heading1"/>
        <w:numPr>
          <w:ilvl w:val="0"/>
          <w:numId w:val="1"/>
        </w:numPr>
        <w:tabs>
          <w:tab w:pos="691" w:val="left" w:leader="none"/>
        </w:tabs>
        <w:spacing w:line="240" w:lineRule="auto" w:before="1" w:after="0"/>
        <w:ind w:left="691" w:right="0" w:hanging="432"/>
        <w:jc w:val="left"/>
      </w:pPr>
      <w:r>
        <w:rPr>
          <w:color w:val="0B0B0B"/>
          <w:spacing w:val="-2"/>
        </w:rPr>
        <w:t>Derogados</w:t>
      </w:r>
    </w:p>
    <w:p>
      <w:pPr>
        <w:pStyle w:val="BodyText"/>
        <w:spacing w:line="261" w:lineRule="auto" w:before="120"/>
        <w:ind w:left="691" w:right="257"/>
        <w:jc w:val="left"/>
      </w:pPr>
      <w:r>
        <w:rPr>
          <w:color w:val="0B0B0B"/>
        </w:rPr>
        <w:t>Los siguientes criterios continuarán surtiendo efectos respecto de las situaciones jurídicas o de hecho</w:t>
      </w:r>
      <w:r>
        <w:rPr>
          <w:color w:val="0B0B0B"/>
          <w:spacing w:val="40"/>
        </w:rPr>
        <w:t> </w:t>
      </w:r>
      <w:r>
        <w:rPr>
          <w:color w:val="0B0B0B"/>
        </w:rPr>
        <w:t>que en su momento regularon:</w:t>
      </w:r>
    </w:p>
    <w:p>
      <w:pPr>
        <w:pStyle w:val="BodyText"/>
        <w:spacing w:after="0" w:line="261" w:lineRule="auto"/>
        <w:jc w:val="left"/>
        <w:sectPr>
          <w:headerReference w:type="default" r:id="rId70"/>
          <w:pgSz w:w="12240" w:h="15840"/>
          <w:pgMar w:header="690" w:footer="0" w:top="1040" w:bottom="280" w:left="1440" w:right="1440"/>
        </w:sectPr>
      </w:pPr>
    </w:p>
    <w:p>
      <w:pPr>
        <w:pStyle w:val="Heading1"/>
        <w:numPr>
          <w:ilvl w:val="1"/>
          <w:numId w:val="1"/>
        </w:numPr>
        <w:tabs>
          <w:tab w:pos="1123" w:val="left" w:leader="none"/>
        </w:tabs>
        <w:spacing w:line="240" w:lineRule="auto" w:before="112" w:after="0"/>
        <w:ind w:left="1123" w:right="0" w:hanging="432"/>
        <w:jc w:val="left"/>
      </w:pPr>
      <w:r>
        <w:rPr>
          <w:color w:val="0B0B0B"/>
        </w:rPr>
        <w:t>Criterios</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Ley</w:t>
      </w:r>
      <w:r>
        <w:rPr>
          <w:color w:val="0B0B0B"/>
          <w:spacing w:val="-5"/>
        </w:rPr>
        <w:t> </w:t>
      </w:r>
      <w:r>
        <w:rPr>
          <w:color w:val="0B0B0B"/>
        </w:rPr>
        <w:t>del</w:t>
      </w:r>
      <w:r>
        <w:rPr>
          <w:color w:val="0B0B0B"/>
          <w:spacing w:val="-2"/>
        </w:rPr>
        <w:t> </w:t>
      </w:r>
      <w:r>
        <w:rPr>
          <w:color w:val="0B0B0B"/>
          <w:spacing w:val="-5"/>
        </w:rPr>
        <w:t>ISR</w:t>
      </w:r>
    </w:p>
    <w:p>
      <w:pPr>
        <w:spacing w:line="249" w:lineRule="auto" w:before="102"/>
        <w:ind w:left="2145" w:right="257" w:hanging="1008"/>
        <w:jc w:val="left"/>
        <w:rPr>
          <w:rFonts w:ascii="Arial"/>
          <w:b/>
          <w:sz w:val="18"/>
        </w:rPr>
      </w:pPr>
      <w:r>
        <w:rPr>
          <w:rFonts w:ascii="Arial"/>
          <w:b/>
          <w:color w:val="0B0B0B"/>
          <w:sz w:val="18"/>
        </w:rPr>
        <w:t>10/ISR/NV</w:t>
      </w:r>
      <w:r>
        <w:rPr>
          <w:rFonts w:ascii="Arial"/>
          <w:b/>
          <w:color w:val="0B0B0B"/>
          <w:spacing w:val="80"/>
          <w:sz w:val="18"/>
        </w:rPr>
        <w:t> </w:t>
      </w:r>
      <w:r>
        <w:rPr>
          <w:rFonts w:ascii="Arial"/>
          <w:b/>
          <w:color w:val="0B0B0B"/>
          <w:sz w:val="18"/>
        </w:rPr>
        <w:t>Inversiones</w:t>
      </w:r>
      <w:r>
        <w:rPr>
          <w:rFonts w:ascii="Arial"/>
          <w:b/>
          <w:color w:val="0B0B0B"/>
          <w:spacing w:val="40"/>
          <w:sz w:val="18"/>
        </w:rPr>
        <w:t> </w:t>
      </w:r>
      <w:r>
        <w:rPr>
          <w:rFonts w:ascii="Arial"/>
          <w:b/>
          <w:color w:val="0B0B0B"/>
          <w:sz w:val="18"/>
        </w:rPr>
        <w:t>realizadas</w:t>
      </w:r>
      <w:r>
        <w:rPr>
          <w:rFonts w:ascii="Arial"/>
          <w:b/>
          <w:color w:val="0B0B0B"/>
          <w:spacing w:val="40"/>
          <w:sz w:val="18"/>
        </w:rPr>
        <w:t> </w:t>
      </w:r>
      <w:r>
        <w:rPr>
          <w:rFonts w:ascii="Arial"/>
          <w:b/>
          <w:color w:val="0B0B0B"/>
          <w:sz w:val="18"/>
        </w:rPr>
        <w:t>por</w:t>
      </w:r>
      <w:r>
        <w:rPr>
          <w:rFonts w:ascii="Arial"/>
          <w:b/>
          <w:color w:val="0B0B0B"/>
          <w:spacing w:val="40"/>
          <w:sz w:val="18"/>
        </w:rPr>
        <w:t> </w:t>
      </w:r>
      <w:r>
        <w:rPr>
          <w:rFonts w:ascii="Arial"/>
          <w:b/>
          <w:color w:val="0B0B0B"/>
          <w:sz w:val="18"/>
        </w:rPr>
        <w:t>organizaciones</w:t>
      </w:r>
      <w:r>
        <w:rPr>
          <w:rFonts w:ascii="Arial"/>
          <w:b/>
          <w:color w:val="0B0B0B"/>
          <w:spacing w:val="40"/>
          <w:sz w:val="18"/>
        </w:rPr>
        <w:t> </w:t>
      </w:r>
      <w:r>
        <w:rPr>
          <w:rFonts w:ascii="Arial"/>
          <w:b/>
          <w:color w:val="0B0B0B"/>
          <w:sz w:val="18"/>
        </w:rPr>
        <w:t>civiles</w:t>
      </w:r>
      <w:r>
        <w:rPr>
          <w:rFonts w:ascii="Arial"/>
          <w:b/>
          <w:color w:val="0B0B0B"/>
          <w:spacing w:val="40"/>
          <w:sz w:val="18"/>
        </w:rPr>
        <w:t> </w:t>
      </w:r>
      <w:r>
        <w:rPr>
          <w:rFonts w:ascii="Arial"/>
          <w:b/>
          <w:color w:val="0B0B0B"/>
          <w:sz w:val="18"/>
        </w:rPr>
        <w:t>y</w:t>
      </w:r>
      <w:r>
        <w:rPr>
          <w:rFonts w:ascii="Arial"/>
          <w:b/>
          <w:color w:val="0B0B0B"/>
          <w:spacing w:val="40"/>
          <w:sz w:val="18"/>
        </w:rPr>
        <w:t> </w:t>
      </w:r>
      <w:r>
        <w:rPr>
          <w:rFonts w:ascii="Arial"/>
          <w:b/>
          <w:color w:val="0B0B0B"/>
          <w:sz w:val="18"/>
        </w:rPr>
        <w:t>fideicomisos</w:t>
      </w:r>
      <w:r>
        <w:rPr>
          <w:rFonts w:ascii="Arial"/>
          <w:b/>
          <w:color w:val="0B0B0B"/>
          <w:spacing w:val="40"/>
          <w:sz w:val="18"/>
        </w:rPr>
        <w:t> </w:t>
      </w:r>
      <w:r>
        <w:rPr>
          <w:rFonts w:ascii="Arial"/>
          <w:b/>
          <w:color w:val="0B0B0B"/>
          <w:sz w:val="18"/>
        </w:rPr>
        <w:t>autorizados para recibir donativos deducibles.</w:t>
      </w:r>
    </w:p>
    <w:p>
      <w:pPr>
        <w:pStyle w:val="BodyText"/>
        <w:spacing w:line="249" w:lineRule="auto" w:before="96"/>
        <w:ind w:right="257"/>
      </w:pPr>
      <w:r>
        <w:rPr>
          <w:color w:val="0B0B0B"/>
        </w:rPr>
        <w:t>El artículo 82, fracción IV de la Ley del ISR establece que las personas morales con fines no lucrativos autorizadas para recibir donativos deducibles, deberán destinar sus ingresos y activos exclusivamente a los fines propios de su objeto social, sin que puedan otorgar beneficios sobre el remanente distribuible a persona física alguna o a sus integrantes, salvo que se trate de personas morales o fideicomisos autorizados para recibir donativos deducibles.</w:t>
      </w:r>
    </w:p>
    <w:p>
      <w:pPr>
        <w:pStyle w:val="BodyText"/>
        <w:spacing w:line="249" w:lineRule="auto" w:before="98"/>
        <w:ind w:right="258"/>
      </w:pPr>
      <w:r>
        <w:rPr>
          <w:color w:val="0B0B0B"/>
        </w:rPr>
        <w:t>En este sentido, por objeto social o fin autorizado se entiende exclusivamente la actividad que la autoridad fiscal constató que se ubica en los supuestos contemplados en las disposiciones fiscales como autorizables y que mediante la resolución correspondiente se informó a la persona moral o fideicomiso.</w:t>
      </w:r>
    </w:p>
    <w:p>
      <w:pPr>
        <w:pStyle w:val="BodyText"/>
        <w:spacing w:line="249" w:lineRule="auto" w:before="97"/>
        <w:ind w:right="258"/>
      </w:pPr>
      <w:r>
        <w:rPr>
          <w:color w:val="0B0B0B"/>
        </w:rPr>
        <w:t>Por lo anterior, se considera que realiza una práctica fiscal indebida, la organización civil o fideicomiso que cuente con autorización para recibir donativos deducibles que directamente, a través de la figura del fideicomiso o por conducto de terceros, destine la totalidad o parte de su patrimonio o activos a:</w:t>
      </w:r>
    </w:p>
    <w:p>
      <w:pPr>
        <w:pStyle w:val="ListParagraph"/>
        <w:numPr>
          <w:ilvl w:val="2"/>
          <w:numId w:val="1"/>
        </w:numPr>
        <w:tabs>
          <w:tab w:pos="2663" w:val="left" w:leader="none"/>
        </w:tabs>
        <w:spacing w:line="240" w:lineRule="auto" w:before="98" w:after="0"/>
        <w:ind w:left="2663" w:right="0" w:hanging="503"/>
        <w:jc w:val="both"/>
        <w:rPr>
          <w:sz w:val="18"/>
        </w:rPr>
      </w:pPr>
      <w:r>
        <w:rPr>
          <w:color w:val="0B0B0B"/>
          <w:sz w:val="18"/>
        </w:rPr>
        <w:t>La</w:t>
      </w:r>
      <w:r>
        <w:rPr>
          <w:color w:val="0B0B0B"/>
          <w:spacing w:val="-7"/>
          <w:sz w:val="18"/>
        </w:rPr>
        <w:t> </w:t>
      </w:r>
      <w:r>
        <w:rPr>
          <w:color w:val="0B0B0B"/>
          <w:sz w:val="18"/>
        </w:rPr>
        <w:t>constitución</w:t>
      </w:r>
      <w:r>
        <w:rPr>
          <w:color w:val="0B0B0B"/>
          <w:spacing w:val="-7"/>
          <w:sz w:val="18"/>
        </w:rPr>
        <w:t> </w:t>
      </w:r>
      <w:r>
        <w:rPr>
          <w:color w:val="0B0B0B"/>
          <w:sz w:val="18"/>
        </w:rPr>
        <w:t>de</w:t>
      </w:r>
      <w:r>
        <w:rPr>
          <w:color w:val="0B0B0B"/>
          <w:spacing w:val="-7"/>
          <w:sz w:val="18"/>
        </w:rPr>
        <w:t> </w:t>
      </w:r>
      <w:r>
        <w:rPr>
          <w:color w:val="0B0B0B"/>
          <w:sz w:val="18"/>
        </w:rPr>
        <w:t>otras</w:t>
      </w:r>
      <w:r>
        <w:rPr>
          <w:color w:val="0B0B0B"/>
          <w:spacing w:val="-7"/>
          <w:sz w:val="18"/>
        </w:rPr>
        <w:t> </w:t>
      </w:r>
      <w:r>
        <w:rPr>
          <w:color w:val="0B0B0B"/>
          <w:sz w:val="18"/>
        </w:rPr>
        <w:t>personas</w:t>
      </w:r>
      <w:r>
        <w:rPr>
          <w:color w:val="0B0B0B"/>
          <w:spacing w:val="-6"/>
          <w:sz w:val="18"/>
        </w:rPr>
        <w:t> </w:t>
      </w:r>
      <w:r>
        <w:rPr>
          <w:color w:val="0B0B0B"/>
          <w:spacing w:val="-2"/>
          <w:sz w:val="18"/>
        </w:rPr>
        <w:t>morales.</w:t>
      </w:r>
    </w:p>
    <w:p>
      <w:pPr>
        <w:pStyle w:val="ListParagraph"/>
        <w:numPr>
          <w:ilvl w:val="2"/>
          <w:numId w:val="1"/>
        </w:numPr>
        <w:tabs>
          <w:tab w:pos="2664" w:val="left" w:leader="none"/>
        </w:tabs>
        <w:spacing w:line="249" w:lineRule="auto" w:before="102" w:after="0"/>
        <w:ind w:left="2664" w:right="257" w:hanging="504"/>
        <w:jc w:val="both"/>
        <w:rPr>
          <w:sz w:val="18"/>
        </w:rPr>
      </w:pPr>
      <w:r>
        <w:rPr>
          <w:color w:val="0B0B0B"/>
          <w:sz w:val="18"/>
        </w:rPr>
        <w:t>La adquisición de acciones, fuera de los mercados reconocidos a que se refiere el artículo 16-C, fracciones I y II del CFF, o de títulos referenciados a índices de precios a que se refiere la fracción III del mismo artículo, cuando estos no </w:t>
      </w:r>
      <w:r>
        <w:rPr>
          <w:color w:val="0B0B0B"/>
          <w:sz w:val="18"/>
        </w:rPr>
        <w:t>estén integrados por</w:t>
      </w:r>
      <w:r>
        <w:rPr>
          <w:color w:val="0B0B0B"/>
          <w:sz w:val="18"/>
        </w:rPr>
        <w:t> acciones que se operen normalmente en los mercados reconocidos y no estén definidos y publicados por bolsa de valores concesionada en los términos de la LMV.</w:t>
      </w:r>
    </w:p>
    <w:p>
      <w:pPr>
        <w:pStyle w:val="ListParagraph"/>
        <w:numPr>
          <w:ilvl w:val="2"/>
          <w:numId w:val="1"/>
        </w:numPr>
        <w:tabs>
          <w:tab w:pos="2662" w:val="left" w:leader="none"/>
          <w:tab w:pos="2664" w:val="left" w:leader="none"/>
        </w:tabs>
        <w:spacing w:line="249" w:lineRule="auto" w:before="98" w:after="0"/>
        <w:ind w:left="2664" w:right="258" w:hanging="504"/>
        <w:jc w:val="both"/>
        <w:rPr>
          <w:sz w:val="18"/>
        </w:rPr>
      </w:pPr>
      <w:r>
        <w:rPr>
          <w:color w:val="0B0B0B"/>
          <w:sz w:val="18"/>
        </w:rPr>
        <w:t>La adquisición de certificados de aportación patrimonial emitidos por</w:t>
      </w:r>
      <w:r>
        <w:rPr>
          <w:color w:val="0B0B0B"/>
          <w:sz w:val="18"/>
        </w:rPr>
        <w:t> las sociedades nacionales de crédito, partes sociales, participaciones en asociaciones civiles y los certificados de participación ordinarios emitidos con base en fideicomisos sobre acciones que sean autorizados conforme a la legislación aplicable en materia de inversión extranjera.</w:t>
      </w:r>
    </w:p>
    <w:p>
      <w:pPr>
        <w:pStyle w:val="ListParagraph"/>
        <w:numPr>
          <w:ilvl w:val="2"/>
          <w:numId w:val="1"/>
        </w:numPr>
        <w:tabs>
          <w:tab w:pos="2664" w:val="left" w:leader="none"/>
        </w:tabs>
        <w:spacing w:line="249" w:lineRule="auto" w:before="99" w:after="0"/>
        <w:ind w:left="2664" w:right="259" w:hanging="504"/>
        <w:jc w:val="both"/>
        <w:rPr>
          <w:sz w:val="18"/>
        </w:rPr>
      </w:pPr>
      <w:r>
        <w:rPr>
          <w:color w:val="0B0B0B"/>
          <w:sz w:val="18"/>
        </w:rPr>
        <w:t>La adquisición de acciones emitidas por</w:t>
      </w:r>
      <w:r>
        <w:rPr>
          <w:color w:val="0B0B0B"/>
          <w:sz w:val="18"/>
        </w:rPr>
        <w:t> personas consideradas partes relacionadas</w:t>
      </w:r>
      <w:r>
        <w:rPr>
          <w:color w:val="0B0B0B"/>
          <w:spacing w:val="-3"/>
          <w:sz w:val="18"/>
        </w:rPr>
        <w:t> </w:t>
      </w:r>
      <w:r>
        <w:rPr>
          <w:color w:val="0B0B0B"/>
          <w:sz w:val="18"/>
        </w:rPr>
        <w:t>en</w:t>
      </w:r>
      <w:r>
        <w:rPr>
          <w:color w:val="0B0B0B"/>
          <w:spacing w:val="-3"/>
          <w:sz w:val="18"/>
        </w:rPr>
        <w:t> </w:t>
      </w:r>
      <w:r>
        <w:rPr>
          <w:color w:val="0B0B0B"/>
          <w:sz w:val="18"/>
        </w:rPr>
        <w:t>términos</w:t>
      </w:r>
      <w:r>
        <w:rPr>
          <w:color w:val="0B0B0B"/>
          <w:spacing w:val="-3"/>
          <w:sz w:val="18"/>
        </w:rPr>
        <w:t> </w:t>
      </w:r>
      <w:r>
        <w:rPr>
          <w:color w:val="0B0B0B"/>
          <w:sz w:val="18"/>
        </w:rPr>
        <w:t>del</w:t>
      </w:r>
      <w:r>
        <w:rPr>
          <w:color w:val="0B0B0B"/>
          <w:spacing w:val="-3"/>
          <w:sz w:val="18"/>
        </w:rPr>
        <w:t> </w:t>
      </w:r>
      <w:r>
        <w:rPr>
          <w:color w:val="0B0B0B"/>
          <w:sz w:val="18"/>
        </w:rPr>
        <w:t>artículo</w:t>
      </w:r>
      <w:r>
        <w:rPr>
          <w:color w:val="0B0B0B"/>
          <w:spacing w:val="-3"/>
          <w:sz w:val="18"/>
        </w:rPr>
        <w:t> </w:t>
      </w:r>
      <w:r>
        <w:rPr>
          <w:color w:val="0B0B0B"/>
          <w:sz w:val="18"/>
        </w:rPr>
        <w:t>179,</w:t>
      </w:r>
      <w:r>
        <w:rPr>
          <w:color w:val="0B0B0B"/>
          <w:spacing w:val="-1"/>
          <w:sz w:val="18"/>
        </w:rPr>
        <w:t> </w:t>
      </w:r>
      <w:r>
        <w:rPr>
          <w:color w:val="0B0B0B"/>
          <w:sz w:val="18"/>
        </w:rPr>
        <w:t>quinto</w:t>
      </w:r>
      <w:r>
        <w:rPr>
          <w:color w:val="0B0B0B"/>
          <w:spacing w:val="-3"/>
          <w:sz w:val="18"/>
        </w:rPr>
        <w:t> </w:t>
      </w:r>
      <w:r>
        <w:rPr>
          <w:color w:val="0B0B0B"/>
          <w:sz w:val="18"/>
        </w:rPr>
        <w:t>párrafo</w:t>
      </w:r>
      <w:r>
        <w:rPr>
          <w:color w:val="0B0B0B"/>
          <w:spacing w:val="-3"/>
          <w:sz w:val="18"/>
        </w:rPr>
        <w:t> </w:t>
      </w:r>
      <w:r>
        <w:rPr>
          <w:color w:val="0B0B0B"/>
          <w:sz w:val="18"/>
        </w:rPr>
        <w:t>de</w:t>
      </w:r>
      <w:r>
        <w:rPr>
          <w:color w:val="0B0B0B"/>
          <w:spacing w:val="-3"/>
          <w:sz w:val="18"/>
        </w:rPr>
        <w:t> </w:t>
      </w:r>
      <w:r>
        <w:rPr>
          <w:color w:val="0B0B0B"/>
          <w:sz w:val="18"/>
        </w:rPr>
        <w:t>la</w:t>
      </w:r>
      <w:r>
        <w:rPr>
          <w:color w:val="0B0B0B"/>
          <w:spacing w:val="-3"/>
          <w:sz w:val="18"/>
        </w:rPr>
        <w:t> </w:t>
      </w:r>
      <w:r>
        <w:rPr>
          <w:color w:val="0B0B0B"/>
          <w:sz w:val="18"/>
        </w:rPr>
        <w:t>Ley</w:t>
      </w:r>
      <w:r>
        <w:rPr>
          <w:color w:val="0B0B0B"/>
          <w:spacing w:val="-3"/>
          <w:sz w:val="18"/>
        </w:rPr>
        <w:t> </w:t>
      </w:r>
      <w:r>
        <w:rPr>
          <w:color w:val="0B0B0B"/>
          <w:sz w:val="18"/>
        </w:rPr>
        <w:t>del</w:t>
      </w:r>
      <w:r>
        <w:rPr>
          <w:color w:val="0B0B0B"/>
          <w:spacing w:val="-3"/>
          <w:sz w:val="18"/>
        </w:rPr>
        <w:t> </w:t>
      </w:r>
      <w:r>
        <w:rPr>
          <w:color w:val="0B0B0B"/>
          <w:sz w:val="18"/>
        </w:rPr>
        <w:t>ISR,</w:t>
      </w:r>
      <w:r>
        <w:rPr>
          <w:color w:val="0B0B0B"/>
          <w:spacing w:val="-3"/>
          <w:sz w:val="18"/>
        </w:rPr>
        <w:t> </w:t>
      </w:r>
      <w:r>
        <w:rPr>
          <w:color w:val="0B0B0B"/>
          <w:sz w:val="18"/>
        </w:rPr>
        <w:t>tanto residentes en México, como en el extranjero.</w:t>
      </w:r>
    </w:p>
    <w:p>
      <w:pPr>
        <w:pStyle w:val="BodyText"/>
        <w:spacing w:line="249" w:lineRule="auto" w:before="96"/>
        <w:ind w:right="258"/>
      </w:pPr>
      <w:r>
        <w:rPr>
          <w:color w:val="0B0B0B"/>
        </w:rPr>
        <w:t>No se considera una práctica fiscal indebida, el participar como socio, asociado o fideicomitente en organizaciones civiles o fideicomisos que cuenten con autorización para recibir donativos deducibles.</w:t>
      </w:r>
    </w:p>
    <w:p>
      <w:pPr>
        <w:pStyle w:val="BodyText"/>
        <w:spacing w:before="11"/>
        <w:ind w:left="0"/>
        <w:jc w:val="left"/>
        <w:rPr>
          <w:sz w:val="7"/>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93"/>
        <w:gridCol w:w="4193"/>
      </w:tblGrid>
      <w:tr>
        <w:trPr>
          <w:trHeight w:val="310" w:hRule="atLeast"/>
        </w:trPr>
        <w:tc>
          <w:tcPr>
            <w:tcW w:w="2693" w:type="dxa"/>
            <w:shd w:val="clear" w:color="auto" w:fill="BDBDBD"/>
          </w:tcPr>
          <w:p>
            <w:pPr>
              <w:pStyle w:val="TableParagraph"/>
              <w:ind w:left="13"/>
              <w:jc w:val="center"/>
              <w:rPr>
                <w:rFonts w:ascii="Arial"/>
                <w:b/>
                <w:sz w:val="16"/>
              </w:rPr>
            </w:pPr>
            <w:r>
              <w:rPr>
                <w:rFonts w:ascii="Arial"/>
                <w:b/>
                <w:color w:val="0B0B0B"/>
                <w:spacing w:val="-2"/>
                <w:sz w:val="16"/>
              </w:rPr>
              <w:t>Origen</w:t>
            </w:r>
          </w:p>
        </w:tc>
        <w:tc>
          <w:tcPr>
            <w:tcW w:w="4193" w:type="dxa"/>
            <w:shd w:val="clear" w:color="auto" w:fill="BDBDBD"/>
          </w:tcPr>
          <w:p>
            <w:pPr>
              <w:pStyle w:val="TableParagraph"/>
              <w:ind w:left="11"/>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2" w:hRule="atLeast"/>
        </w:trPr>
        <w:tc>
          <w:tcPr>
            <w:tcW w:w="2693"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2013</w:t>
            </w:r>
          </w:p>
        </w:tc>
        <w:tc>
          <w:tcPr>
            <w:tcW w:w="4193" w:type="dxa"/>
          </w:tcPr>
          <w:p>
            <w:pPr>
              <w:pStyle w:val="TableParagraph"/>
              <w:spacing w:line="280" w:lineRule="auto"/>
              <w:ind w:right="58"/>
              <w:jc w:val="both"/>
              <w:rPr>
                <w:sz w:val="16"/>
              </w:rPr>
            </w:pPr>
            <w:r>
              <w:rPr>
                <w:color w:val="0B0B0B"/>
                <w:sz w:val="16"/>
              </w:rPr>
              <w:t>Publicada en el</w:t>
            </w:r>
            <w:r>
              <w:rPr>
                <w:color w:val="0B0B0B"/>
                <w:spacing w:val="-1"/>
                <w:sz w:val="16"/>
              </w:rPr>
              <w:t> </w:t>
            </w:r>
            <w:r>
              <w:rPr>
                <w:color w:val="0B0B0B"/>
                <w:sz w:val="16"/>
              </w:rPr>
              <w:t>DOF el 28 de diciembre de 2012, </w:t>
            </w:r>
            <w:r>
              <w:rPr>
                <w:color w:val="0B0B0B"/>
                <w:sz w:val="16"/>
              </w:rPr>
              <w:t>Anexo 3, publicado en el DOF el 31 de diciembre de 2012, con número de criterio no vinculativo 15/ISR.</w:t>
            </w:r>
          </w:p>
        </w:tc>
      </w:tr>
      <w:tr>
        <w:trPr>
          <w:trHeight w:val="310" w:hRule="atLeast"/>
        </w:trPr>
        <w:tc>
          <w:tcPr>
            <w:tcW w:w="2693" w:type="dxa"/>
            <w:shd w:val="clear" w:color="auto" w:fill="BDBDBD"/>
          </w:tcPr>
          <w:p>
            <w:pPr>
              <w:pStyle w:val="TableParagraph"/>
              <w:spacing w:before="0"/>
              <w:ind w:left="0"/>
              <w:rPr>
                <w:rFonts w:ascii="Times New Roman"/>
                <w:sz w:val="16"/>
              </w:rPr>
            </w:pPr>
          </w:p>
        </w:tc>
        <w:tc>
          <w:tcPr>
            <w:tcW w:w="4193" w:type="dxa"/>
            <w:shd w:val="clear" w:color="auto" w:fill="BDBDBD"/>
          </w:tcPr>
          <w:p>
            <w:pPr>
              <w:pStyle w:val="TableParagraph"/>
              <w:ind w:left="11"/>
              <w:jc w:val="center"/>
              <w:rPr>
                <w:rFonts w:ascii="Arial" w:hAnsi="Arial"/>
                <w:b/>
                <w:sz w:val="16"/>
              </w:rPr>
            </w:pPr>
            <w:r>
              <w:rPr>
                <w:rFonts w:ascii="Arial" w:hAnsi="Arial"/>
                <w:b/>
                <w:color w:val="0B0B0B"/>
                <w:spacing w:val="-2"/>
                <w:sz w:val="16"/>
              </w:rPr>
              <w:t>Derogación</w:t>
            </w:r>
          </w:p>
        </w:tc>
      </w:tr>
      <w:tr>
        <w:trPr>
          <w:trHeight w:val="526" w:hRule="atLeast"/>
        </w:trPr>
        <w:tc>
          <w:tcPr>
            <w:tcW w:w="2693" w:type="dxa"/>
          </w:tcPr>
          <w:p>
            <w:pPr>
              <w:pStyle w:val="TableParagraph"/>
              <w:tabs>
                <w:tab w:pos="1180" w:val="left" w:leader="none"/>
                <w:tab w:pos="2440" w:val="left" w:leader="none"/>
              </w:tabs>
              <w:spacing w:line="280" w:lineRule="auto" w:before="22"/>
              <w:ind w:right="57"/>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2016</w:t>
            </w:r>
          </w:p>
        </w:tc>
        <w:tc>
          <w:tcPr>
            <w:tcW w:w="4193" w:type="dxa"/>
          </w:tcPr>
          <w:p>
            <w:pPr>
              <w:pStyle w:val="TableParagraph"/>
              <w:spacing w:line="280" w:lineRule="auto" w:before="22"/>
              <w:rPr>
                <w:sz w:val="16"/>
              </w:rPr>
            </w:pPr>
            <w:r>
              <w:rPr>
                <w:color w:val="0B0B0B"/>
                <w:sz w:val="16"/>
              </w:rPr>
              <w:t>Publicada</w:t>
            </w:r>
            <w:r>
              <w:rPr>
                <w:color w:val="0B0B0B"/>
                <w:spacing w:val="25"/>
                <w:sz w:val="16"/>
              </w:rPr>
              <w:t> </w:t>
            </w:r>
            <w:r>
              <w:rPr>
                <w:color w:val="0B0B0B"/>
                <w:sz w:val="16"/>
              </w:rPr>
              <w:t>en</w:t>
            </w:r>
            <w:r>
              <w:rPr>
                <w:color w:val="0B0B0B"/>
                <w:spacing w:val="25"/>
                <w:sz w:val="16"/>
              </w:rPr>
              <w:t> </w:t>
            </w:r>
            <w:r>
              <w:rPr>
                <w:color w:val="0B0B0B"/>
                <w:sz w:val="16"/>
              </w:rPr>
              <w:t>el</w:t>
            </w:r>
            <w:r>
              <w:rPr>
                <w:color w:val="0B0B0B"/>
                <w:spacing w:val="24"/>
                <w:sz w:val="16"/>
              </w:rPr>
              <w:t> </w:t>
            </w:r>
            <w:r>
              <w:rPr>
                <w:color w:val="0B0B0B"/>
                <w:sz w:val="16"/>
              </w:rPr>
              <w:t>DOF</w:t>
            </w:r>
            <w:r>
              <w:rPr>
                <w:color w:val="0B0B0B"/>
                <w:spacing w:val="25"/>
                <w:sz w:val="16"/>
              </w:rPr>
              <w:t> </w:t>
            </w:r>
            <w:r>
              <w:rPr>
                <w:color w:val="0B0B0B"/>
                <w:sz w:val="16"/>
              </w:rPr>
              <w:t>el</w:t>
            </w:r>
            <w:r>
              <w:rPr>
                <w:color w:val="0B0B0B"/>
                <w:spacing w:val="25"/>
                <w:sz w:val="16"/>
              </w:rPr>
              <w:t> </w:t>
            </w:r>
            <w:r>
              <w:rPr>
                <w:color w:val="0B0B0B"/>
                <w:sz w:val="16"/>
              </w:rPr>
              <w:t>6</w:t>
            </w:r>
            <w:r>
              <w:rPr>
                <w:color w:val="0B0B0B"/>
                <w:spacing w:val="25"/>
                <w:sz w:val="16"/>
              </w:rPr>
              <w:t> </w:t>
            </w:r>
            <w:r>
              <w:rPr>
                <w:color w:val="0B0B0B"/>
                <w:sz w:val="16"/>
              </w:rPr>
              <w:t>de</w:t>
            </w:r>
            <w:r>
              <w:rPr>
                <w:color w:val="0B0B0B"/>
                <w:spacing w:val="25"/>
                <w:sz w:val="16"/>
              </w:rPr>
              <w:t> </w:t>
            </w:r>
            <w:r>
              <w:rPr>
                <w:color w:val="0B0B0B"/>
                <w:sz w:val="16"/>
              </w:rPr>
              <w:t>mayo</w:t>
            </w:r>
            <w:r>
              <w:rPr>
                <w:color w:val="0B0B0B"/>
                <w:spacing w:val="25"/>
                <w:sz w:val="16"/>
              </w:rPr>
              <w:t> </w:t>
            </w:r>
            <w:r>
              <w:rPr>
                <w:color w:val="0B0B0B"/>
                <w:sz w:val="16"/>
              </w:rPr>
              <w:t>de</w:t>
            </w:r>
            <w:r>
              <w:rPr>
                <w:color w:val="0B0B0B"/>
                <w:spacing w:val="25"/>
                <w:sz w:val="16"/>
              </w:rPr>
              <w:t> </w:t>
            </w:r>
            <w:r>
              <w:rPr>
                <w:color w:val="0B0B0B"/>
                <w:sz w:val="16"/>
              </w:rPr>
              <w:t>2016,</w:t>
            </w:r>
            <w:r>
              <w:rPr>
                <w:color w:val="0B0B0B"/>
                <w:spacing w:val="25"/>
                <w:sz w:val="16"/>
              </w:rPr>
              <w:t> </w:t>
            </w:r>
            <w:r>
              <w:rPr>
                <w:color w:val="0B0B0B"/>
                <w:sz w:val="16"/>
              </w:rPr>
              <w:t>Anexo</w:t>
            </w:r>
            <w:r>
              <w:rPr>
                <w:color w:val="0B0B0B"/>
                <w:spacing w:val="25"/>
                <w:sz w:val="16"/>
              </w:rPr>
              <w:t> </w:t>
            </w:r>
            <w:r>
              <w:rPr>
                <w:color w:val="0B0B0B"/>
                <w:sz w:val="16"/>
              </w:rPr>
              <w:t>3 publicado en el DOF el 9 de mayo de 2016.</w:t>
            </w:r>
          </w:p>
        </w:tc>
      </w:tr>
      <w:tr>
        <w:trPr>
          <w:trHeight w:val="310" w:hRule="atLeast"/>
        </w:trPr>
        <w:tc>
          <w:tcPr>
            <w:tcW w:w="6886" w:type="dxa"/>
            <w:gridSpan w:val="2"/>
            <w:shd w:val="clear" w:color="auto" w:fill="BDBDBD"/>
          </w:tcPr>
          <w:p>
            <w:pPr>
              <w:pStyle w:val="TableParagraph"/>
              <w:spacing w:before="22"/>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25" w:hRule="atLeast"/>
        </w:trPr>
        <w:tc>
          <w:tcPr>
            <w:tcW w:w="6886" w:type="dxa"/>
            <w:gridSpan w:val="2"/>
          </w:tcPr>
          <w:p>
            <w:pPr>
              <w:pStyle w:val="TableParagraph"/>
              <w:spacing w:line="280" w:lineRule="auto" w:before="22"/>
              <w:ind w:right="93"/>
              <w:rPr>
                <w:sz w:val="16"/>
              </w:rPr>
            </w:pPr>
            <w:r>
              <w:rPr>
                <w:color w:val="0B0B0B"/>
                <w:sz w:val="16"/>
              </w:rPr>
              <w:t>Se deroga en virtud de que el contenido ha sido replicado en el artículo 138 del Reglamento</w:t>
            </w:r>
            <w:r>
              <w:rPr>
                <w:color w:val="0B0B0B"/>
                <w:spacing w:val="40"/>
                <w:sz w:val="16"/>
              </w:rPr>
              <w:t> </w:t>
            </w:r>
            <w:r>
              <w:rPr>
                <w:color w:val="0B0B0B"/>
                <w:sz w:val="16"/>
              </w:rPr>
              <w:t>de la Ley del ISR, publicado en el DOF el 8 de octubre del 2015.</w:t>
            </w:r>
          </w:p>
        </w:tc>
      </w:tr>
    </w:tbl>
    <w:p>
      <w:pPr>
        <w:pStyle w:val="BodyText"/>
        <w:spacing w:before="108"/>
        <w:ind w:left="0"/>
        <w:jc w:val="left"/>
      </w:pPr>
    </w:p>
    <w:p>
      <w:pPr>
        <w:pStyle w:val="Heading1"/>
        <w:ind w:left="176" w:right="447" w:firstLine="0"/>
        <w:jc w:val="center"/>
      </w:pPr>
      <w:r>
        <w:rPr>
          <w:color w:val="0B0B0B"/>
        </w:rPr>
        <w:t>14/ISR/NV</w:t>
      </w:r>
      <w:r>
        <w:rPr>
          <w:color w:val="0B0B0B"/>
          <w:spacing w:val="63"/>
          <w:w w:val="150"/>
        </w:rPr>
        <w:t> </w:t>
      </w:r>
      <w:r>
        <w:rPr>
          <w:color w:val="0B0B0B"/>
        </w:rPr>
        <w:t>Sociedades</w:t>
      </w:r>
      <w:r>
        <w:rPr>
          <w:color w:val="0B0B0B"/>
          <w:spacing w:val="-6"/>
        </w:rPr>
        <w:t> </w:t>
      </w:r>
      <w:r>
        <w:rPr>
          <w:color w:val="0B0B0B"/>
        </w:rPr>
        <w:t>civiles</w:t>
      </w:r>
      <w:r>
        <w:rPr>
          <w:color w:val="0B0B0B"/>
          <w:spacing w:val="-6"/>
        </w:rPr>
        <w:t> </w:t>
      </w:r>
      <w:r>
        <w:rPr>
          <w:color w:val="0B0B0B"/>
        </w:rPr>
        <w:t>universales.</w:t>
      </w:r>
      <w:r>
        <w:rPr>
          <w:color w:val="0B0B0B"/>
          <w:spacing w:val="-6"/>
        </w:rPr>
        <w:t> </w:t>
      </w:r>
      <w:r>
        <w:rPr>
          <w:color w:val="0B0B0B"/>
        </w:rPr>
        <w:t>Ingresos</w:t>
      </w:r>
      <w:r>
        <w:rPr>
          <w:color w:val="0B0B0B"/>
          <w:spacing w:val="-6"/>
        </w:rPr>
        <w:t> </w:t>
      </w:r>
      <w:r>
        <w:rPr>
          <w:color w:val="0B0B0B"/>
        </w:rPr>
        <w:t>en</w:t>
      </w:r>
      <w:r>
        <w:rPr>
          <w:color w:val="0B0B0B"/>
          <w:spacing w:val="-6"/>
        </w:rPr>
        <w:t> </w:t>
      </w:r>
      <w:r>
        <w:rPr>
          <w:color w:val="0B0B0B"/>
        </w:rPr>
        <w:t>concepto</w:t>
      </w:r>
      <w:r>
        <w:rPr>
          <w:color w:val="0B0B0B"/>
          <w:spacing w:val="-6"/>
        </w:rPr>
        <w:t> </w:t>
      </w:r>
      <w:r>
        <w:rPr>
          <w:color w:val="0B0B0B"/>
        </w:rPr>
        <w:t>de</w:t>
      </w:r>
      <w:r>
        <w:rPr>
          <w:color w:val="0B0B0B"/>
          <w:spacing w:val="-6"/>
        </w:rPr>
        <w:t> </w:t>
      </w:r>
      <w:r>
        <w:rPr>
          <w:color w:val="0B0B0B"/>
          <w:spacing w:val="-2"/>
        </w:rPr>
        <w:t>alimentos.</w:t>
      </w:r>
    </w:p>
    <w:p>
      <w:pPr>
        <w:pStyle w:val="BodyText"/>
        <w:spacing w:line="249" w:lineRule="auto" w:before="104"/>
        <w:ind w:right="257"/>
      </w:pPr>
      <w:r>
        <w:rPr>
          <w:color w:val="0B0B0B"/>
        </w:rPr>
        <w:t>El artículo 93, fracción XXVI de la Ley del ISR establece que no se pagará el ISR por los ingresos percibidos en concepto de alimentos por las personas físicas que tengan el carácter de “acreedores alimentarios” en términos de la legislación civil aplicable.</w:t>
      </w:r>
    </w:p>
    <w:p>
      <w:pPr>
        <w:pStyle w:val="BodyText"/>
        <w:spacing w:line="249" w:lineRule="auto" w:before="96"/>
        <w:ind w:right="256"/>
      </w:pPr>
      <w:r>
        <w:rPr>
          <w:color w:val="0B0B0B"/>
        </w:rPr>
        <w:t>Invariablemente, para tener dicho carácter, la legislación civil requiere de otra persona física que tenga la calidad de “deudor alimentario” y de una relación jurídica entre este y el “acreedor alimentario”.</w:t>
      </w:r>
    </w:p>
    <w:p>
      <w:pPr>
        <w:pStyle w:val="BodyText"/>
        <w:spacing w:after="0" w:line="249" w:lineRule="auto"/>
        <w:sectPr>
          <w:headerReference w:type="default" r:id="rId71"/>
          <w:pgSz w:w="12240" w:h="15840"/>
          <w:pgMar w:header="690" w:footer="0" w:top="1040" w:bottom="280" w:left="1440" w:right="1440"/>
        </w:sectPr>
      </w:pPr>
    </w:p>
    <w:p>
      <w:pPr>
        <w:pStyle w:val="BodyText"/>
        <w:spacing w:line="252" w:lineRule="auto" w:before="112"/>
        <w:ind w:right="257"/>
      </w:pPr>
      <w:r>
        <w:rPr>
          <w:color w:val="0B0B0B"/>
        </w:rPr>
        <w:t>En este sentido, una sociedad civil universal –tanto de todos los bienes presentes como de todas las ganancias– nunca puede tener el carácter de “deudor alimentario”</w:t>
      </w:r>
      <w:r>
        <w:rPr>
          <w:color w:val="0B0B0B"/>
          <w:spacing w:val="40"/>
        </w:rPr>
        <w:t> </w:t>
      </w:r>
      <w:r>
        <w:rPr>
          <w:color w:val="0B0B0B"/>
        </w:rPr>
        <w:t>ni una persona física el de “acreedor alimentario” de dicha sociedad.</w:t>
      </w:r>
    </w:p>
    <w:p>
      <w:pPr>
        <w:pStyle w:val="BodyText"/>
        <w:spacing w:line="252" w:lineRule="auto" w:before="100"/>
        <w:ind w:right="259"/>
      </w:pPr>
      <w:r>
        <w:rPr>
          <w:color w:val="0B0B0B"/>
        </w:rPr>
        <w:t>Además,</w:t>
      </w:r>
      <w:r>
        <w:rPr>
          <w:color w:val="0B0B0B"/>
          <w:spacing w:val="-2"/>
        </w:rPr>
        <w:t> </w:t>
      </w:r>
      <w:r>
        <w:rPr>
          <w:color w:val="0B0B0B"/>
        </w:rPr>
        <w:t>la</w:t>
      </w:r>
      <w:r>
        <w:rPr>
          <w:color w:val="0B0B0B"/>
          <w:spacing w:val="-2"/>
        </w:rPr>
        <w:t> </w:t>
      </w:r>
      <w:r>
        <w:rPr>
          <w:color w:val="0B0B0B"/>
        </w:rPr>
        <w:t>obligación</w:t>
      </w:r>
      <w:r>
        <w:rPr>
          <w:color w:val="0B0B0B"/>
          <w:spacing w:val="-1"/>
        </w:rPr>
        <w:t> </w:t>
      </w:r>
      <w:r>
        <w:rPr>
          <w:color w:val="0B0B0B"/>
        </w:rPr>
        <w:t>de</w:t>
      </w:r>
      <w:r>
        <w:rPr>
          <w:color w:val="0B0B0B"/>
          <w:spacing w:val="-2"/>
        </w:rPr>
        <w:t> </w:t>
      </w:r>
      <w:r>
        <w:rPr>
          <w:color w:val="0B0B0B"/>
        </w:rPr>
        <w:t>una</w:t>
      </w:r>
      <w:r>
        <w:rPr>
          <w:color w:val="0B0B0B"/>
          <w:spacing w:val="-1"/>
        </w:rPr>
        <w:t> </w:t>
      </w:r>
      <w:r>
        <w:rPr>
          <w:color w:val="0B0B0B"/>
        </w:rPr>
        <w:t>sociedad</w:t>
      </w:r>
      <w:r>
        <w:rPr>
          <w:color w:val="0B0B0B"/>
          <w:spacing w:val="-2"/>
        </w:rPr>
        <w:t> </w:t>
      </w:r>
      <w:r>
        <w:rPr>
          <w:color w:val="0B0B0B"/>
        </w:rPr>
        <w:t>civil universal</w:t>
      </w:r>
      <w:r>
        <w:rPr>
          <w:color w:val="0B0B0B"/>
          <w:spacing w:val="-1"/>
        </w:rPr>
        <w:t> </w:t>
      </w:r>
      <w:r>
        <w:rPr>
          <w:color w:val="0B0B0B"/>
        </w:rPr>
        <w:t>de</w:t>
      </w:r>
      <w:r>
        <w:rPr>
          <w:color w:val="0B0B0B"/>
          <w:spacing w:val="-2"/>
        </w:rPr>
        <w:t> </w:t>
      </w:r>
      <w:r>
        <w:rPr>
          <w:color w:val="0B0B0B"/>
        </w:rPr>
        <w:t>realizar</w:t>
      </w:r>
      <w:r>
        <w:rPr>
          <w:color w:val="0B0B0B"/>
          <w:spacing w:val="-1"/>
        </w:rPr>
        <w:t> </w:t>
      </w:r>
      <w:r>
        <w:rPr>
          <w:color w:val="0B0B0B"/>
        </w:rPr>
        <w:t>los</w:t>
      </w:r>
      <w:r>
        <w:rPr>
          <w:color w:val="0B0B0B"/>
          <w:spacing w:val="-2"/>
        </w:rPr>
        <w:t> </w:t>
      </w:r>
      <w:r>
        <w:rPr>
          <w:color w:val="0B0B0B"/>
        </w:rPr>
        <w:t>gastos</w:t>
      </w:r>
      <w:r>
        <w:rPr>
          <w:color w:val="0B0B0B"/>
          <w:spacing w:val="-2"/>
        </w:rPr>
        <w:t> </w:t>
      </w:r>
      <w:r>
        <w:rPr>
          <w:color w:val="0B0B0B"/>
        </w:rPr>
        <w:t>necesarios para los alimentos de los socios, no otorga a estos el carácter de “acreedores alimentarios” de dicha sociedad, ya que la obligación referida no tiene las características de la obligación alimentaria, es decir, no es recíproca, irrenunciable, intransmisible e intransigible.</w:t>
      </w:r>
    </w:p>
    <w:p>
      <w:pPr>
        <w:pStyle w:val="BodyText"/>
        <w:spacing w:before="100"/>
      </w:pPr>
      <w:r>
        <w:rPr>
          <w:color w:val="0B0B0B"/>
        </w:rPr>
        <w:t>Por</w:t>
      </w:r>
      <w:r>
        <w:rPr>
          <w:color w:val="0B0B0B"/>
          <w:spacing w:val="-8"/>
        </w:rPr>
        <w:t> </w:t>
      </w:r>
      <w:r>
        <w:rPr>
          <w:color w:val="0B0B0B"/>
        </w:rPr>
        <w:t>lo</w:t>
      </w:r>
      <w:r>
        <w:rPr>
          <w:color w:val="0B0B0B"/>
          <w:spacing w:val="-7"/>
        </w:rPr>
        <w:t> </w:t>
      </w:r>
      <w:r>
        <w:rPr>
          <w:color w:val="0B0B0B"/>
        </w:rPr>
        <w:t>anterior,</w:t>
      </w:r>
      <w:r>
        <w:rPr>
          <w:color w:val="0B0B0B"/>
          <w:spacing w:val="-6"/>
        </w:rPr>
        <w:t> </w:t>
      </w:r>
      <w:r>
        <w:rPr>
          <w:color w:val="0B0B0B"/>
        </w:rPr>
        <w:t>se</w:t>
      </w:r>
      <w:r>
        <w:rPr>
          <w:color w:val="0B0B0B"/>
          <w:spacing w:val="-7"/>
        </w:rPr>
        <w:t> </w:t>
      </w:r>
      <w:r>
        <w:rPr>
          <w:color w:val="0B0B0B"/>
        </w:rPr>
        <w:t>considera</w:t>
      </w:r>
      <w:r>
        <w:rPr>
          <w:color w:val="0B0B0B"/>
          <w:spacing w:val="-7"/>
        </w:rPr>
        <w:t> </w:t>
      </w:r>
      <w:r>
        <w:rPr>
          <w:color w:val="0B0B0B"/>
        </w:rPr>
        <w:t>que</w:t>
      </w:r>
      <w:r>
        <w:rPr>
          <w:color w:val="0B0B0B"/>
          <w:spacing w:val="-8"/>
        </w:rPr>
        <w:t> </w:t>
      </w:r>
      <w:r>
        <w:rPr>
          <w:color w:val="0B0B0B"/>
        </w:rPr>
        <w:t>realiza</w:t>
      </w:r>
      <w:r>
        <w:rPr>
          <w:color w:val="0B0B0B"/>
          <w:spacing w:val="-7"/>
        </w:rPr>
        <w:t> </w:t>
      </w:r>
      <w:r>
        <w:rPr>
          <w:color w:val="0B0B0B"/>
        </w:rPr>
        <w:t>una</w:t>
      </w:r>
      <w:r>
        <w:rPr>
          <w:color w:val="0B0B0B"/>
          <w:spacing w:val="-6"/>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75"/>
        </w:numPr>
        <w:tabs>
          <w:tab w:pos="2664" w:val="left" w:leader="none"/>
        </w:tabs>
        <w:spacing w:line="252" w:lineRule="auto" w:before="110" w:after="0"/>
        <w:ind w:left="2664" w:right="255" w:hanging="504"/>
        <w:jc w:val="both"/>
        <w:rPr>
          <w:sz w:val="18"/>
        </w:rPr>
      </w:pPr>
      <w:r>
        <w:rPr>
          <w:color w:val="0B0B0B"/>
          <w:sz w:val="18"/>
        </w:rPr>
        <w:t>Quien para omitir total o parcialmente el pago de alguna contribución, o para obtener un beneficio en perjuicio del fisco federal, constituya o contrate de manera directa o a través de interpósita persona a una sociedad civil universal,</w:t>
      </w:r>
      <w:r>
        <w:rPr>
          <w:color w:val="0B0B0B"/>
          <w:spacing w:val="40"/>
          <w:sz w:val="18"/>
        </w:rPr>
        <w:t> </w:t>
      </w:r>
      <w:r>
        <w:rPr>
          <w:color w:val="0B0B0B"/>
          <w:sz w:val="18"/>
        </w:rPr>
        <w:t>a</w:t>
      </w:r>
      <w:r>
        <w:rPr>
          <w:color w:val="0B0B0B"/>
          <w:spacing w:val="-3"/>
          <w:sz w:val="18"/>
        </w:rPr>
        <w:t> </w:t>
      </w:r>
      <w:r>
        <w:rPr>
          <w:color w:val="0B0B0B"/>
          <w:sz w:val="18"/>
        </w:rPr>
        <w:t>fin</w:t>
      </w:r>
      <w:r>
        <w:rPr>
          <w:color w:val="0B0B0B"/>
          <w:spacing w:val="-3"/>
          <w:sz w:val="18"/>
        </w:rPr>
        <w:t> </w:t>
      </w:r>
      <w:r>
        <w:rPr>
          <w:color w:val="0B0B0B"/>
          <w:sz w:val="18"/>
        </w:rPr>
        <w:t>de</w:t>
      </w:r>
      <w:r>
        <w:rPr>
          <w:color w:val="0B0B0B"/>
          <w:spacing w:val="-2"/>
          <w:sz w:val="18"/>
        </w:rPr>
        <w:t> </w:t>
      </w:r>
      <w:r>
        <w:rPr>
          <w:color w:val="0B0B0B"/>
          <w:sz w:val="18"/>
        </w:rPr>
        <w:t>que</w:t>
      </w:r>
      <w:r>
        <w:rPr>
          <w:color w:val="0B0B0B"/>
          <w:spacing w:val="-3"/>
          <w:sz w:val="18"/>
        </w:rPr>
        <w:t> </w:t>
      </w:r>
      <w:r>
        <w:rPr>
          <w:color w:val="0B0B0B"/>
          <w:sz w:val="18"/>
        </w:rPr>
        <w:t>esta</w:t>
      </w:r>
      <w:r>
        <w:rPr>
          <w:color w:val="0B0B0B"/>
          <w:spacing w:val="-3"/>
          <w:sz w:val="18"/>
        </w:rPr>
        <w:t> </w:t>
      </w:r>
      <w:r>
        <w:rPr>
          <w:color w:val="0B0B0B"/>
          <w:sz w:val="18"/>
        </w:rPr>
        <w:t>le</w:t>
      </w:r>
      <w:r>
        <w:rPr>
          <w:color w:val="0B0B0B"/>
          <w:spacing w:val="-3"/>
          <w:sz w:val="18"/>
        </w:rPr>
        <w:t> </w:t>
      </w:r>
      <w:r>
        <w:rPr>
          <w:color w:val="0B0B0B"/>
          <w:sz w:val="18"/>
        </w:rPr>
        <w:t>preste</w:t>
      </w:r>
      <w:r>
        <w:rPr>
          <w:color w:val="0B0B0B"/>
          <w:spacing w:val="-3"/>
          <w:sz w:val="18"/>
        </w:rPr>
        <w:t> </w:t>
      </w:r>
      <w:r>
        <w:rPr>
          <w:color w:val="0B0B0B"/>
          <w:sz w:val="18"/>
        </w:rPr>
        <w:t>servicios</w:t>
      </w:r>
      <w:r>
        <w:rPr>
          <w:color w:val="0B0B0B"/>
          <w:spacing w:val="-3"/>
          <w:sz w:val="18"/>
        </w:rPr>
        <w:t> </w:t>
      </w:r>
      <w:r>
        <w:rPr>
          <w:color w:val="0B0B0B"/>
          <w:sz w:val="18"/>
        </w:rPr>
        <w:t>idénticos,</w:t>
      </w:r>
      <w:r>
        <w:rPr>
          <w:color w:val="0B0B0B"/>
          <w:spacing w:val="-3"/>
          <w:sz w:val="18"/>
        </w:rPr>
        <w:t> </w:t>
      </w:r>
      <w:r>
        <w:rPr>
          <w:color w:val="0B0B0B"/>
          <w:sz w:val="18"/>
        </w:rPr>
        <w:t>similares</w:t>
      </w:r>
      <w:r>
        <w:rPr>
          <w:color w:val="0B0B0B"/>
          <w:spacing w:val="-2"/>
          <w:sz w:val="18"/>
        </w:rPr>
        <w:t> </w:t>
      </w:r>
      <w:r>
        <w:rPr>
          <w:color w:val="0B0B0B"/>
          <w:sz w:val="18"/>
        </w:rPr>
        <w:t>o</w:t>
      </w:r>
      <w:r>
        <w:rPr>
          <w:color w:val="0B0B0B"/>
          <w:spacing w:val="-3"/>
          <w:sz w:val="18"/>
        </w:rPr>
        <w:t> </w:t>
      </w:r>
      <w:r>
        <w:rPr>
          <w:color w:val="0B0B0B"/>
          <w:sz w:val="18"/>
        </w:rPr>
        <w:t>análogos</w:t>
      </w:r>
      <w:r>
        <w:rPr>
          <w:color w:val="0B0B0B"/>
          <w:spacing w:val="-3"/>
          <w:sz w:val="18"/>
        </w:rPr>
        <w:t> </w:t>
      </w:r>
      <w:r>
        <w:rPr>
          <w:color w:val="0B0B0B"/>
          <w:sz w:val="18"/>
        </w:rPr>
        <w:t>a</w:t>
      </w:r>
      <w:r>
        <w:rPr>
          <w:color w:val="0B0B0B"/>
          <w:spacing w:val="-3"/>
          <w:sz w:val="18"/>
        </w:rPr>
        <w:t> </w:t>
      </w:r>
      <w:r>
        <w:rPr>
          <w:color w:val="0B0B0B"/>
          <w:sz w:val="18"/>
        </w:rPr>
        <w:t>los</w:t>
      </w:r>
      <w:r>
        <w:rPr>
          <w:color w:val="0B0B0B"/>
          <w:spacing w:val="-3"/>
          <w:sz w:val="18"/>
        </w:rPr>
        <w:t> </w:t>
      </w:r>
      <w:r>
        <w:rPr>
          <w:color w:val="0B0B0B"/>
          <w:sz w:val="18"/>
        </w:rPr>
        <w:t>que</w:t>
      </w:r>
      <w:r>
        <w:rPr>
          <w:color w:val="0B0B0B"/>
          <w:spacing w:val="-4"/>
          <w:sz w:val="18"/>
        </w:rPr>
        <w:t> </w:t>
      </w:r>
      <w:r>
        <w:rPr>
          <w:color w:val="0B0B0B"/>
          <w:sz w:val="18"/>
        </w:rPr>
        <w:t>sus trabajadores o prestadores de servicios le prestaron o prestan.</w:t>
      </w:r>
    </w:p>
    <w:p>
      <w:pPr>
        <w:pStyle w:val="ListParagraph"/>
        <w:numPr>
          <w:ilvl w:val="0"/>
          <w:numId w:val="75"/>
        </w:numPr>
        <w:tabs>
          <w:tab w:pos="2664" w:val="left" w:leader="none"/>
        </w:tabs>
        <w:spacing w:line="254" w:lineRule="auto" w:before="99" w:after="0"/>
        <w:ind w:left="2664" w:right="260" w:hanging="504"/>
        <w:jc w:val="both"/>
        <w:rPr>
          <w:sz w:val="18"/>
        </w:rPr>
      </w:pPr>
      <w:r>
        <w:rPr>
          <w:color w:val="0B0B0B"/>
          <w:sz w:val="18"/>
        </w:rPr>
        <w:t>El socio de una sociedad civil universal que considere las cantidades recibidas de dicha sociedad, como ingresos por los que no está obligado al pago del ISR.</w:t>
      </w:r>
    </w:p>
    <w:p>
      <w:pPr>
        <w:pStyle w:val="ListParagraph"/>
        <w:numPr>
          <w:ilvl w:val="0"/>
          <w:numId w:val="75"/>
        </w:numPr>
        <w:tabs>
          <w:tab w:pos="2662" w:val="left" w:leader="none"/>
          <w:tab w:pos="2664" w:val="left" w:leader="none"/>
        </w:tabs>
        <w:spacing w:line="254" w:lineRule="auto" w:before="96" w:after="0"/>
        <w:ind w:left="2664" w:right="259" w:hanging="504"/>
        <w:jc w:val="both"/>
        <w:rPr>
          <w:sz w:val="18"/>
        </w:rPr>
      </w:pPr>
      <w:r>
        <w:rPr>
          <w:color w:val="0B0B0B"/>
          <w:sz w:val="18"/>
        </w:rPr>
        <w:t>Quien Asesore, aconseje, preste</w:t>
      </w:r>
      <w:r>
        <w:rPr>
          <w:color w:val="0B0B0B"/>
          <w:sz w:val="18"/>
        </w:rPr>
        <w:t> servicios o participe en la realización o la implementación de cualquiera de las prácticas anteriores.</w:t>
      </w:r>
    </w:p>
    <w:p>
      <w:pPr>
        <w:pStyle w:val="BodyText"/>
        <w:spacing w:line="254" w:lineRule="auto" w:before="97"/>
        <w:ind w:right="259"/>
      </w:pPr>
      <w:r>
        <w:rPr>
          <w:color w:val="0B0B0B"/>
        </w:rPr>
        <w:t>Este criterio también es aplicable a las sociedades en nombre colectivo o en</w:t>
      </w:r>
      <w:r>
        <w:rPr>
          <w:color w:val="0B0B0B"/>
          <w:spacing w:val="40"/>
        </w:rPr>
        <w:t> </w:t>
      </w:r>
      <w:r>
        <w:rPr>
          <w:color w:val="0B0B0B"/>
        </w:rPr>
        <w:t>comandita simple.</w:t>
      </w:r>
    </w:p>
    <w:p>
      <w:pPr>
        <w:pStyle w:val="BodyText"/>
        <w:spacing w:before="0"/>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50"/>
        <w:gridCol w:w="4254"/>
      </w:tblGrid>
      <w:tr>
        <w:trPr>
          <w:trHeight w:val="317" w:hRule="atLeast"/>
        </w:trPr>
        <w:tc>
          <w:tcPr>
            <w:tcW w:w="2650" w:type="dxa"/>
            <w:shd w:val="clear" w:color="auto" w:fill="BDBDBD"/>
          </w:tcPr>
          <w:p>
            <w:pPr>
              <w:pStyle w:val="TableParagraph"/>
              <w:ind w:left="12"/>
              <w:jc w:val="center"/>
              <w:rPr>
                <w:rFonts w:ascii="Arial"/>
                <w:b/>
                <w:sz w:val="16"/>
              </w:rPr>
            </w:pPr>
            <w:r>
              <w:rPr>
                <w:rFonts w:ascii="Arial"/>
                <w:b/>
                <w:color w:val="0B0B0B"/>
                <w:spacing w:val="-2"/>
                <w:sz w:val="16"/>
              </w:rPr>
              <w:t>Origen</w:t>
            </w:r>
          </w:p>
        </w:tc>
        <w:tc>
          <w:tcPr>
            <w:tcW w:w="4254" w:type="dxa"/>
            <w:shd w:val="clear" w:color="auto" w:fill="BDBDBD"/>
          </w:tcPr>
          <w:p>
            <w:pPr>
              <w:pStyle w:val="TableParagraph"/>
              <w:ind w:left="9"/>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52" w:hRule="atLeast"/>
        </w:trPr>
        <w:tc>
          <w:tcPr>
            <w:tcW w:w="2650" w:type="dxa"/>
          </w:tcPr>
          <w:p>
            <w:pPr>
              <w:pStyle w:val="TableParagraph"/>
              <w:spacing w:line="283" w:lineRule="auto"/>
              <w:ind w:right="57"/>
              <w:jc w:val="both"/>
              <w:rPr>
                <w:sz w:val="16"/>
              </w:rPr>
            </w:pPr>
            <w:r>
              <w:rPr>
                <w:color w:val="0B0B0B"/>
                <w:sz w:val="16"/>
              </w:rPr>
              <w:t>Segunda Resolución </w:t>
            </w:r>
            <w:r>
              <w:rPr>
                <w:color w:val="0B0B0B"/>
                <w:sz w:val="16"/>
              </w:rPr>
              <w:t>de Modificaciones a la RMF para</w:t>
            </w:r>
            <w:r>
              <w:rPr>
                <w:color w:val="0B0B0B"/>
                <w:spacing w:val="80"/>
                <w:sz w:val="16"/>
              </w:rPr>
              <w:t> </w:t>
            </w:r>
            <w:r>
              <w:rPr>
                <w:color w:val="0B0B0B"/>
                <w:spacing w:val="-4"/>
                <w:sz w:val="16"/>
              </w:rPr>
              <w:t>2010</w:t>
            </w:r>
          </w:p>
        </w:tc>
        <w:tc>
          <w:tcPr>
            <w:tcW w:w="4254" w:type="dxa"/>
          </w:tcPr>
          <w:p>
            <w:pPr>
              <w:pStyle w:val="TableParagraph"/>
              <w:spacing w:line="283" w:lineRule="auto"/>
              <w:ind w:left="70" w:right="59"/>
              <w:jc w:val="both"/>
              <w:rPr>
                <w:sz w:val="16"/>
              </w:rPr>
            </w:pPr>
            <w:r>
              <w:rPr>
                <w:color w:val="0B0B0B"/>
                <w:sz w:val="16"/>
              </w:rPr>
              <w:t>Publicada</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2"/>
                <w:sz w:val="16"/>
              </w:rPr>
              <w:t> </w:t>
            </w:r>
            <w:r>
              <w:rPr>
                <w:color w:val="0B0B0B"/>
                <w:sz w:val="16"/>
              </w:rPr>
              <w:t>3</w:t>
            </w:r>
            <w:r>
              <w:rPr>
                <w:color w:val="0B0B0B"/>
                <w:spacing w:val="-2"/>
                <w:sz w:val="16"/>
              </w:rPr>
              <w:t> </w:t>
            </w:r>
            <w:r>
              <w:rPr>
                <w:color w:val="0B0B0B"/>
                <w:sz w:val="16"/>
              </w:rPr>
              <w:t>de</w:t>
            </w:r>
            <w:r>
              <w:rPr>
                <w:color w:val="0B0B0B"/>
                <w:spacing w:val="-2"/>
                <w:sz w:val="16"/>
              </w:rPr>
              <w:t> </w:t>
            </w:r>
            <w:r>
              <w:rPr>
                <w:color w:val="0B0B0B"/>
                <w:sz w:val="16"/>
              </w:rPr>
              <w:t>diciembre</w:t>
            </w:r>
            <w:r>
              <w:rPr>
                <w:color w:val="0B0B0B"/>
                <w:spacing w:val="-2"/>
                <w:sz w:val="16"/>
              </w:rPr>
              <w:t> </w:t>
            </w:r>
            <w:r>
              <w:rPr>
                <w:color w:val="0B0B0B"/>
                <w:sz w:val="16"/>
              </w:rPr>
              <w:t>de</w:t>
            </w:r>
            <w:r>
              <w:rPr>
                <w:color w:val="0B0B0B"/>
                <w:spacing w:val="-1"/>
                <w:sz w:val="16"/>
              </w:rPr>
              <w:t> </w:t>
            </w:r>
            <w:r>
              <w:rPr>
                <w:color w:val="0B0B0B"/>
                <w:sz w:val="16"/>
              </w:rPr>
              <w:t>2010,</w:t>
            </w:r>
            <w:r>
              <w:rPr>
                <w:color w:val="0B0B0B"/>
                <w:spacing w:val="-1"/>
                <w:sz w:val="16"/>
              </w:rPr>
              <w:t> </w:t>
            </w:r>
            <w:r>
              <w:rPr>
                <w:color w:val="0B0B0B"/>
                <w:sz w:val="16"/>
              </w:rPr>
              <w:t>Anexo</w:t>
            </w:r>
            <w:r>
              <w:rPr>
                <w:color w:val="0B0B0B"/>
                <w:spacing w:val="-2"/>
                <w:sz w:val="16"/>
              </w:rPr>
              <w:t> </w:t>
            </w:r>
            <w:r>
              <w:rPr>
                <w:color w:val="0B0B0B"/>
                <w:sz w:val="16"/>
              </w:rPr>
              <w:t>3, publicado en el DOF el 7 de diciembre de 2010, con número de criterio no vinculativo 19/ISR.</w:t>
            </w:r>
          </w:p>
        </w:tc>
      </w:tr>
      <w:tr>
        <w:trPr>
          <w:trHeight w:val="317" w:hRule="atLeast"/>
        </w:trPr>
        <w:tc>
          <w:tcPr>
            <w:tcW w:w="2650" w:type="dxa"/>
            <w:shd w:val="clear" w:color="auto" w:fill="BDBDBD"/>
          </w:tcPr>
          <w:p>
            <w:pPr>
              <w:pStyle w:val="TableParagraph"/>
              <w:spacing w:before="0"/>
              <w:ind w:left="0"/>
              <w:rPr>
                <w:rFonts w:ascii="Times New Roman"/>
                <w:sz w:val="16"/>
              </w:rPr>
            </w:pPr>
          </w:p>
        </w:tc>
        <w:tc>
          <w:tcPr>
            <w:tcW w:w="4254" w:type="dxa"/>
            <w:shd w:val="clear" w:color="auto" w:fill="BDBDBD"/>
          </w:tcPr>
          <w:p>
            <w:pPr>
              <w:pStyle w:val="TableParagraph"/>
              <w:ind w:left="9"/>
              <w:jc w:val="center"/>
              <w:rPr>
                <w:rFonts w:ascii="Arial" w:hAnsi="Arial"/>
                <w:b/>
                <w:sz w:val="16"/>
              </w:rPr>
            </w:pPr>
            <w:r>
              <w:rPr>
                <w:rFonts w:ascii="Arial" w:hAnsi="Arial"/>
                <w:b/>
                <w:color w:val="0B0B0B"/>
                <w:spacing w:val="-2"/>
                <w:sz w:val="16"/>
              </w:rPr>
              <w:t>Derogación</w:t>
            </w:r>
          </w:p>
        </w:tc>
      </w:tr>
      <w:tr>
        <w:trPr>
          <w:trHeight w:val="751" w:hRule="atLeast"/>
        </w:trPr>
        <w:tc>
          <w:tcPr>
            <w:tcW w:w="2650" w:type="dxa"/>
          </w:tcPr>
          <w:p>
            <w:pPr>
              <w:pStyle w:val="TableParagraph"/>
              <w:tabs>
                <w:tab w:pos="1118" w:val="left" w:leader="none"/>
                <w:tab w:pos="2397" w:val="left" w:leader="none"/>
              </w:tabs>
              <w:spacing w:line="283" w:lineRule="auto"/>
              <w:ind w:right="57"/>
              <w:jc w:val="both"/>
              <w:rPr>
                <w:sz w:val="16"/>
              </w:rPr>
            </w:pPr>
            <w:r>
              <w:rPr>
                <w:color w:val="0B0B0B"/>
                <w:spacing w:val="-2"/>
                <w:sz w:val="16"/>
              </w:rPr>
              <w:t>Primera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w:t>
            </w:r>
            <w:r>
              <w:rPr>
                <w:color w:val="0B0B0B"/>
                <w:spacing w:val="80"/>
                <w:sz w:val="16"/>
              </w:rPr>
              <w:t> </w:t>
            </w:r>
            <w:r>
              <w:rPr>
                <w:color w:val="0B0B0B"/>
                <w:spacing w:val="-4"/>
                <w:sz w:val="16"/>
              </w:rPr>
              <w:t>2019</w:t>
            </w:r>
          </w:p>
        </w:tc>
        <w:tc>
          <w:tcPr>
            <w:tcW w:w="4254" w:type="dxa"/>
          </w:tcPr>
          <w:p>
            <w:pPr>
              <w:pStyle w:val="TableParagraph"/>
              <w:spacing w:line="283" w:lineRule="auto"/>
              <w:ind w:left="70"/>
              <w:rPr>
                <w:sz w:val="16"/>
              </w:rPr>
            </w:pPr>
            <w:r>
              <w:rPr>
                <w:color w:val="0B0B0B"/>
                <w:sz w:val="16"/>
              </w:rPr>
              <w:t>Publicada en el DOF el 20 de agosto de 2019, Anexo </w:t>
            </w:r>
            <w:r>
              <w:rPr>
                <w:color w:val="0B0B0B"/>
                <w:sz w:val="16"/>
              </w:rPr>
              <w:t>3 publicado en el DOF el 21 de agosto de 2019.</w:t>
            </w:r>
          </w:p>
        </w:tc>
      </w:tr>
      <w:tr>
        <w:trPr>
          <w:trHeight w:val="318" w:hRule="atLeast"/>
        </w:trPr>
        <w:tc>
          <w:tcPr>
            <w:tcW w:w="6904" w:type="dxa"/>
            <w:gridSpan w:val="2"/>
            <w:shd w:val="clear" w:color="auto" w:fill="BDBDBD"/>
          </w:tcPr>
          <w:p>
            <w:pPr>
              <w:pStyle w:val="TableParagraph"/>
              <w:spacing w:before="25"/>
              <w:ind w:left="12"/>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34" w:hRule="atLeast"/>
        </w:trPr>
        <w:tc>
          <w:tcPr>
            <w:tcW w:w="6904" w:type="dxa"/>
            <w:gridSpan w:val="2"/>
          </w:tcPr>
          <w:p>
            <w:pPr>
              <w:pStyle w:val="TableParagraph"/>
              <w:spacing w:line="285" w:lineRule="auto" w:before="22"/>
              <w:ind w:right="24"/>
              <w:rPr>
                <w:sz w:val="16"/>
              </w:rPr>
            </w:pPr>
            <w:r>
              <w:rPr>
                <w:color w:val="0B0B0B"/>
                <w:sz w:val="16"/>
              </w:rPr>
              <w:t>Se deroga en virtud de que han cambiado las condiciones jurídicas y de hecho que motivaron su creación.</w:t>
            </w:r>
          </w:p>
        </w:tc>
      </w:tr>
    </w:tbl>
    <w:p>
      <w:pPr>
        <w:pStyle w:val="BodyText"/>
        <w:spacing w:before="120"/>
        <w:ind w:left="0"/>
        <w:jc w:val="left"/>
      </w:pPr>
    </w:p>
    <w:p>
      <w:pPr>
        <w:pStyle w:val="Heading1"/>
        <w:ind w:left="1137" w:firstLine="0"/>
      </w:pPr>
      <w:r>
        <w:rPr>
          <w:color w:val="0B0B0B"/>
        </w:rPr>
        <w:t>19/ISR/NV</w:t>
      </w:r>
      <w:r>
        <w:rPr>
          <w:color w:val="0B0B0B"/>
          <w:spacing w:val="67"/>
          <w:w w:val="150"/>
        </w:rPr>
        <w:t> </w:t>
      </w:r>
      <w:r>
        <w:rPr>
          <w:color w:val="0B0B0B"/>
        </w:rPr>
        <w:t>Deducción</w:t>
      </w:r>
      <w:r>
        <w:rPr>
          <w:color w:val="0B0B0B"/>
          <w:spacing w:val="-5"/>
        </w:rPr>
        <w:t> </w:t>
      </w:r>
      <w:r>
        <w:rPr>
          <w:color w:val="0B0B0B"/>
        </w:rPr>
        <w:t>de</w:t>
      </w:r>
      <w:r>
        <w:rPr>
          <w:color w:val="0B0B0B"/>
          <w:spacing w:val="-7"/>
        </w:rPr>
        <w:t> </w:t>
      </w:r>
      <w:r>
        <w:rPr>
          <w:color w:val="0B0B0B"/>
        </w:rPr>
        <w:t>inventarios</w:t>
      </w:r>
      <w:r>
        <w:rPr>
          <w:color w:val="0B0B0B"/>
          <w:spacing w:val="-4"/>
        </w:rPr>
        <w:t> </w:t>
      </w:r>
      <w:r>
        <w:rPr>
          <w:color w:val="0B0B0B"/>
          <w:spacing w:val="-2"/>
        </w:rPr>
        <w:t>congelados.</w:t>
      </w:r>
    </w:p>
    <w:p>
      <w:pPr>
        <w:pStyle w:val="BodyText"/>
        <w:spacing w:line="252" w:lineRule="auto" w:before="110"/>
        <w:ind w:right="255"/>
      </w:pPr>
      <w:r>
        <w:rPr>
          <w:color w:val="0B0B0B"/>
        </w:rPr>
        <w:t>Los contribuyentes que en la determinación del inventario acumulable, conforme a la fracción V del Artículo Tercero Transitorio para 2005, hubieren disminuido el valor de los</w:t>
      </w:r>
      <w:r>
        <w:rPr>
          <w:color w:val="0B0B0B"/>
          <w:spacing w:val="-1"/>
        </w:rPr>
        <w:t> </w:t>
      </w:r>
      <w:r>
        <w:rPr>
          <w:color w:val="0B0B0B"/>
        </w:rPr>
        <w:t>inventarios</w:t>
      </w:r>
      <w:r>
        <w:rPr>
          <w:color w:val="0B0B0B"/>
          <w:spacing w:val="-1"/>
        </w:rPr>
        <w:t> </w:t>
      </w:r>
      <w:r>
        <w:rPr>
          <w:color w:val="0B0B0B"/>
        </w:rPr>
        <w:t>pendientes</w:t>
      </w:r>
      <w:r>
        <w:rPr>
          <w:color w:val="0B0B0B"/>
          <w:spacing w:val="-2"/>
        </w:rPr>
        <w:t> </w:t>
      </w:r>
      <w:r>
        <w:rPr>
          <w:color w:val="0B0B0B"/>
        </w:rPr>
        <w:t>de deducir</w:t>
      </w:r>
      <w:r>
        <w:rPr>
          <w:color w:val="0B0B0B"/>
          <w:spacing w:val="-1"/>
        </w:rPr>
        <w:t> </w:t>
      </w:r>
      <w:r>
        <w:rPr>
          <w:color w:val="0B0B0B"/>
        </w:rPr>
        <w:t>de</w:t>
      </w:r>
      <w:r>
        <w:rPr>
          <w:color w:val="0B0B0B"/>
          <w:spacing w:val="-1"/>
        </w:rPr>
        <w:t> </w:t>
      </w:r>
      <w:r>
        <w:rPr>
          <w:color w:val="0B0B0B"/>
        </w:rPr>
        <w:t>los</w:t>
      </w:r>
      <w:r>
        <w:rPr>
          <w:color w:val="0B0B0B"/>
          <w:spacing w:val="-1"/>
        </w:rPr>
        <w:t> </w:t>
      </w:r>
      <w:r>
        <w:rPr>
          <w:color w:val="0B0B0B"/>
        </w:rPr>
        <w:t>ejercicios</w:t>
      </w:r>
      <w:r>
        <w:rPr>
          <w:color w:val="0B0B0B"/>
          <w:spacing w:val="-1"/>
        </w:rPr>
        <w:t> </w:t>
      </w:r>
      <w:r>
        <w:rPr>
          <w:color w:val="0B0B0B"/>
        </w:rPr>
        <w:t>1986 o</w:t>
      </w:r>
      <w:r>
        <w:rPr>
          <w:color w:val="0B0B0B"/>
          <w:spacing w:val="-1"/>
        </w:rPr>
        <w:t> </w:t>
      </w:r>
      <w:r>
        <w:rPr>
          <w:color w:val="0B0B0B"/>
        </w:rPr>
        <w:t>1988,</w:t>
      </w:r>
      <w:r>
        <w:rPr>
          <w:color w:val="0B0B0B"/>
          <w:spacing w:val="-1"/>
        </w:rPr>
        <w:t> </w:t>
      </w:r>
      <w:r>
        <w:rPr>
          <w:color w:val="0B0B0B"/>
        </w:rPr>
        <w:t>en</w:t>
      </w:r>
      <w:r>
        <w:rPr>
          <w:color w:val="0B0B0B"/>
          <w:spacing w:val="-1"/>
        </w:rPr>
        <w:t> </w:t>
      </w:r>
      <w:r>
        <w:rPr>
          <w:color w:val="0B0B0B"/>
        </w:rPr>
        <w:t>los términos</w:t>
      </w:r>
      <w:r>
        <w:rPr>
          <w:color w:val="0B0B0B"/>
          <w:spacing w:val="-1"/>
        </w:rPr>
        <w:t> </w:t>
      </w:r>
      <w:r>
        <w:rPr>
          <w:color w:val="0B0B0B"/>
        </w:rPr>
        <w:t>de las</w:t>
      </w:r>
      <w:r>
        <w:rPr>
          <w:color w:val="0B0B0B"/>
          <w:spacing w:val="-2"/>
        </w:rPr>
        <w:t> </w:t>
      </w:r>
      <w:r>
        <w:rPr>
          <w:color w:val="0B0B0B"/>
        </w:rPr>
        <w:t>fracciones</w:t>
      </w:r>
      <w:r>
        <w:rPr>
          <w:color w:val="0B0B0B"/>
          <w:spacing w:val="-2"/>
        </w:rPr>
        <w:t> </w:t>
      </w:r>
      <w:r>
        <w:rPr>
          <w:color w:val="0B0B0B"/>
        </w:rPr>
        <w:t>II y</w:t>
      </w:r>
      <w:r>
        <w:rPr>
          <w:color w:val="0B0B0B"/>
          <w:spacing w:val="-3"/>
        </w:rPr>
        <w:t> </w:t>
      </w:r>
      <w:r>
        <w:rPr>
          <w:color w:val="0B0B0B"/>
        </w:rPr>
        <w:t>III</w:t>
      </w:r>
      <w:r>
        <w:rPr>
          <w:color w:val="0B0B0B"/>
          <w:spacing w:val="-2"/>
        </w:rPr>
        <w:t> </w:t>
      </w:r>
      <w:r>
        <w:rPr>
          <w:color w:val="0B0B0B"/>
        </w:rPr>
        <w:t>del</w:t>
      </w:r>
      <w:r>
        <w:rPr>
          <w:color w:val="0B0B0B"/>
          <w:spacing w:val="-2"/>
        </w:rPr>
        <w:t> </w:t>
      </w:r>
      <w:r>
        <w:rPr>
          <w:color w:val="0B0B0B"/>
        </w:rPr>
        <w:t>Artículo</w:t>
      </w:r>
      <w:r>
        <w:rPr>
          <w:color w:val="0B0B0B"/>
          <w:spacing w:val="-2"/>
        </w:rPr>
        <w:t> </w:t>
      </w:r>
      <w:r>
        <w:rPr>
          <w:color w:val="0B0B0B"/>
        </w:rPr>
        <w:t>Sexto</w:t>
      </w:r>
      <w:r>
        <w:rPr>
          <w:color w:val="0B0B0B"/>
          <w:spacing w:val="-2"/>
        </w:rPr>
        <w:t> </w:t>
      </w:r>
      <w:r>
        <w:rPr>
          <w:color w:val="0B0B0B"/>
        </w:rPr>
        <w:t>Transitorio</w:t>
      </w:r>
      <w:r>
        <w:rPr>
          <w:color w:val="0B0B0B"/>
          <w:spacing w:val="-1"/>
        </w:rPr>
        <w:t> </w:t>
      </w:r>
      <w:r>
        <w:rPr>
          <w:color w:val="0B0B0B"/>
        </w:rPr>
        <w:t>del</w:t>
      </w:r>
      <w:r>
        <w:rPr>
          <w:color w:val="0B0B0B"/>
          <w:spacing w:val="-2"/>
        </w:rPr>
        <w:t> </w:t>
      </w:r>
      <w:r>
        <w:rPr>
          <w:color w:val="0B0B0B"/>
        </w:rPr>
        <w:t>Decreto</w:t>
      </w:r>
      <w:r>
        <w:rPr>
          <w:color w:val="0B0B0B"/>
          <w:spacing w:val="-2"/>
        </w:rPr>
        <w:t> </w:t>
      </w:r>
      <w:r>
        <w:rPr>
          <w:color w:val="0B0B0B"/>
        </w:rPr>
        <w:t>que</w:t>
      </w:r>
      <w:r>
        <w:rPr>
          <w:color w:val="0B0B0B"/>
          <w:spacing w:val="-2"/>
        </w:rPr>
        <w:t> </w:t>
      </w:r>
      <w:r>
        <w:rPr>
          <w:color w:val="0B0B0B"/>
        </w:rPr>
        <w:t>Reforma,</w:t>
      </w:r>
      <w:r>
        <w:rPr>
          <w:color w:val="0B0B0B"/>
          <w:spacing w:val="-2"/>
        </w:rPr>
        <w:t> </w:t>
      </w:r>
      <w:r>
        <w:rPr>
          <w:color w:val="0B0B0B"/>
        </w:rPr>
        <w:t>Adiciona</w:t>
      </w:r>
      <w:r>
        <w:rPr>
          <w:color w:val="0B0B0B"/>
          <w:spacing w:val="-1"/>
        </w:rPr>
        <w:t> </w:t>
      </w:r>
      <w:r>
        <w:rPr>
          <w:color w:val="0B0B0B"/>
        </w:rPr>
        <w:t>y Deroga Diversas Disposiciones de la Ley del ISR, publicado en el DOF el 31 de diciembre</w:t>
      </w:r>
      <w:r>
        <w:rPr>
          <w:color w:val="0B0B0B"/>
          <w:spacing w:val="-1"/>
        </w:rPr>
        <w:t> </w:t>
      </w:r>
      <w:r>
        <w:rPr>
          <w:color w:val="0B0B0B"/>
        </w:rPr>
        <w:t>de</w:t>
      </w:r>
      <w:r>
        <w:rPr>
          <w:color w:val="0B0B0B"/>
          <w:spacing w:val="-2"/>
        </w:rPr>
        <w:t> </w:t>
      </w:r>
      <w:r>
        <w:rPr>
          <w:color w:val="0B0B0B"/>
        </w:rPr>
        <w:t>1988</w:t>
      </w:r>
      <w:r>
        <w:rPr>
          <w:color w:val="0B0B0B"/>
          <w:spacing w:val="-1"/>
        </w:rPr>
        <w:t> </w:t>
      </w:r>
      <w:r>
        <w:rPr>
          <w:color w:val="0B0B0B"/>
        </w:rPr>
        <w:t>y</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regla</w:t>
      </w:r>
      <w:r>
        <w:rPr>
          <w:color w:val="0B0B0B"/>
          <w:spacing w:val="-2"/>
        </w:rPr>
        <w:t> </w:t>
      </w:r>
      <w:r>
        <w:rPr>
          <w:color w:val="0B0B0B"/>
        </w:rPr>
        <w:t>106</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Resolución</w:t>
      </w:r>
      <w:r>
        <w:rPr>
          <w:color w:val="0B0B0B"/>
          <w:spacing w:val="-1"/>
        </w:rPr>
        <w:t> </w:t>
      </w:r>
      <w:r>
        <w:rPr>
          <w:color w:val="0B0B0B"/>
        </w:rPr>
        <w:t>que</w:t>
      </w:r>
      <w:r>
        <w:rPr>
          <w:color w:val="0B0B0B"/>
          <w:spacing w:val="-1"/>
        </w:rPr>
        <w:t> </w:t>
      </w:r>
      <w:r>
        <w:rPr>
          <w:color w:val="0B0B0B"/>
        </w:rPr>
        <w:t>establece</w:t>
      </w:r>
      <w:r>
        <w:rPr>
          <w:color w:val="0B0B0B"/>
          <w:spacing w:val="-2"/>
        </w:rPr>
        <w:t> </w:t>
      </w:r>
      <w:r>
        <w:rPr>
          <w:color w:val="0B0B0B"/>
        </w:rPr>
        <w:t>reglas</w:t>
      </w:r>
      <w:r>
        <w:rPr>
          <w:color w:val="0B0B0B"/>
          <w:spacing w:val="-1"/>
        </w:rPr>
        <w:t> </w:t>
      </w:r>
      <w:r>
        <w:rPr>
          <w:color w:val="0B0B0B"/>
        </w:rPr>
        <w:t>generales</w:t>
      </w:r>
      <w:r>
        <w:rPr>
          <w:color w:val="0B0B0B"/>
          <w:spacing w:val="-1"/>
        </w:rPr>
        <w:t> </w:t>
      </w:r>
      <w:r>
        <w:rPr>
          <w:color w:val="0B0B0B"/>
        </w:rPr>
        <w:t>y otras disposiciones de carácter fiscal publicada en el DOF el 19 de mayo de 1993, no podrán considerarlos como una deducción autorizada para efectos de determinar la base del ISR a partir del ejercicio 2005 hasta por la cantidad que hubieran aplicado en el cálculo de dicho inventario acumulable.</w:t>
      </w:r>
    </w:p>
    <w:p>
      <w:pPr>
        <w:pStyle w:val="BodyText"/>
        <w:spacing w:line="252" w:lineRule="auto" w:before="97"/>
        <w:ind w:right="258"/>
      </w:pPr>
      <w:r>
        <w:rPr>
          <w:color w:val="0B0B0B"/>
        </w:rPr>
        <w:t>Por lo tanto, se considera que se realiza una práctica fiscal indebida, cuando para determinar la base del ISR a partir del ejercicio 2005 se deduzca el valor de los inventarios pendientes de deducir de los ejercicios 1986 o 1988, cuando ya se hayan disminuido para la determinación de inventario acumulable conforme a la fracción V</w:t>
      </w:r>
      <w:r>
        <w:rPr>
          <w:color w:val="0B0B0B"/>
          <w:spacing w:val="40"/>
        </w:rPr>
        <w:t> </w:t>
      </w:r>
      <w:r>
        <w:rPr>
          <w:color w:val="0B0B0B"/>
        </w:rPr>
        <w:t>del Artículo Tercero Transitorio para 2005.</w:t>
      </w:r>
    </w:p>
    <w:p>
      <w:pPr>
        <w:pStyle w:val="BodyText"/>
        <w:spacing w:before="3"/>
        <w:ind w:left="0"/>
        <w:jc w:val="left"/>
        <w:rPr>
          <w:sz w:val="8"/>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92"/>
        <w:gridCol w:w="3912"/>
      </w:tblGrid>
      <w:tr>
        <w:trPr>
          <w:trHeight w:val="318" w:hRule="atLeast"/>
        </w:trPr>
        <w:tc>
          <w:tcPr>
            <w:tcW w:w="2992" w:type="dxa"/>
            <w:shd w:val="clear" w:color="auto" w:fill="BDBDBD"/>
          </w:tcPr>
          <w:p>
            <w:pPr>
              <w:pStyle w:val="TableParagraph"/>
              <w:spacing w:before="25"/>
              <w:ind w:left="11"/>
              <w:jc w:val="center"/>
              <w:rPr>
                <w:rFonts w:ascii="Arial"/>
                <w:b/>
                <w:sz w:val="16"/>
              </w:rPr>
            </w:pPr>
            <w:r>
              <w:rPr>
                <w:rFonts w:ascii="Arial"/>
                <w:b/>
                <w:color w:val="0B0B0B"/>
                <w:spacing w:val="-2"/>
                <w:sz w:val="16"/>
              </w:rPr>
              <w:t>Origen</w:t>
            </w:r>
          </w:p>
        </w:tc>
        <w:tc>
          <w:tcPr>
            <w:tcW w:w="3912" w:type="dxa"/>
            <w:shd w:val="clear" w:color="auto" w:fill="BDBDBD"/>
          </w:tcPr>
          <w:p>
            <w:pPr>
              <w:pStyle w:val="TableParagraph"/>
              <w:spacing w:before="25"/>
              <w:ind w:left="12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51" w:hRule="atLeast"/>
        </w:trPr>
        <w:tc>
          <w:tcPr>
            <w:tcW w:w="2992" w:type="dxa"/>
          </w:tcPr>
          <w:p>
            <w:pPr>
              <w:pStyle w:val="TableParagraph"/>
              <w:tabs>
                <w:tab w:pos="898" w:val="left" w:leader="none"/>
                <w:tab w:pos="1665" w:val="left" w:leader="none"/>
                <w:tab w:pos="2740" w:val="left" w:leader="none"/>
              </w:tabs>
              <w:spacing w:line="285" w:lineRule="auto" w:before="22"/>
              <w:ind w:right="56"/>
              <w:rPr>
                <w:sz w:val="16"/>
              </w:rPr>
            </w:pPr>
            <w:r>
              <w:rPr>
                <w:color w:val="0B0B0B"/>
                <w:spacing w:val="-2"/>
                <w:sz w:val="16"/>
              </w:rPr>
              <w:t>Décima</w:t>
            </w:r>
            <w:r>
              <w:rPr>
                <w:color w:val="0B0B0B"/>
                <w:sz w:val="16"/>
              </w:rPr>
              <w:tab/>
            </w: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3912" w:type="dxa"/>
          </w:tcPr>
          <w:p>
            <w:pPr>
              <w:pStyle w:val="TableParagraph"/>
              <w:spacing w:line="283" w:lineRule="auto" w:before="22"/>
              <w:ind w:right="59"/>
              <w:jc w:val="both"/>
              <w:rPr>
                <w:sz w:val="16"/>
              </w:rPr>
            </w:pPr>
            <w:r>
              <w:rPr>
                <w:color w:val="0B0B0B"/>
                <w:sz w:val="16"/>
              </w:rPr>
              <w:t>Publicada</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28</w:t>
            </w:r>
            <w:r>
              <w:rPr>
                <w:color w:val="0B0B0B"/>
                <w:spacing w:val="-2"/>
                <w:sz w:val="16"/>
              </w:rPr>
              <w:t> </w:t>
            </w:r>
            <w:r>
              <w:rPr>
                <w:color w:val="0B0B0B"/>
                <w:sz w:val="16"/>
              </w:rPr>
              <w:t>de</w:t>
            </w:r>
            <w:r>
              <w:rPr>
                <w:color w:val="0B0B0B"/>
                <w:spacing w:val="-2"/>
                <w:sz w:val="16"/>
              </w:rPr>
              <w:t> </w:t>
            </w:r>
            <w:r>
              <w:rPr>
                <w:color w:val="0B0B0B"/>
                <w:sz w:val="16"/>
              </w:rPr>
              <w:t>marzo</w:t>
            </w:r>
            <w:r>
              <w:rPr>
                <w:color w:val="0B0B0B"/>
                <w:spacing w:val="-2"/>
                <w:sz w:val="16"/>
              </w:rPr>
              <w:t> </w:t>
            </w:r>
            <w:r>
              <w:rPr>
                <w:color w:val="0B0B0B"/>
                <w:sz w:val="16"/>
              </w:rPr>
              <w:t>de</w:t>
            </w:r>
            <w:r>
              <w:rPr>
                <w:color w:val="0B0B0B"/>
                <w:spacing w:val="-2"/>
                <w:sz w:val="16"/>
              </w:rPr>
              <w:t> </w:t>
            </w:r>
            <w:r>
              <w:rPr>
                <w:color w:val="0B0B0B"/>
                <w:sz w:val="16"/>
              </w:rPr>
              <w:t>2007,</w:t>
            </w:r>
            <w:r>
              <w:rPr>
                <w:color w:val="0B0B0B"/>
                <w:spacing w:val="-2"/>
                <w:sz w:val="16"/>
              </w:rPr>
              <w:t> </w:t>
            </w:r>
            <w:r>
              <w:rPr>
                <w:color w:val="0B0B0B"/>
                <w:sz w:val="16"/>
              </w:rPr>
              <w:t>Anexo 26, publicado en la misma fecha de la Modificación, con número de criterio no vinculativo 14/ISR.</w:t>
            </w:r>
          </w:p>
        </w:tc>
      </w:tr>
    </w:tbl>
    <w:p>
      <w:pPr>
        <w:pStyle w:val="TableParagraph"/>
        <w:spacing w:after="0" w:line="283" w:lineRule="auto"/>
        <w:jc w:val="both"/>
        <w:rPr>
          <w:sz w:val="16"/>
        </w:rPr>
        <w:sectPr>
          <w:headerReference w:type="default" r:id="rId72"/>
          <w:pgSz w:w="12240" w:h="15840"/>
          <w:pgMar w:header="690" w:footer="0" w:top="1040" w:bottom="280" w:left="1440" w:right="1440"/>
        </w:sectPr>
      </w:pPr>
    </w:p>
    <w:p>
      <w:pPr>
        <w:pStyle w:val="BodyText"/>
        <w:spacing w:before="4"/>
        <w:ind w:left="0"/>
        <w:jc w:val="left"/>
        <w:rPr>
          <w:sz w:val="9"/>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92"/>
        <w:gridCol w:w="3912"/>
      </w:tblGrid>
      <w:tr>
        <w:trPr>
          <w:trHeight w:val="331" w:hRule="atLeast"/>
        </w:trPr>
        <w:tc>
          <w:tcPr>
            <w:tcW w:w="2992" w:type="dxa"/>
            <w:shd w:val="clear" w:color="auto" w:fill="BDBDBD"/>
          </w:tcPr>
          <w:p>
            <w:pPr>
              <w:pStyle w:val="TableParagraph"/>
              <w:spacing w:before="0"/>
              <w:ind w:left="0"/>
              <w:rPr>
                <w:rFonts w:ascii="Times New Roman"/>
                <w:sz w:val="16"/>
              </w:rPr>
            </w:pPr>
          </w:p>
        </w:tc>
        <w:tc>
          <w:tcPr>
            <w:tcW w:w="3912" w:type="dxa"/>
            <w:shd w:val="clear" w:color="auto" w:fill="BDBDBD"/>
          </w:tcPr>
          <w:p>
            <w:pPr>
              <w:pStyle w:val="TableParagraph"/>
              <w:spacing w:before="35"/>
              <w:ind w:left="11"/>
              <w:jc w:val="center"/>
              <w:rPr>
                <w:rFonts w:ascii="Arial" w:hAnsi="Arial"/>
                <w:b/>
                <w:sz w:val="16"/>
              </w:rPr>
            </w:pPr>
            <w:r>
              <w:rPr>
                <w:rFonts w:ascii="Arial" w:hAnsi="Arial"/>
                <w:b/>
                <w:color w:val="0B0B0B"/>
                <w:spacing w:val="-2"/>
                <w:sz w:val="16"/>
              </w:rPr>
              <w:t>Derogación</w:t>
            </w:r>
          </w:p>
        </w:tc>
      </w:tr>
      <w:tr>
        <w:trPr>
          <w:trHeight w:val="793" w:hRule="atLeast"/>
        </w:trPr>
        <w:tc>
          <w:tcPr>
            <w:tcW w:w="2992" w:type="dxa"/>
          </w:tcPr>
          <w:p>
            <w:pPr>
              <w:pStyle w:val="TableParagraph"/>
              <w:spacing w:before="3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3912" w:type="dxa"/>
          </w:tcPr>
          <w:p>
            <w:pPr>
              <w:pStyle w:val="TableParagraph"/>
              <w:spacing w:line="302" w:lineRule="auto" w:before="35"/>
              <w:ind w:right="57"/>
              <w:jc w:val="both"/>
              <w:rPr>
                <w:sz w:val="16"/>
              </w:rPr>
            </w:pPr>
            <w:r>
              <w:rPr>
                <w:color w:val="0B0B0B"/>
                <w:sz w:val="16"/>
              </w:rPr>
              <w:t>Publicada en el DOF el 23 de diciembre de 2016, Anexo 3 publicado en el DOF el 27 de diciembre de </w:t>
            </w:r>
            <w:r>
              <w:rPr>
                <w:color w:val="0B0B0B"/>
                <w:spacing w:val="-2"/>
                <w:sz w:val="16"/>
              </w:rPr>
              <w:t>2016.</w:t>
            </w:r>
          </w:p>
        </w:tc>
      </w:tr>
      <w:tr>
        <w:trPr>
          <w:trHeight w:val="333" w:hRule="atLeast"/>
        </w:trPr>
        <w:tc>
          <w:tcPr>
            <w:tcW w:w="6904" w:type="dxa"/>
            <w:gridSpan w:val="2"/>
            <w:shd w:val="clear" w:color="auto" w:fill="BDBDBD"/>
          </w:tcPr>
          <w:p>
            <w:pPr>
              <w:pStyle w:val="TableParagraph"/>
              <w:spacing w:before="35"/>
              <w:ind w:left="12"/>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1024" w:hRule="atLeast"/>
        </w:trPr>
        <w:tc>
          <w:tcPr>
            <w:tcW w:w="6904" w:type="dxa"/>
            <w:gridSpan w:val="2"/>
          </w:tcPr>
          <w:p>
            <w:pPr>
              <w:pStyle w:val="TableParagraph"/>
              <w:spacing w:line="302" w:lineRule="auto" w:before="34"/>
              <w:ind w:right="56"/>
              <w:jc w:val="both"/>
              <w:rPr>
                <w:sz w:val="16"/>
              </w:rPr>
            </w:pPr>
            <w:r>
              <w:rPr>
                <w:color w:val="0B0B0B"/>
                <w:sz w:val="16"/>
              </w:rPr>
              <w:t>Se deroga en virtud de que el contenido del criterio ya cumplió su objetivo de conformidad con el artículo 3, fracciones IV y</w:t>
            </w:r>
            <w:r>
              <w:rPr>
                <w:color w:val="0B0B0B"/>
                <w:spacing w:val="-1"/>
                <w:sz w:val="16"/>
              </w:rPr>
              <w:t> </w:t>
            </w:r>
            <w:r>
              <w:rPr>
                <w:color w:val="0B0B0B"/>
                <w:sz w:val="16"/>
              </w:rPr>
              <w:t>V de las Disposiciones Transitorias de la LISR de 2005, en el cual se establece el tratamiento para que los contribuyentes determinen el inventario base hasta el año de 2016.</w:t>
            </w:r>
          </w:p>
        </w:tc>
      </w:tr>
    </w:tbl>
    <w:p>
      <w:pPr>
        <w:pStyle w:val="BodyText"/>
        <w:spacing w:before="142"/>
        <w:ind w:left="0"/>
        <w:jc w:val="left"/>
      </w:pPr>
    </w:p>
    <w:p>
      <w:pPr>
        <w:pStyle w:val="Heading1"/>
        <w:ind w:left="1137" w:firstLine="0"/>
      </w:pPr>
      <w:r>
        <w:rPr>
          <w:color w:val="0B0B0B"/>
        </w:rPr>
        <w:t>20/ISR/NV</w:t>
      </w:r>
      <w:r>
        <w:rPr>
          <w:color w:val="0B0B0B"/>
          <w:spacing w:val="71"/>
          <w:w w:val="150"/>
        </w:rPr>
        <w:t> </w:t>
      </w:r>
      <w:r>
        <w:rPr>
          <w:color w:val="0B0B0B"/>
        </w:rPr>
        <w:t>Inventarios</w:t>
      </w:r>
      <w:r>
        <w:rPr>
          <w:color w:val="0B0B0B"/>
          <w:spacing w:val="-4"/>
        </w:rPr>
        <w:t> </w:t>
      </w:r>
      <w:r>
        <w:rPr>
          <w:color w:val="0B0B0B"/>
          <w:spacing w:val="-2"/>
        </w:rPr>
        <w:t>negativos.</w:t>
      </w:r>
    </w:p>
    <w:p>
      <w:pPr>
        <w:pStyle w:val="BodyText"/>
        <w:spacing w:line="268" w:lineRule="auto" w:before="126"/>
        <w:ind w:right="257"/>
      </w:pPr>
      <w:r>
        <w:rPr>
          <w:color w:val="0B0B0B"/>
        </w:rPr>
        <w:t>En el caso de que el contribuyente obtenga una cantidad negativa en el cálculo del ajuste a los montos que se tienen que acumular en el ejercicio por</w:t>
      </w:r>
      <w:r>
        <w:rPr>
          <w:color w:val="0B0B0B"/>
        </w:rPr>
        <w:t> concepto de inventario acumulable, en el supuesto de que el inventario al cierre del ejercicio 2005 hubiese disminuido respecto del inventario base, se considera una práctica fiscal indebida el hecho de disminuir los ingresos acumulables del ejercicio con las cantidades negativas resultantes, toda vez que se trata de un inventario acumulable y no de una deducción autorizada.</w:t>
      </w:r>
    </w:p>
    <w:p>
      <w:pPr>
        <w:pStyle w:val="BodyText"/>
        <w:spacing w:line="266" w:lineRule="auto" w:before="95"/>
        <w:ind w:right="259"/>
      </w:pPr>
      <w:r>
        <w:rPr>
          <w:color w:val="0B0B0B"/>
        </w:rPr>
        <w:t>Este mismo criterio será aplicable en el caso de disminuciones de inventarios en ejercicios posteriores.</w:t>
      </w:r>
    </w:p>
    <w:p>
      <w:pPr>
        <w:pStyle w:val="BodyText"/>
        <w:spacing w:before="7"/>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992"/>
        <w:gridCol w:w="3912"/>
      </w:tblGrid>
      <w:tr>
        <w:trPr>
          <w:trHeight w:val="331" w:hRule="atLeast"/>
        </w:trPr>
        <w:tc>
          <w:tcPr>
            <w:tcW w:w="2992" w:type="dxa"/>
            <w:shd w:val="clear" w:color="auto" w:fill="BDBDBD"/>
          </w:tcPr>
          <w:p>
            <w:pPr>
              <w:pStyle w:val="TableParagraph"/>
              <w:spacing w:before="34"/>
              <w:ind w:left="11"/>
              <w:jc w:val="center"/>
              <w:rPr>
                <w:rFonts w:ascii="Arial"/>
                <w:b/>
                <w:sz w:val="16"/>
              </w:rPr>
            </w:pPr>
            <w:r>
              <w:rPr>
                <w:rFonts w:ascii="Arial"/>
                <w:b/>
                <w:color w:val="0B0B0B"/>
                <w:spacing w:val="-2"/>
                <w:sz w:val="16"/>
              </w:rPr>
              <w:t>Origen</w:t>
            </w:r>
          </w:p>
        </w:tc>
        <w:tc>
          <w:tcPr>
            <w:tcW w:w="3912" w:type="dxa"/>
            <w:shd w:val="clear" w:color="auto" w:fill="BDBDBD"/>
          </w:tcPr>
          <w:p>
            <w:pPr>
              <w:pStyle w:val="TableParagraph"/>
              <w:spacing w:before="34"/>
              <w:ind w:left="11" w:right="1"/>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3" w:hRule="atLeast"/>
        </w:trPr>
        <w:tc>
          <w:tcPr>
            <w:tcW w:w="2992" w:type="dxa"/>
          </w:tcPr>
          <w:p>
            <w:pPr>
              <w:pStyle w:val="TableParagraph"/>
              <w:tabs>
                <w:tab w:pos="898" w:val="left" w:leader="none"/>
                <w:tab w:pos="1665" w:val="left" w:leader="none"/>
                <w:tab w:pos="2740" w:val="left" w:leader="none"/>
              </w:tabs>
              <w:spacing w:line="300" w:lineRule="auto" w:before="35"/>
              <w:ind w:right="56"/>
              <w:rPr>
                <w:sz w:val="16"/>
              </w:rPr>
            </w:pPr>
            <w:r>
              <w:rPr>
                <w:color w:val="0B0B0B"/>
                <w:spacing w:val="-2"/>
                <w:sz w:val="16"/>
              </w:rPr>
              <w:t>Décima</w:t>
            </w:r>
            <w:r>
              <w:rPr>
                <w:color w:val="0B0B0B"/>
                <w:sz w:val="16"/>
              </w:rPr>
              <w:tab/>
            </w: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2006</w:t>
            </w:r>
          </w:p>
        </w:tc>
        <w:tc>
          <w:tcPr>
            <w:tcW w:w="3912" w:type="dxa"/>
          </w:tcPr>
          <w:p>
            <w:pPr>
              <w:pStyle w:val="TableParagraph"/>
              <w:spacing w:line="302" w:lineRule="auto" w:before="35"/>
              <w:ind w:right="59"/>
              <w:jc w:val="both"/>
              <w:rPr>
                <w:sz w:val="16"/>
              </w:rPr>
            </w:pPr>
            <w:r>
              <w:rPr>
                <w:color w:val="0B0B0B"/>
                <w:sz w:val="16"/>
              </w:rPr>
              <w:t>Publicada</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28</w:t>
            </w:r>
            <w:r>
              <w:rPr>
                <w:color w:val="0B0B0B"/>
                <w:spacing w:val="-2"/>
                <w:sz w:val="16"/>
              </w:rPr>
              <w:t> </w:t>
            </w:r>
            <w:r>
              <w:rPr>
                <w:color w:val="0B0B0B"/>
                <w:sz w:val="16"/>
              </w:rPr>
              <w:t>de</w:t>
            </w:r>
            <w:r>
              <w:rPr>
                <w:color w:val="0B0B0B"/>
                <w:spacing w:val="-2"/>
                <w:sz w:val="16"/>
              </w:rPr>
              <w:t> </w:t>
            </w:r>
            <w:r>
              <w:rPr>
                <w:color w:val="0B0B0B"/>
                <w:sz w:val="16"/>
              </w:rPr>
              <w:t>marzo</w:t>
            </w:r>
            <w:r>
              <w:rPr>
                <w:color w:val="0B0B0B"/>
                <w:spacing w:val="-2"/>
                <w:sz w:val="16"/>
              </w:rPr>
              <w:t> </w:t>
            </w:r>
            <w:r>
              <w:rPr>
                <w:color w:val="0B0B0B"/>
                <w:sz w:val="16"/>
              </w:rPr>
              <w:t>de</w:t>
            </w:r>
            <w:r>
              <w:rPr>
                <w:color w:val="0B0B0B"/>
                <w:spacing w:val="-2"/>
                <w:sz w:val="16"/>
              </w:rPr>
              <w:t> </w:t>
            </w:r>
            <w:r>
              <w:rPr>
                <w:color w:val="0B0B0B"/>
                <w:sz w:val="16"/>
              </w:rPr>
              <w:t>2007,</w:t>
            </w:r>
            <w:r>
              <w:rPr>
                <w:color w:val="0B0B0B"/>
                <w:spacing w:val="-2"/>
                <w:sz w:val="16"/>
              </w:rPr>
              <w:t> </w:t>
            </w:r>
            <w:r>
              <w:rPr>
                <w:color w:val="0B0B0B"/>
                <w:sz w:val="16"/>
              </w:rPr>
              <w:t>Anexo 26, publicado en la misma fecha de la Modificación, con número de criterio no vinculativo 15/ISR.</w:t>
            </w:r>
          </w:p>
        </w:tc>
      </w:tr>
      <w:tr>
        <w:trPr>
          <w:trHeight w:val="331" w:hRule="atLeast"/>
        </w:trPr>
        <w:tc>
          <w:tcPr>
            <w:tcW w:w="2992" w:type="dxa"/>
            <w:shd w:val="clear" w:color="auto" w:fill="BDBDBD"/>
          </w:tcPr>
          <w:p>
            <w:pPr>
              <w:pStyle w:val="TableParagraph"/>
              <w:spacing w:before="0"/>
              <w:ind w:left="0"/>
              <w:rPr>
                <w:rFonts w:ascii="Times New Roman"/>
                <w:sz w:val="16"/>
              </w:rPr>
            </w:pPr>
          </w:p>
        </w:tc>
        <w:tc>
          <w:tcPr>
            <w:tcW w:w="3912" w:type="dxa"/>
            <w:shd w:val="clear" w:color="auto" w:fill="BDBDBD"/>
          </w:tcPr>
          <w:p>
            <w:pPr>
              <w:pStyle w:val="TableParagraph"/>
              <w:spacing w:before="35"/>
              <w:ind w:left="11"/>
              <w:jc w:val="center"/>
              <w:rPr>
                <w:rFonts w:ascii="Arial" w:hAnsi="Arial"/>
                <w:b/>
                <w:sz w:val="16"/>
              </w:rPr>
            </w:pPr>
            <w:r>
              <w:rPr>
                <w:rFonts w:ascii="Arial" w:hAnsi="Arial"/>
                <w:b/>
                <w:color w:val="0B0B0B"/>
                <w:spacing w:val="-2"/>
                <w:sz w:val="16"/>
              </w:rPr>
              <w:t>Derogación</w:t>
            </w:r>
          </w:p>
        </w:tc>
      </w:tr>
      <w:tr>
        <w:trPr>
          <w:trHeight w:val="795" w:hRule="atLeast"/>
        </w:trPr>
        <w:tc>
          <w:tcPr>
            <w:tcW w:w="2992" w:type="dxa"/>
          </w:tcPr>
          <w:p>
            <w:pPr>
              <w:pStyle w:val="TableParagraph"/>
              <w:spacing w:before="3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3912" w:type="dxa"/>
          </w:tcPr>
          <w:p>
            <w:pPr>
              <w:pStyle w:val="TableParagraph"/>
              <w:spacing w:line="302" w:lineRule="auto" w:before="35"/>
              <w:ind w:right="57"/>
              <w:jc w:val="both"/>
              <w:rPr>
                <w:sz w:val="16"/>
              </w:rPr>
            </w:pPr>
            <w:r>
              <w:rPr>
                <w:color w:val="0B0B0B"/>
                <w:sz w:val="16"/>
              </w:rPr>
              <w:t>Publicada en el DOF el 23 de diciembre de 2016, Anexo 3 publicado en el DOF el 27 de diciembre de </w:t>
            </w:r>
            <w:r>
              <w:rPr>
                <w:color w:val="0B0B0B"/>
                <w:spacing w:val="-2"/>
                <w:sz w:val="16"/>
              </w:rPr>
              <w:t>2016.</w:t>
            </w:r>
          </w:p>
        </w:tc>
      </w:tr>
      <w:tr>
        <w:trPr>
          <w:trHeight w:val="331" w:hRule="atLeast"/>
        </w:trPr>
        <w:tc>
          <w:tcPr>
            <w:tcW w:w="6904" w:type="dxa"/>
            <w:gridSpan w:val="2"/>
            <w:shd w:val="clear" w:color="auto" w:fill="BDBDBD"/>
          </w:tcPr>
          <w:p>
            <w:pPr>
              <w:pStyle w:val="TableParagraph"/>
              <w:spacing w:before="34"/>
              <w:ind w:left="12"/>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1024" w:hRule="atLeast"/>
        </w:trPr>
        <w:tc>
          <w:tcPr>
            <w:tcW w:w="6904" w:type="dxa"/>
            <w:gridSpan w:val="2"/>
          </w:tcPr>
          <w:p>
            <w:pPr>
              <w:pStyle w:val="TableParagraph"/>
              <w:spacing w:line="302" w:lineRule="auto" w:before="34"/>
              <w:ind w:right="56"/>
              <w:jc w:val="both"/>
              <w:rPr>
                <w:sz w:val="16"/>
              </w:rPr>
            </w:pPr>
            <w:r>
              <w:rPr>
                <w:color w:val="0B0B0B"/>
                <w:sz w:val="16"/>
              </w:rPr>
              <w:t>Se deroga en virtud de que el contenido del criterio ya cumplió su objetivo de conformidad con el artículo 3, fracciones IV y</w:t>
            </w:r>
            <w:r>
              <w:rPr>
                <w:color w:val="0B0B0B"/>
                <w:spacing w:val="-1"/>
                <w:sz w:val="16"/>
              </w:rPr>
              <w:t> </w:t>
            </w:r>
            <w:r>
              <w:rPr>
                <w:color w:val="0B0B0B"/>
                <w:sz w:val="16"/>
              </w:rPr>
              <w:t>V de las Disposiciones Transitorias de la LISR de 2005, en el cual se establece el tratamiento para que los contribuyentes determinen el inventario base hasta el año de 2016.</w:t>
            </w:r>
          </w:p>
        </w:tc>
      </w:tr>
    </w:tbl>
    <w:p>
      <w:pPr>
        <w:pStyle w:val="BodyText"/>
        <w:spacing w:before="145"/>
        <w:ind w:left="0"/>
        <w:jc w:val="left"/>
      </w:pPr>
    </w:p>
    <w:p>
      <w:pPr>
        <w:pStyle w:val="Heading1"/>
        <w:spacing w:line="266" w:lineRule="auto"/>
      </w:pPr>
      <w:r>
        <w:rPr>
          <w:color w:val="0B0B0B"/>
        </w:rPr>
        <w:t>21/ISR/NV</w:t>
      </w:r>
      <w:r>
        <w:rPr>
          <w:color w:val="0B0B0B"/>
          <w:spacing w:val="80"/>
        </w:rPr>
        <w:t> </w:t>
      </w:r>
      <w:r>
        <w:rPr>
          <w:color w:val="0B0B0B"/>
        </w:rPr>
        <w:t>Prestación</w:t>
      </w:r>
      <w:r>
        <w:rPr>
          <w:color w:val="0B0B0B"/>
          <w:spacing w:val="69"/>
        </w:rPr>
        <w:t> </w:t>
      </w:r>
      <w:r>
        <w:rPr>
          <w:color w:val="0B0B0B"/>
        </w:rPr>
        <w:t>gratuita</w:t>
      </w:r>
      <w:r>
        <w:rPr>
          <w:color w:val="0B0B0B"/>
          <w:spacing w:val="69"/>
        </w:rPr>
        <w:t> </w:t>
      </w:r>
      <w:r>
        <w:rPr>
          <w:color w:val="0B0B0B"/>
        </w:rPr>
        <w:t>de</w:t>
      </w:r>
      <w:r>
        <w:rPr>
          <w:color w:val="0B0B0B"/>
          <w:spacing w:val="69"/>
        </w:rPr>
        <w:t> </w:t>
      </w:r>
      <w:r>
        <w:rPr>
          <w:color w:val="0B0B0B"/>
        </w:rPr>
        <w:t>un</w:t>
      </w:r>
      <w:r>
        <w:rPr>
          <w:color w:val="0B0B0B"/>
          <w:spacing w:val="69"/>
        </w:rPr>
        <w:t> </w:t>
      </w:r>
      <w:r>
        <w:rPr>
          <w:color w:val="0B0B0B"/>
        </w:rPr>
        <w:t>servicio</w:t>
      </w:r>
      <w:r>
        <w:rPr>
          <w:color w:val="0B0B0B"/>
          <w:spacing w:val="69"/>
        </w:rPr>
        <w:t> </w:t>
      </w:r>
      <w:r>
        <w:rPr>
          <w:color w:val="0B0B0B"/>
        </w:rPr>
        <w:t>a</w:t>
      </w:r>
      <w:r>
        <w:rPr>
          <w:color w:val="0B0B0B"/>
          <w:spacing w:val="70"/>
        </w:rPr>
        <w:t> </w:t>
      </w:r>
      <w:r>
        <w:rPr>
          <w:color w:val="0B0B0B"/>
        </w:rPr>
        <w:t>organizaciones</w:t>
      </w:r>
      <w:r>
        <w:rPr>
          <w:color w:val="0B0B0B"/>
          <w:spacing w:val="69"/>
        </w:rPr>
        <w:t> </w:t>
      </w:r>
      <w:r>
        <w:rPr>
          <w:color w:val="0B0B0B"/>
        </w:rPr>
        <w:t>civiles</w:t>
      </w:r>
      <w:r>
        <w:rPr>
          <w:color w:val="0B0B0B"/>
          <w:spacing w:val="70"/>
        </w:rPr>
        <w:t> </w:t>
      </w:r>
      <w:r>
        <w:rPr>
          <w:color w:val="0B0B0B"/>
        </w:rPr>
        <w:t>y</w:t>
      </w:r>
      <w:r>
        <w:rPr>
          <w:color w:val="0B0B0B"/>
          <w:spacing w:val="40"/>
        </w:rPr>
        <w:t> </w:t>
      </w:r>
      <w:r>
        <w:rPr>
          <w:color w:val="0B0B0B"/>
        </w:rPr>
        <w:t>fideicomisos autorizados para recibir donativos deducibles.</w:t>
      </w:r>
    </w:p>
    <w:p>
      <w:pPr>
        <w:pStyle w:val="BodyText"/>
        <w:spacing w:line="268" w:lineRule="auto" w:before="103"/>
        <w:ind w:right="256"/>
      </w:pPr>
      <w:r>
        <w:rPr>
          <w:color w:val="0B0B0B"/>
        </w:rPr>
        <w:t>El artículo 27, fracción I de la Ley del ISR establece como requisito para que un donativo sea deducible, que no sea oneroso ni remunerativo, que satisfaga los requisitos previstos en dicha Ley y en las reglas generales que para el efecto establezca el SAT; asimismo, la fracción VIII del artículo antes referido, menciona que los</w:t>
      </w:r>
      <w:r>
        <w:rPr>
          <w:color w:val="0B0B0B"/>
          <w:spacing w:val="-3"/>
        </w:rPr>
        <w:t> </w:t>
      </w:r>
      <w:r>
        <w:rPr>
          <w:color w:val="0B0B0B"/>
        </w:rPr>
        <w:t>donativos</w:t>
      </w:r>
      <w:r>
        <w:rPr>
          <w:color w:val="0B0B0B"/>
          <w:spacing w:val="-3"/>
        </w:rPr>
        <w:t> </w:t>
      </w:r>
      <w:r>
        <w:rPr>
          <w:color w:val="0B0B0B"/>
        </w:rPr>
        <w:t>serán</w:t>
      </w:r>
      <w:r>
        <w:rPr>
          <w:color w:val="0B0B0B"/>
          <w:spacing w:val="-3"/>
        </w:rPr>
        <w:t> </w:t>
      </w:r>
      <w:r>
        <w:rPr>
          <w:color w:val="0B0B0B"/>
        </w:rPr>
        <w:t>deducibles</w:t>
      </w:r>
      <w:r>
        <w:rPr>
          <w:color w:val="0B0B0B"/>
          <w:spacing w:val="-3"/>
        </w:rPr>
        <w:t> </w:t>
      </w:r>
      <w:r>
        <w:rPr>
          <w:color w:val="0B0B0B"/>
        </w:rPr>
        <w:t>cuando</w:t>
      </w:r>
      <w:r>
        <w:rPr>
          <w:color w:val="0B0B0B"/>
          <w:spacing w:val="-3"/>
        </w:rPr>
        <w:t> </w:t>
      </w:r>
      <w:r>
        <w:rPr>
          <w:color w:val="0B0B0B"/>
        </w:rPr>
        <w:t>en</w:t>
      </w:r>
      <w:r>
        <w:rPr>
          <w:color w:val="0B0B0B"/>
          <w:spacing w:val="-2"/>
        </w:rPr>
        <w:t> </w:t>
      </w:r>
      <w:r>
        <w:rPr>
          <w:color w:val="0B0B0B"/>
        </w:rPr>
        <w:t>el</w:t>
      </w:r>
      <w:r>
        <w:rPr>
          <w:color w:val="0B0B0B"/>
          <w:spacing w:val="-2"/>
        </w:rPr>
        <w:t> </w:t>
      </w:r>
      <w:r>
        <w:rPr>
          <w:color w:val="0B0B0B"/>
        </w:rPr>
        <w:t>ejercicio</w:t>
      </w:r>
      <w:r>
        <w:rPr>
          <w:color w:val="0B0B0B"/>
          <w:spacing w:val="-3"/>
        </w:rPr>
        <w:t> </w:t>
      </w:r>
      <w:r>
        <w:rPr>
          <w:color w:val="0B0B0B"/>
        </w:rPr>
        <w:t>de</w:t>
      </w:r>
      <w:r>
        <w:rPr>
          <w:color w:val="0B0B0B"/>
          <w:spacing w:val="-4"/>
        </w:rPr>
        <w:t> </w:t>
      </w:r>
      <w:r>
        <w:rPr>
          <w:color w:val="0B0B0B"/>
        </w:rPr>
        <w:t>que</w:t>
      </w:r>
      <w:r>
        <w:rPr>
          <w:color w:val="0B0B0B"/>
          <w:spacing w:val="-3"/>
        </w:rPr>
        <w:t> </w:t>
      </w:r>
      <w:r>
        <w:rPr>
          <w:color w:val="0B0B0B"/>
        </w:rPr>
        <w:t>se</w:t>
      </w:r>
      <w:r>
        <w:rPr>
          <w:color w:val="0B0B0B"/>
          <w:spacing w:val="-3"/>
        </w:rPr>
        <w:t> </w:t>
      </w:r>
      <w:r>
        <w:rPr>
          <w:color w:val="0B0B0B"/>
        </w:rPr>
        <w:t>trate,</w:t>
      </w:r>
      <w:r>
        <w:rPr>
          <w:color w:val="0B0B0B"/>
          <w:spacing w:val="-3"/>
        </w:rPr>
        <w:t> </w:t>
      </w:r>
      <w:r>
        <w:rPr>
          <w:color w:val="0B0B0B"/>
        </w:rPr>
        <w:t>estos</w:t>
      </w:r>
      <w:r>
        <w:rPr>
          <w:color w:val="0B0B0B"/>
          <w:spacing w:val="-3"/>
        </w:rPr>
        <w:t> </w:t>
      </w:r>
      <w:r>
        <w:rPr>
          <w:color w:val="0B0B0B"/>
        </w:rPr>
        <w:t>hayan</w:t>
      </w:r>
      <w:r>
        <w:rPr>
          <w:color w:val="0B0B0B"/>
          <w:spacing w:val="-3"/>
        </w:rPr>
        <w:t> </w:t>
      </w:r>
      <w:r>
        <w:rPr>
          <w:color w:val="0B0B0B"/>
        </w:rPr>
        <w:t>sido efectivamente erogados, es decir, cuando hayan sido pagados en efectivo, mediante transferencias electrónicas de fondos desde cuentas abiertas a nombre del contribuyente en instituciones que componen el sistema financiero y las entidades que para tal efecto autorice el Banco de México, o en otros bienes que no sean títulos de crédito. En este contexto, el artículo 130 del Reglamento de la Ley del ISR establece que no será deducible la donación de servicios en tanto que el diverso artículo 2332</w:t>
      </w:r>
      <w:r>
        <w:rPr>
          <w:color w:val="0B0B0B"/>
          <w:spacing w:val="40"/>
        </w:rPr>
        <w:t> </w:t>
      </w:r>
      <w:r>
        <w:rPr>
          <w:color w:val="0B0B0B"/>
        </w:rPr>
        <w:t>del CCF de aplicación supletoria, dispone que la donación es un contrato por el que una persona transfiere a otra, gratuitamente, una parte o la totalidad de sus bienes </w:t>
      </w:r>
      <w:r>
        <w:rPr>
          <w:color w:val="0B0B0B"/>
          <w:spacing w:val="-2"/>
        </w:rPr>
        <w:t>presentes.</w:t>
      </w:r>
    </w:p>
    <w:p>
      <w:pPr>
        <w:pStyle w:val="BodyText"/>
        <w:spacing w:after="0" w:line="268" w:lineRule="auto"/>
        <w:sectPr>
          <w:headerReference w:type="default" r:id="rId73"/>
          <w:pgSz w:w="12240" w:h="15840"/>
          <w:pgMar w:header="690" w:footer="0" w:top="1040" w:bottom="280" w:left="1440" w:right="1440"/>
        </w:sectPr>
      </w:pPr>
    </w:p>
    <w:p>
      <w:pPr>
        <w:pStyle w:val="BodyText"/>
        <w:spacing w:line="256" w:lineRule="auto" w:before="116"/>
        <w:ind w:right="253"/>
      </w:pPr>
      <w:r>
        <w:rPr>
          <w:color w:val="0B0B0B"/>
        </w:rPr>
        <w:t>Por lo anterior, se considera que realizan una práctica fiscal indebida, las personas físicas o morales que contemplen como donativo deducible para efectos del ISR, la prestación</w:t>
      </w:r>
      <w:r>
        <w:rPr>
          <w:color w:val="0B0B0B"/>
          <w:spacing w:val="-2"/>
        </w:rPr>
        <w:t> </w:t>
      </w:r>
      <w:r>
        <w:rPr>
          <w:color w:val="0B0B0B"/>
        </w:rPr>
        <w:t>gratuita</w:t>
      </w:r>
      <w:r>
        <w:rPr>
          <w:color w:val="0B0B0B"/>
          <w:spacing w:val="-2"/>
        </w:rPr>
        <w:t> </w:t>
      </w:r>
      <w:r>
        <w:rPr>
          <w:color w:val="0B0B0B"/>
        </w:rPr>
        <w:t>de</w:t>
      </w:r>
      <w:r>
        <w:rPr>
          <w:color w:val="0B0B0B"/>
          <w:spacing w:val="-2"/>
        </w:rPr>
        <w:t> </w:t>
      </w:r>
      <w:r>
        <w:rPr>
          <w:color w:val="0B0B0B"/>
        </w:rPr>
        <w:t>un</w:t>
      </w:r>
      <w:r>
        <w:rPr>
          <w:color w:val="0B0B0B"/>
          <w:spacing w:val="-2"/>
        </w:rPr>
        <w:t> </w:t>
      </w:r>
      <w:r>
        <w:rPr>
          <w:color w:val="0B0B0B"/>
        </w:rPr>
        <w:t>servicio</w:t>
      </w:r>
      <w:r>
        <w:rPr>
          <w:color w:val="0B0B0B"/>
          <w:spacing w:val="-2"/>
        </w:rPr>
        <w:t> </w:t>
      </w:r>
      <w:r>
        <w:rPr>
          <w:color w:val="0B0B0B"/>
        </w:rPr>
        <w:t>a</w:t>
      </w:r>
      <w:r>
        <w:rPr>
          <w:color w:val="0B0B0B"/>
          <w:spacing w:val="-3"/>
        </w:rPr>
        <w:t> </w:t>
      </w:r>
      <w:r>
        <w:rPr>
          <w:color w:val="0B0B0B"/>
        </w:rPr>
        <w:t>una</w:t>
      </w:r>
      <w:r>
        <w:rPr>
          <w:color w:val="0B0B0B"/>
          <w:spacing w:val="-2"/>
        </w:rPr>
        <w:t> </w:t>
      </w:r>
      <w:r>
        <w:rPr>
          <w:color w:val="0B0B0B"/>
        </w:rPr>
        <w:t>organización</w:t>
      </w:r>
      <w:r>
        <w:rPr>
          <w:color w:val="0B0B0B"/>
          <w:spacing w:val="-2"/>
        </w:rPr>
        <w:t> </w:t>
      </w:r>
      <w:r>
        <w:rPr>
          <w:color w:val="0B0B0B"/>
        </w:rPr>
        <w:t>civil</w:t>
      </w:r>
      <w:r>
        <w:rPr>
          <w:color w:val="0B0B0B"/>
          <w:spacing w:val="-2"/>
        </w:rPr>
        <w:t> </w:t>
      </w:r>
      <w:r>
        <w:rPr>
          <w:color w:val="0B0B0B"/>
        </w:rPr>
        <w:t>o</w:t>
      </w:r>
      <w:r>
        <w:rPr>
          <w:color w:val="0B0B0B"/>
          <w:spacing w:val="-2"/>
        </w:rPr>
        <w:t> </w:t>
      </w:r>
      <w:r>
        <w:rPr>
          <w:color w:val="0B0B0B"/>
        </w:rPr>
        <w:t>fideicomiso</w:t>
      </w:r>
      <w:r>
        <w:rPr>
          <w:color w:val="0B0B0B"/>
          <w:spacing w:val="-2"/>
        </w:rPr>
        <w:t> </w:t>
      </w:r>
      <w:r>
        <w:rPr>
          <w:color w:val="0B0B0B"/>
        </w:rPr>
        <w:t>que</w:t>
      </w:r>
      <w:r>
        <w:rPr>
          <w:color w:val="0B0B0B"/>
          <w:spacing w:val="-4"/>
        </w:rPr>
        <w:t> </w:t>
      </w:r>
      <w:r>
        <w:rPr>
          <w:color w:val="0B0B0B"/>
        </w:rPr>
        <w:t>cuente</w:t>
      </w:r>
      <w:r>
        <w:rPr>
          <w:color w:val="0B0B0B"/>
          <w:spacing w:val="-2"/>
        </w:rPr>
        <w:t> </w:t>
      </w:r>
      <w:r>
        <w:rPr>
          <w:color w:val="0B0B0B"/>
        </w:rPr>
        <w:t>con autorización para recibir donativos deducibles, independientemente de que cuenten con un comprobante que pretenda amparar esa operación. De manera enunciativa</w:t>
      </w:r>
      <w:r>
        <w:rPr>
          <w:color w:val="0B0B0B"/>
          <w:spacing w:val="40"/>
        </w:rPr>
        <w:t> </w:t>
      </w:r>
      <w:r>
        <w:rPr>
          <w:color w:val="0B0B0B"/>
        </w:rPr>
        <w:t>mas no limitativa se señala la prestación gratuita de pautas relativas a la obligación de proyectar cierta información (imágenes y sonido) durante un tiempo determinado por parte de personas físicas o morales que se dediquen a toda clase de servicios relacionados con la industria de la exhibición de películas, operar salas de exhibición, cines,</w:t>
      </w:r>
      <w:r>
        <w:rPr>
          <w:color w:val="0B0B0B"/>
          <w:spacing w:val="-4"/>
        </w:rPr>
        <w:t> </w:t>
      </w:r>
      <w:r>
        <w:rPr>
          <w:color w:val="0B0B0B"/>
        </w:rPr>
        <w:t>auditorios</w:t>
      </w:r>
      <w:r>
        <w:rPr>
          <w:color w:val="0B0B0B"/>
          <w:spacing w:val="-3"/>
        </w:rPr>
        <w:t> </w:t>
      </w:r>
      <w:r>
        <w:rPr>
          <w:color w:val="0B0B0B"/>
        </w:rPr>
        <w:t>y</w:t>
      </w:r>
      <w:r>
        <w:rPr>
          <w:color w:val="0B0B0B"/>
          <w:spacing w:val="-5"/>
        </w:rPr>
        <w:t> </w:t>
      </w:r>
      <w:r>
        <w:rPr>
          <w:color w:val="0B0B0B"/>
        </w:rPr>
        <w:t>cualquier</w:t>
      </w:r>
      <w:r>
        <w:rPr>
          <w:color w:val="0B0B0B"/>
          <w:spacing w:val="-3"/>
        </w:rPr>
        <w:t> </w:t>
      </w:r>
      <w:r>
        <w:rPr>
          <w:color w:val="0B0B0B"/>
        </w:rPr>
        <w:t>otra</w:t>
      </w:r>
      <w:r>
        <w:rPr>
          <w:color w:val="0B0B0B"/>
          <w:spacing w:val="-4"/>
        </w:rPr>
        <w:t> </w:t>
      </w:r>
      <w:r>
        <w:rPr>
          <w:color w:val="0B0B0B"/>
        </w:rPr>
        <w:t>actividad</w:t>
      </w:r>
      <w:r>
        <w:rPr>
          <w:color w:val="0B0B0B"/>
          <w:spacing w:val="-4"/>
        </w:rPr>
        <w:t> </w:t>
      </w:r>
      <w:r>
        <w:rPr>
          <w:color w:val="0B0B0B"/>
        </w:rPr>
        <w:t>relacionada</w:t>
      </w:r>
      <w:r>
        <w:rPr>
          <w:color w:val="0B0B0B"/>
          <w:spacing w:val="-4"/>
        </w:rPr>
        <w:t> </w:t>
      </w:r>
      <w:r>
        <w:rPr>
          <w:color w:val="0B0B0B"/>
        </w:rPr>
        <w:t>con</w:t>
      </w:r>
      <w:r>
        <w:rPr>
          <w:color w:val="0B0B0B"/>
          <w:spacing w:val="-3"/>
        </w:rPr>
        <w:t> </w:t>
      </w:r>
      <w:r>
        <w:rPr>
          <w:color w:val="0B0B0B"/>
        </w:rPr>
        <w:t>la</w:t>
      </w:r>
      <w:r>
        <w:rPr>
          <w:color w:val="0B0B0B"/>
          <w:spacing w:val="-4"/>
        </w:rPr>
        <w:t> </w:t>
      </w:r>
      <w:r>
        <w:rPr>
          <w:color w:val="0B0B0B"/>
        </w:rPr>
        <w:t>mencionada</w:t>
      </w:r>
      <w:r>
        <w:rPr>
          <w:color w:val="0B0B0B"/>
          <w:spacing w:val="-3"/>
        </w:rPr>
        <w:t> </w:t>
      </w:r>
      <w:r>
        <w:rPr>
          <w:color w:val="0B0B0B"/>
        </w:rPr>
        <w:t>industria,</w:t>
      </w:r>
      <w:r>
        <w:rPr>
          <w:color w:val="0B0B0B"/>
          <w:spacing w:val="-4"/>
        </w:rPr>
        <w:t> </w:t>
      </w:r>
      <w:r>
        <w:rPr>
          <w:color w:val="0B0B0B"/>
        </w:rPr>
        <w:t>así como la prestación gratuita de los servicios que se proporcionen a través de una o</w:t>
      </w:r>
      <w:r>
        <w:rPr>
          <w:color w:val="0B0B0B"/>
          <w:spacing w:val="40"/>
        </w:rPr>
        <w:t> </w:t>
      </w:r>
      <w:r>
        <w:rPr>
          <w:color w:val="0B0B0B"/>
        </w:rPr>
        <w:t>más</w:t>
      </w:r>
      <w:r>
        <w:rPr>
          <w:color w:val="0B0B0B"/>
        </w:rPr>
        <w:t> redes públicas de telecomunicaciones, por medios de transmisión, tales como canales o circuitos, que utilizan bandas de frecuencia del espectro radioeléctrico, enlaces satelitales, cableados, radios de transmisión eléctrica o cualquier otro medio de transmisión, así como en su caso, centrales, dispositivos de conmutación o cualquier equipo necesario de conformidad con lo establecido en la Ley Federal de Telecomunicaciones, entre otros.</w:t>
      </w:r>
    </w:p>
    <w:p>
      <w:pPr>
        <w:pStyle w:val="BodyText"/>
        <w:spacing w:before="4"/>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683"/>
        <w:gridCol w:w="4220"/>
      </w:tblGrid>
      <w:tr>
        <w:trPr>
          <w:trHeight w:val="322" w:hRule="atLeast"/>
        </w:trPr>
        <w:tc>
          <w:tcPr>
            <w:tcW w:w="2683" w:type="dxa"/>
            <w:shd w:val="clear" w:color="auto" w:fill="BDBDBD"/>
          </w:tcPr>
          <w:p>
            <w:pPr>
              <w:pStyle w:val="TableParagraph"/>
              <w:spacing w:before="28"/>
              <w:ind w:left="13"/>
              <w:jc w:val="center"/>
              <w:rPr>
                <w:rFonts w:ascii="Arial"/>
                <w:b/>
                <w:sz w:val="16"/>
              </w:rPr>
            </w:pPr>
            <w:r>
              <w:rPr>
                <w:rFonts w:ascii="Arial"/>
                <w:b/>
                <w:color w:val="0B0B0B"/>
                <w:spacing w:val="-2"/>
                <w:sz w:val="16"/>
              </w:rPr>
              <w:t>Origen</w:t>
            </w:r>
          </w:p>
        </w:tc>
        <w:tc>
          <w:tcPr>
            <w:tcW w:w="4220" w:type="dxa"/>
            <w:shd w:val="clear" w:color="auto" w:fill="BDBDBD"/>
          </w:tcPr>
          <w:p>
            <w:pPr>
              <w:pStyle w:val="TableParagraph"/>
              <w:spacing w:before="28"/>
              <w:ind w:left="13"/>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3" w:hRule="atLeast"/>
        </w:trPr>
        <w:tc>
          <w:tcPr>
            <w:tcW w:w="2683" w:type="dxa"/>
          </w:tcPr>
          <w:p>
            <w:pPr>
              <w:pStyle w:val="TableParagraph"/>
              <w:tabs>
                <w:tab w:pos="1176" w:val="left" w:leader="none"/>
                <w:tab w:pos="2431" w:val="left" w:leader="none"/>
              </w:tabs>
              <w:spacing w:line="290" w:lineRule="auto" w:before="27"/>
              <w:ind w:right="57"/>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w:t>
            </w:r>
            <w:r>
              <w:rPr>
                <w:color w:val="0B0B0B"/>
                <w:spacing w:val="-4"/>
                <w:sz w:val="16"/>
              </w:rPr>
              <w:t> </w:t>
            </w:r>
            <w:r>
              <w:rPr>
                <w:color w:val="0B0B0B"/>
                <w:sz w:val="16"/>
              </w:rPr>
              <w:t>a</w:t>
            </w:r>
            <w:r>
              <w:rPr>
                <w:color w:val="0B0B0B"/>
                <w:spacing w:val="-6"/>
                <w:sz w:val="16"/>
              </w:rPr>
              <w:t> </w:t>
            </w:r>
            <w:r>
              <w:rPr>
                <w:color w:val="0B0B0B"/>
                <w:sz w:val="16"/>
              </w:rPr>
              <w:t>la</w:t>
            </w:r>
            <w:r>
              <w:rPr>
                <w:color w:val="0B0B0B"/>
                <w:spacing w:val="-4"/>
                <w:sz w:val="16"/>
              </w:rPr>
              <w:t> </w:t>
            </w:r>
            <w:r>
              <w:rPr>
                <w:color w:val="0B0B0B"/>
                <w:sz w:val="16"/>
              </w:rPr>
              <w:t>RMF</w:t>
            </w:r>
            <w:r>
              <w:rPr>
                <w:color w:val="0B0B0B"/>
                <w:spacing w:val="-4"/>
                <w:sz w:val="16"/>
              </w:rPr>
              <w:t> </w:t>
            </w:r>
            <w:r>
              <w:rPr>
                <w:color w:val="0B0B0B"/>
                <w:sz w:val="16"/>
              </w:rPr>
              <w:t>para</w:t>
            </w:r>
            <w:r>
              <w:rPr>
                <w:color w:val="0B0B0B"/>
                <w:spacing w:val="-4"/>
                <w:sz w:val="16"/>
              </w:rPr>
              <w:t> 2013</w:t>
            </w:r>
          </w:p>
        </w:tc>
        <w:tc>
          <w:tcPr>
            <w:tcW w:w="4220" w:type="dxa"/>
          </w:tcPr>
          <w:p>
            <w:pPr>
              <w:pStyle w:val="TableParagraph"/>
              <w:spacing w:line="288" w:lineRule="auto" w:before="27"/>
              <w:ind w:right="56"/>
              <w:jc w:val="both"/>
              <w:rPr>
                <w:sz w:val="16"/>
              </w:rPr>
            </w:pPr>
            <w:r>
              <w:rPr>
                <w:color w:val="0B0B0B"/>
                <w:sz w:val="16"/>
              </w:rPr>
              <w:t>Publicada en el DOF el 31 de mayo de 2013, Anexo </w:t>
            </w:r>
            <w:r>
              <w:rPr>
                <w:color w:val="0B0B0B"/>
                <w:sz w:val="16"/>
              </w:rPr>
              <w:t>3, publicado en la misma fecha de la Modificación, con número de criterio no vinculativo 29/ISR.</w:t>
            </w:r>
          </w:p>
        </w:tc>
      </w:tr>
      <w:tr>
        <w:trPr>
          <w:trHeight w:val="322" w:hRule="atLeast"/>
        </w:trPr>
        <w:tc>
          <w:tcPr>
            <w:tcW w:w="2683" w:type="dxa"/>
            <w:shd w:val="clear" w:color="auto" w:fill="BDBDBD"/>
          </w:tcPr>
          <w:p>
            <w:pPr>
              <w:pStyle w:val="TableParagraph"/>
              <w:spacing w:before="0"/>
              <w:ind w:left="0"/>
              <w:rPr>
                <w:rFonts w:ascii="Times New Roman"/>
                <w:sz w:val="16"/>
              </w:rPr>
            </w:pPr>
          </w:p>
        </w:tc>
        <w:tc>
          <w:tcPr>
            <w:tcW w:w="4220" w:type="dxa"/>
            <w:shd w:val="clear" w:color="auto" w:fill="BDBDBD"/>
          </w:tcPr>
          <w:p>
            <w:pPr>
              <w:pStyle w:val="TableParagraph"/>
              <w:spacing w:before="28"/>
              <w:ind w:left="13"/>
              <w:jc w:val="center"/>
              <w:rPr>
                <w:rFonts w:ascii="Arial" w:hAnsi="Arial"/>
                <w:b/>
                <w:sz w:val="16"/>
              </w:rPr>
            </w:pPr>
            <w:r>
              <w:rPr>
                <w:rFonts w:ascii="Arial" w:hAnsi="Arial"/>
                <w:b/>
                <w:color w:val="0B0B0B"/>
                <w:spacing w:val="-2"/>
                <w:sz w:val="16"/>
              </w:rPr>
              <w:t>Derogación</w:t>
            </w:r>
          </w:p>
        </w:tc>
      </w:tr>
      <w:tr>
        <w:trPr>
          <w:trHeight w:val="543" w:hRule="atLeast"/>
        </w:trPr>
        <w:tc>
          <w:tcPr>
            <w:tcW w:w="2683" w:type="dxa"/>
          </w:tcPr>
          <w:p>
            <w:pPr>
              <w:pStyle w:val="TableParagraph"/>
              <w:spacing w:before="27"/>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220" w:type="dxa"/>
          </w:tcPr>
          <w:p>
            <w:pPr>
              <w:pStyle w:val="TableParagraph"/>
              <w:spacing w:line="290" w:lineRule="auto" w:before="27"/>
              <w:ind w:right="56" w:firstLine="1"/>
              <w:rPr>
                <w:sz w:val="16"/>
              </w:rPr>
            </w:pPr>
            <w:r>
              <w:rPr>
                <w:color w:val="0B0B0B"/>
                <w:sz w:val="16"/>
              </w:rPr>
              <w:t>Publicada en el DOF el 23 de diciembre de 2016, Anexo 3 publicado en el DOF el 27 de diciembre de 2016.</w:t>
            </w:r>
          </w:p>
        </w:tc>
      </w:tr>
      <w:tr>
        <w:trPr>
          <w:trHeight w:val="322" w:hRule="atLeast"/>
        </w:trPr>
        <w:tc>
          <w:tcPr>
            <w:tcW w:w="6903" w:type="dxa"/>
            <w:gridSpan w:val="2"/>
            <w:shd w:val="clear" w:color="auto" w:fill="BDBDBD"/>
          </w:tcPr>
          <w:p>
            <w:pPr>
              <w:pStyle w:val="TableParagraph"/>
              <w:spacing w:before="2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41" w:hRule="atLeast"/>
        </w:trPr>
        <w:tc>
          <w:tcPr>
            <w:tcW w:w="6903" w:type="dxa"/>
            <w:gridSpan w:val="2"/>
          </w:tcPr>
          <w:p>
            <w:pPr>
              <w:pStyle w:val="TableParagraph"/>
              <w:spacing w:line="288" w:lineRule="auto" w:before="27"/>
              <w:rPr>
                <w:sz w:val="16"/>
              </w:rPr>
            </w:pPr>
            <w:r>
              <w:rPr>
                <w:color w:val="0B0B0B"/>
                <w:sz w:val="16"/>
              </w:rPr>
              <w:t>Se</w:t>
            </w:r>
            <w:r>
              <w:rPr>
                <w:color w:val="0B0B0B"/>
                <w:spacing w:val="18"/>
                <w:sz w:val="16"/>
              </w:rPr>
              <w:t> </w:t>
            </w:r>
            <w:r>
              <w:rPr>
                <w:color w:val="0B0B0B"/>
                <w:sz w:val="16"/>
              </w:rPr>
              <w:t>deroga</w:t>
            </w:r>
            <w:r>
              <w:rPr>
                <w:color w:val="0B0B0B"/>
                <w:spacing w:val="18"/>
                <w:sz w:val="16"/>
              </w:rPr>
              <w:t> </w:t>
            </w:r>
            <w:r>
              <w:rPr>
                <w:color w:val="0B0B0B"/>
                <w:sz w:val="16"/>
              </w:rPr>
              <w:t>en</w:t>
            </w:r>
            <w:r>
              <w:rPr>
                <w:color w:val="0B0B0B"/>
                <w:spacing w:val="19"/>
                <w:sz w:val="16"/>
              </w:rPr>
              <w:t> </w:t>
            </w:r>
            <w:r>
              <w:rPr>
                <w:color w:val="0B0B0B"/>
                <w:sz w:val="16"/>
              </w:rPr>
              <w:t>virtud</w:t>
            </w:r>
            <w:r>
              <w:rPr>
                <w:color w:val="0B0B0B"/>
                <w:spacing w:val="18"/>
                <w:sz w:val="16"/>
              </w:rPr>
              <w:t> </w:t>
            </w:r>
            <w:r>
              <w:rPr>
                <w:color w:val="0B0B0B"/>
                <w:sz w:val="16"/>
              </w:rPr>
              <w:t>de</w:t>
            </w:r>
            <w:r>
              <w:rPr>
                <w:color w:val="0B0B0B"/>
                <w:spacing w:val="19"/>
                <w:sz w:val="16"/>
              </w:rPr>
              <w:t> </w:t>
            </w:r>
            <w:r>
              <w:rPr>
                <w:color w:val="0B0B0B"/>
                <w:sz w:val="16"/>
              </w:rPr>
              <w:t>que</w:t>
            </w:r>
            <w:r>
              <w:rPr>
                <w:color w:val="0B0B0B"/>
                <w:spacing w:val="19"/>
                <w:sz w:val="16"/>
              </w:rPr>
              <w:t> </w:t>
            </w:r>
            <w:r>
              <w:rPr>
                <w:color w:val="0B0B0B"/>
                <w:sz w:val="16"/>
              </w:rPr>
              <w:t>el</w:t>
            </w:r>
            <w:r>
              <w:rPr>
                <w:color w:val="0B0B0B"/>
                <w:spacing w:val="18"/>
                <w:sz w:val="16"/>
              </w:rPr>
              <w:t> </w:t>
            </w:r>
            <w:r>
              <w:rPr>
                <w:color w:val="0B0B0B"/>
                <w:sz w:val="16"/>
              </w:rPr>
              <w:t>contenido</w:t>
            </w:r>
            <w:r>
              <w:rPr>
                <w:color w:val="0B0B0B"/>
                <w:spacing w:val="18"/>
                <w:sz w:val="16"/>
              </w:rPr>
              <w:t> </w:t>
            </w:r>
            <w:r>
              <w:rPr>
                <w:color w:val="0B0B0B"/>
                <w:sz w:val="16"/>
              </w:rPr>
              <w:t>del</w:t>
            </w:r>
            <w:r>
              <w:rPr>
                <w:color w:val="0B0B0B"/>
                <w:spacing w:val="18"/>
                <w:sz w:val="16"/>
              </w:rPr>
              <w:t> </w:t>
            </w:r>
            <w:r>
              <w:rPr>
                <w:color w:val="0B0B0B"/>
                <w:sz w:val="16"/>
              </w:rPr>
              <w:t>criterio</w:t>
            </w:r>
            <w:r>
              <w:rPr>
                <w:color w:val="0B0B0B"/>
                <w:spacing w:val="18"/>
                <w:sz w:val="16"/>
              </w:rPr>
              <w:t> </w:t>
            </w:r>
            <w:r>
              <w:rPr>
                <w:color w:val="0B0B0B"/>
                <w:sz w:val="16"/>
              </w:rPr>
              <w:t>ha</w:t>
            </w:r>
            <w:r>
              <w:rPr>
                <w:color w:val="0B0B0B"/>
                <w:spacing w:val="18"/>
                <w:sz w:val="16"/>
              </w:rPr>
              <w:t> </w:t>
            </w:r>
            <w:r>
              <w:rPr>
                <w:color w:val="0B0B0B"/>
                <w:sz w:val="16"/>
              </w:rPr>
              <w:t>sido</w:t>
            </w:r>
            <w:r>
              <w:rPr>
                <w:color w:val="0B0B0B"/>
                <w:spacing w:val="19"/>
                <w:sz w:val="16"/>
              </w:rPr>
              <w:t> </w:t>
            </w:r>
            <w:r>
              <w:rPr>
                <w:color w:val="0B0B0B"/>
                <w:sz w:val="16"/>
              </w:rPr>
              <w:t>replicado</w:t>
            </w:r>
            <w:r>
              <w:rPr>
                <w:color w:val="0B0B0B"/>
                <w:spacing w:val="18"/>
                <w:sz w:val="16"/>
              </w:rPr>
              <w:t> </w:t>
            </w:r>
            <w:r>
              <w:rPr>
                <w:color w:val="0B0B0B"/>
                <w:sz w:val="16"/>
              </w:rPr>
              <w:t>en</w:t>
            </w:r>
            <w:r>
              <w:rPr>
                <w:color w:val="0B0B0B"/>
                <w:spacing w:val="18"/>
                <w:sz w:val="16"/>
              </w:rPr>
              <w:t> </w:t>
            </w:r>
            <w:r>
              <w:rPr>
                <w:color w:val="0B0B0B"/>
                <w:sz w:val="16"/>
              </w:rPr>
              <w:t>el</w:t>
            </w:r>
            <w:r>
              <w:rPr>
                <w:color w:val="0B0B0B"/>
                <w:spacing w:val="18"/>
                <w:sz w:val="16"/>
              </w:rPr>
              <w:t> </w:t>
            </w:r>
            <w:r>
              <w:rPr>
                <w:color w:val="0B0B0B"/>
                <w:sz w:val="16"/>
              </w:rPr>
              <w:t>artículo</w:t>
            </w:r>
            <w:r>
              <w:rPr>
                <w:color w:val="0B0B0B"/>
                <w:spacing w:val="18"/>
                <w:sz w:val="16"/>
              </w:rPr>
              <w:t> </w:t>
            </w:r>
            <w:r>
              <w:rPr>
                <w:color w:val="0B0B0B"/>
                <w:sz w:val="16"/>
              </w:rPr>
              <w:t>130</w:t>
            </w:r>
            <w:r>
              <w:rPr>
                <w:color w:val="0B0B0B"/>
                <w:spacing w:val="18"/>
                <w:sz w:val="16"/>
              </w:rPr>
              <w:t> </w:t>
            </w:r>
            <w:r>
              <w:rPr>
                <w:color w:val="0B0B0B"/>
                <w:sz w:val="16"/>
              </w:rPr>
              <w:t>del RLISR, publicado en el DOF el 8 de octubre de 2015.</w:t>
            </w:r>
          </w:p>
        </w:tc>
      </w:tr>
    </w:tbl>
    <w:p>
      <w:pPr>
        <w:pStyle w:val="BodyText"/>
        <w:spacing w:before="127"/>
        <w:ind w:left="0"/>
        <w:jc w:val="left"/>
      </w:pPr>
    </w:p>
    <w:p>
      <w:pPr>
        <w:pStyle w:val="Heading1"/>
        <w:ind w:left="325" w:firstLine="0"/>
        <w:jc w:val="center"/>
      </w:pPr>
      <w:r>
        <w:rPr>
          <w:color w:val="0B0B0B"/>
        </w:rPr>
        <w:t>25/ISR/NV</w:t>
      </w:r>
      <w:r>
        <w:rPr>
          <w:color w:val="0B0B0B"/>
          <w:spacing w:val="77"/>
        </w:rPr>
        <w:t> </w:t>
      </w:r>
      <w:r>
        <w:rPr>
          <w:color w:val="0B0B0B"/>
        </w:rPr>
        <w:t>Gastos</w:t>
      </w:r>
      <w:r>
        <w:rPr>
          <w:color w:val="0B0B0B"/>
          <w:spacing w:val="-9"/>
        </w:rPr>
        <w:t> </w:t>
      </w:r>
      <w:r>
        <w:rPr>
          <w:color w:val="0B0B0B"/>
        </w:rPr>
        <w:t>realizados</w:t>
      </w:r>
      <w:r>
        <w:rPr>
          <w:color w:val="0B0B0B"/>
          <w:spacing w:val="-10"/>
        </w:rPr>
        <w:t> </w:t>
      </w:r>
      <w:r>
        <w:rPr>
          <w:color w:val="0B0B0B"/>
        </w:rPr>
        <w:t>por</w:t>
      </w:r>
      <w:r>
        <w:rPr>
          <w:color w:val="0B0B0B"/>
          <w:spacing w:val="-9"/>
        </w:rPr>
        <w:t> </w:t>
      </w:r>
      <w:r>
        <w:rPr>
          <w:color w:val="0B0B0B"/>
        </w:rPr>
        <w:t>actividades</w:t>
      </w:r>
      <w:r>
        <w:rPr>
          <w:color w:val="0B0B0B"/>
          <w:spacing w:val="-9"/>
        </w:rPr>
        <w:t> </w:t>
      </w:r>
      <w:r>
        <w:rPr>
          <w:color w:val="0B0B0B"/>
        </w:rPr>
        <w:t>comerciales</w:t>
      </w:r>
      <w:r>
        <w:rPr>
          <w:color w:val="0B0B0B"/>
          <w:spacing w:val="-10"/>
        </w:rPr>
        <w:t> </w:t>
      </w:r>
      <w:r>
        <w:rPr>
          <w:color w:val="0B0B0B"/>
        </w:rPr>
        <w:t>contratadas</w:t>
      </w:r>
      <w:r>
        <w:rPr>
          <w:color w:val="0B0B0B"/>
          <w:spacing w:val="-10"/>
        </w:rPr>
        <w:t> </w:t>
      </w:r>
      <w:r>
        <w:rPr>
          <w:color w:val="0B0B0B"/>
        </w:rPr>
        <w:t>a</w:t>
      </w:r>
      <w:r>
        <w:rPr>
          <w:color w:val="0B0B0B"/>
          <w:spacing w:val="-9"/>
        </w:rPr>
        <w:t> </w:t>
      </w:r>
      <w:r>
        <w:rPr>
          <w:color w:val="0B0B0B"/>
        </w:rPr>
        <w:t>un</w:t>
      </w:r>
      <w:r>
        <w:rPr>
          <w:color w:val="0B0B0B"/>
          <w:spacing w:val="-9"/>
        </w:rPr>
        <w:t> </w:t>
      </w:r>
      <w:r>
        <w:rPr>
          <w:color w:val="0B0B0B"/>
          <w:spacing w:val="-2"/>
        </w:rPr>
        <w:t>Sindicato.</w:t>
      </w:r>
    </w:p>
    <w:p>
      <w:pPr>
        <w:pStyle w:val="BodyText"/>
        <w:spacing w:line="256" w:lineRule="auto" w:before="115"/>
        <w:ind w:right="260"/>
      </w:pPr>
      <w:r>
        <w:rPr>
          <w:color w:val="0B0B0B"/>
        </w:rPr>
        <w:t>El</w:t>
      </w:r>
      <w:r>
        <w:rPr>
          <w:color w:val="0B0B0B"/>
          <w:spacing w:val="-2"/>
        </w:rPr>
        <w:t> </w:t>
      </w:r>
      <w:r>
        <w:rPr>
          <w:color w:val="0B0B0B"/>
        </w:rPr>
        <w:t>artículo</w:t>
      </w:r>
      <w:r>
        <w:rPr>
          <w:color w:val="0B0B0B"/>
          <w:spacing w:val="-1"/>
        </w:rPr>
        <w:t> </w:t>
      </w:r>
      <w:r>
        <w:rPr>
          <w:color w:val="0B0B0B"/>
        </w:rPr>
        <w:t>378</w:t>
      </w:r>
      <w:r>
        <w:rPr>
          <w:color w:val="0B0B0B"/>
          <w:spacing w:val="-1"/>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Federal</w:t>
      </w:r>
      <w:r>
        <w:rPr>
          <w:color w:val="0B0B0B"/>
          <w:spacing w:val="-2"/>
        </w:rPr>
        <w:t> </w:t>
      </w:r>
      <w:r>
        <w:rPr>
          <w:color w:val="0B0B0B"/>
        </w:rPr>
        <w:t>del</w:t>
      </w:r>
      <w:r>
        <w:rPr>
          <w:color w:val="0B0B0B"/>
          <w:spacing w:val="-2"/>
        </w:rPr>
        <w:t> </w:t>
      </w:r>
      <w:r>
        <w:rPr>
          <w:color w:val="0B0B0B"/>
        </w:rPr>
        <w:t>Trabajo</w:t>
      </w:r>
      <w:r>
        <w:rPr>
          <w:color w:val="0B0B0B"/>
          <w:spacing w:val="-1"/>
        </w:rPr>
        <w:t> </w:t>
      </w:r>
      <w:r>
        <w:rPr>
          <w:color w:val="0B0B0B"/>
        </w:rPr>
        <w:t>señala</w:t>
      </w:r>
      <w:r>
        <w:rPr>
          <w:color w:val="0B0B0B"/>
          <w:spacing w:val="-2"/>
        </w:rPr>
        <w:t> </w:t>
      </w:r>
      <w:r>
        <w:rPr>
          <w:color w:val="0B0B0B"/>
        </w:rPr>
        <w:t>que</w:t>
      </w:r>
      <w:r>
        <w:rPr>
          <w:color w:val="0B0B0B"/>
          <w:spacing w:val="-2"/>
        </w:rPr>
        <w:t> </w:t>
      </w:r>
      <w:r>
        <w:rPr>
          <w:color w:val="0B0B0B"/>
        </w:rPr>
        <w:t>los</w:t>
      </w:r>
      <w:r>
        <w:rPr>
          <w:color w:val="0B0B0B"/>
          <w:spacing w:val="-1"/>
        </w:rPr>
        <w:t> </w:t>
      </w:r>
      <w:r>
        <w:rPr>
          <w:color w:val="0B0B0B"/>
        </w:rPr>
        <w:t>sindicatos</w:t>
      </w:r>
      <w:r>
        <w:rPr>
          <w:color w:val="0B0B0B"/>
          <w:spacing w:val="-3"/>
        </w:rPr>
        <w:t> </w:t>
      </w:r>
      <w:r>
        <w:rPr>
          <w:color w:val="0B0B0B"/>
        </w:rPr>
        <w:t>tienen</w:t>
      </w:r>
      <w:r>
        <w:rPr>
          <w:color w:val="0B0B0B"/>
          <w:spacing w:val="-2"/>
        </w:rPr>
        <w:t> </w:t>
      </w:r>
      <w:r>
        <w:rPr>
          <w:color w:val="0B0B0B"/>
        </w:rPr>
        <w:t>prohibido ejercer la profesión de comerciantes con ánimo de lucro.</w:t>
      </w:r>
    </w:p>
    <w:p>
      <w:pPr>
        <w:pStyle w:val="BodyText"/>
        <w:spacing w:line="256" w:lineRule="auto" w:before="99"/>
        <w:ind w:right="254"/>
      </w:pPr>
      <w:r>
        <w:rPr>
          <w:color w:val="0B0B0B"/>
        </w:rPr>
        <w:t>El artículo 3o., fracción I del Código de Comercio señala que se reputan en derecho comerciantes, las personas que teniendo capacidad legal para ejercer</w:t>
      </w:r>
      <w:r>
        <w:rPr>
          <w:color w:val="0B0B0B"/>
        </w:rPr>
        <w:t> el comercio hacen</w:t>
      </w:r>
      <w:r>
        <w:rPr>
          <w:color w:val="0B0B0B"/>
          <w:spacing w:val="-3"/>
        </w:rPr>
        <w:t> </w:t>
      </w:r>
      <w:r>
        <w:rPr>
          <w:color w:val="0B0B0B"/>
        </w:rPr>
        <w:t>de</w:t>
      </w:r>
      <w:r>
        <w:rPr>
          <w:color w:val="0B0B0B"/>
          <w:spacing w:val="-2"/>
        </w:rPr>
        <w:t> </w:t>
      </w:r>
      <w:r>
        <w:rPr>
          <w:color w:val="0B0B0B"/>
        </w:rPr>
        <w:t>él</w:t>
      </w:r>
      <w:r>
        <w:rPr>
          <w:color w:val="0B0B0B"/>
          <w:spacing w:val="-3"/>
        </w:rPr>
        <w:t> </w:t>
      </w:r>
      <w:r>
        <w:rPr>
          <w:color w:val="0B0B0B"/>
        </w:rPr>
        <w:t>su</w:t>
      </w:r>
      <w:r>
        <w:rPr>
          <w:color w:val="0B0B0B"/>
          <w:spacing w:val="-2"/>
        </w:rPr>
        <w:t> </w:t>
      </w:r>
      <w:r>
        <w:rPr>
          <w:color w:val="0B0B0B"/>
        </w:rPr>
        <w:t>ocupación</w:t>
      </w:r>
      <w:r>
        <w:rPr>
          <w:color w:val="0B0B0B"/>
          <w:spacing w:val="-2"/>
        </w:rPr>
        <w:t> </w:t>
      </w:r>
      <w:r>
        <w:rPr>
          <w:color w:val="0B0B0B"/>
        </w:rPr>
        <w:t>ordinaria;</w:t>
      </w:r>
      <w:r>
        <w:rPr>
          <w:color w:val="0B0B0B"/>
          <w:spacing w:val="-2"/>
        </w:rPr>
        <w:t> </w:t>
      </w:r>
      <w:r>
        <w:rPr>
          <w:color w:val="0B0B0B"/>
        </w:rPr>
        <w:t>y</w:t>
      </w:r>
      <w:r>
        <w:rPr>
          <w:color w:val="0B0B0B"/>
          <w:spacing w:val="-3"/>
        </w:rPr>
        <w:t> </w:t>
      </w:r>
      <w:r>
        <w:rPr>
          <w:color w:val="0B0B0B"/>
        </w:rPr>
        <w:t>el</w:t>
      </w:r>
      <w:r>
        <w:rPr>
          <w:color w:val="0B0B0B"/>
          <w:spacing w:val="-3"/>
        </w:rPr>
        <w:t> </w:t>
      </w:r>
      <w:r>
        <w:rPr>
          <w:color w:val="0B0B0B"/>
        </w:rPr>
        <w:t>artículo</w:t>
      </w:r>
      <w:r>
        <w:rPr>
          <w:color w:val="0B0B0B"/>
          <w:spacing w:val="-2"/>
        </w:rPr>
        <w:t> </w:t>
      </w:r>
      <w:r>
        <w:rPr>
          <w:color w:val="0B0B0B"/>
        </w:rPr>
        <w:t>75</w:t>
      </w:r>
      <w:r>
        <w:rPr>
          <w:color w:val="0B0B0B"/>
          <w:spacing w:val="-2"/>
        </w:rPr>
        <w:t> </w:t>
      </w:r>
      <w:r>
        <w:rPr>
          <w:color w:val="0B0B0B"/>
        </w:rPr>
        <w:t>de</w:t>
      </w:r>
      <w:r>
        <w:rPr>
          <w:color w:val="0B0B0B"/>
          <w:spacing w:val="-4"/>
        </w:rPr>
        <w:t> </w:t>
      </w:r>
      <w:r>
        <w:rPr>
          <w:color w:val="0B0B0B"/>
        </w:rPr>
        <w:t>dicho</w:t>
      </w:r>
      <w:r>
        <w:rPr>
          <w:color w:val="0B0B0B"/>
          <w:spacing w:val="-2"/>
        </w:rPr>
        <w:t> </w:t>
      </w:r>
      <w:r>
        <w:rPr>
          <w:color w:val="0B0B0B"/>
        </w:rPr>
        <w:t>ordenamiento</w:t>
      </w:r>
      <w:r>
        <w:rPr>
          <w:color w:val="0B0B0B"/>
          <w:spacing w:val="-2"/>
        </w:rPr>
        <w:t> </w:t>
      </w:r>
      <w:r>
        <w:rPr>
          <w:color w:val="0B0B0B"/>
        </w:rPr>
        <w:t>legal</w:t>
      </w:r>
      <w:r>
        <w:rPr>
          <w:color w:val="0B0B0B"/>
          <w:spacing w:val="-2"/>
        </w:rPr>
        <w:t> </w:t>
      </w:r>
      <w:r>
        <w:rPr>
          <w:color w:val="0B0B0B"/>
        </w:rPr>
        <w:t>enlista los que se consideran actos de comercio.</w:t>
      </w:r>
    </w:p>
    <w:p>
      <w:pPr>
        <w:pStyle w:val="BodyText"/>
        <w:spacing w:line="256" w:lineRule="auto" w:before="100"/>
        <w:ind w:right="259"/>
      </w:pPr>
      <w:r>
        <w:rPr>
          <w:color w:val="0B0B0B"/>
        </w:rPr>
        <w:t>En ese sentido, los sindicatos, que cumplen sus obligaciones fiscales conforme al Título III de la Ley del ISR, no tienen la capacidad legal para ejercer el comercio.</w:t>
      </w:r>
    </w:p>
    <w:p>
      <w:pPr>
        <w:pStyle w:val="BodyText"/>
        <w:spacing w:before="100"/>
      </w:pPr>
      <w:r>
        <w:rPr>
          <w:color w:val="0B0B0B"/>
        </w:rPr>
        <w:t>Por</w:t>
      </w:r>
      <w:r>
        <w:rPr>
          <w:color w:val="0B0B0B"/>
          <w:spacing w:val="-8"/>
        </w:rPr>
        <w:t> </w:t>
      </w:r>
      <w:r>
        <w:rPr>
          <w:color w:val="0B0B0B"/>
        </w:rPr>
        <w:t>lo</w:t>
      </w:r>
      <w:r>
        <w:rPr>
          <w:color w:val="0B0B0B"/>
          <w:spacing w:val="-8"/>
        </w:rPr>
        <w:t> </w:t>
      </w:r>
      <w:r>
        <w:rPr>
          <w:color w:val="0B0B0B"/>
        </w:rPr>
        <w:t>anterior,</w:t>
      </w:r>
      <w:r>
        <w:rPr>
          <w:color w:val="0B0B0B"/>
          <w:spacing w:val="-6"/>
        </w:rPr>
        <w:t> </w:t>
      </w:r>
      <w:r>
        <w:rPr>
          <w:color w:val="0B0B0B"/>
        </w:rPr>
        <w:t>se</w:t>
      </w:r>
      <w:r>
        <w:rPr>
          <w:color w:val="0B0B0B"/>
          <w:spacing w:val="-8"/>
        </w:rPr>
        <w:t> </w:t>
      </w:r>
      <w:r>
        <w:rPr>
          <w:color w:val="0B0B0B"/>
        </w:rPr>
        <w:t>considera</w:t>
      </w:r>
      <w:r>
        <w:rPr>
          <w:color w:val="0B0B0B"/>
          <w:spacing w:val="-7"/>
        </w:rPr>
        <w:t> </w:t>
      </w:r>
      <w:r>
        <w:rPr>
          <w:color w:val="0B0B0B"/>
        </w:rPr>
        <w:t>una</w:t>
      </w:r>
      <w:r>
        <w:rPr>
          <w:color w:val="0B0B0B"/>
          <w:spacing w:val="-8"/>
        </w:rPr>
        <w:t> </w:t>
      </w:r>
      <w:r>
        <w:rPr>
          <w:color w:val="0B0B0B"/>
        </w:rPr>
        <w:t>práctica</w:t>
      </w:r>
      <w:r>
        <w:rPr>
          <w:color w:val="0B0B0B"/>
          <w:spacing w:val="-8"/>
        </w:rPr>
        <w:t> </w:t>
      </w:r>
      <w:r>
        <w:rPr>
          <w:color w:val="0B0B0B"/>
        </w:rPr>
        <w:t>fiscal</w:t>
      </w:r>
      <w:r>
        <w:rPr>
          <w:color w:val="0B0B0B"/>
          <w:spacing w:val="-7"/>
        </w:rPr>
        <w:t> </w:t>
      </w:r>
      <w:r>
        <w:rPr>
          <w:color w:val="0B0B0B"/>
          <w:spacing w:val="-2"/>
        </w:rPr>
        <w:t>indebida:</w:t>
      </w:r>
    </w:p>
    <w:p>
      <w:pPr>
        <w:pStyle w:val="ListParagraph"/>
        <w:numPr>
          <w:ilvl w:val="0"/>
          <w:numId w:val="76"/>
        </w:numPr>
        <w:tabs>
          <w:tab w:pos="2664" w:val="left" w:leader="none"/>
        </w:tabs>
        <w:spacing w:line="256" w:lineRule="auto" w:before="115" w:after="0"/>
        <w:ind w:left="2664" w:right="257" w:hanging="504"/>
        <w:jc w:val="both"/>
        <w:rPr>
          <w:sz w:val="18"/>
        </w:rPr>
      </w:pPr>
      <w:r>
        <w:rPr>
          <w:color w:val="0B0B0B"/>
          <w:sz w:val="18"/>
        </w:rPr>
        <w:t>Deducir para efectos del ISR, con el comprobante fiscal otorgado por un Sindicato, derivado de la contratación que le efectúen, producto de alguna actividad comercial que lleven a cabo.</w:t>
      </w:r>
    </w:p>
    <w:p>
      <w:pPr>
        <w:pStyle w:val="ListParagraph"/>
        <w:numPr>
          <w:ilvl w:val="0"/>
          <w:numId w:val="76"/>
        </w:numPr>
        <w:tabs>
          <w:tab w:pos="2664" w:val="left" w:leader="none"/>
        </w:tabs>
        <w:spacing w:line="256" w:lineRule="auto" w:before="100" w:after="0"/>
        <w:ind w:left="2664" w:right="259" w:hanging="504"/>
        <w:jc w:val="both"/>
        <w:rPr>
          <w:sz w:val="18"/>
        </w:rPr>
      </w:pPr>
      <w:r>
        <w:rPr>
          <w:color w:val="0B0B0B"/>
          <w:sz w:val="18"/>
        </w:rPr>
        <w:t>Acreditar, para efectos del IVA, el impuesto contenido en el comprobante fiscal</w:t>
      </w:r>
      <w:r>
        <w:rPr>
          <w:color w:val="0B0B0B"/>
          <w:spacing w:val="40"/>
          <w:sz w:val="18"/>
        </w:rPr>
        <w:t> </w:t>
      </w:r>
      <w:r>
        <w:rPr>
          <w:color w:val="0B0B0B"/>
          <w:sz w:val="18"/>
        </w:rPr>
        <w:t>a que se refiere la fracción anterior.</w:t>
      </w:r>
    </w:p>
    <w:p>
      <w:pPr>
        <w:pStyle w:val="ListParagraph"/>
        <w:numPr>
          <w:ilvl w:val="0"/>
          <w:numId w:val="76"/>
        </w:numPr>
        <w:tabs>
          <w:tab w:pos="2662" w:val="left" w:leader="none"/>
          <w:tab w:pos="2664" w:val="left" w:leader="none"/>
        </w:tabs>
        <w:spacing w:line="256" w:lineRule="auto" w:before="99" w:after="0"/>
        <w:ind w:left="2664" w:right="259" w:hanging="504"/>
        <w:jc w:val="both"/>
        <w:rPr>
          <w:sz w:val="18"/>
        </w:rPr>
      </w:pPr>
      <w:r>
        <w:rPr>
          <w:color w:val="0B0B0B"/>
          <w:sz w:val="18"/>
        </w:rPr>
        <w:t>Asesorar, aconsejar, prestar servicios o participar en la realización o la implementación de cualquiera de las prácticas anteriores.</w:t>
      </w:r>
    </w:p>
    <w:p>
      <w:pPr>
        <w:pStyle w:val="BodyText"/>
        <w:spacing w:line="256" w:lineRule="auto" w:before="101"/>
        <w:ind w:right="258"/>
      </w:pPr>
      <w:r>
        <w:rPr>
          <w:color w:val="0B0B0B"/>
        </w:rPr>
        <w:t>Lo precisado en las fracciones anteriores, no resulta aplicable cuando el sindicato, por los actos de comercio que realice, cumpla con sus obligaciones fiscales en términos del artículo 80, sexto párrafo de la Ley del ISR.</w:t>
      </w:r>
    </w:p>
    <w:p>
      <w:pPr>
        <w:pStyle w:val="BodyText"/>
        <w:spacing w:before="9"/>
        <w:ind w:left="0"/>
        <w:jc w:val="left"/>
        <w:rPr>
          <w:sz w:val="7"/>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22" w:hRule="atLeast"/>
        </w:trPr>
        <w:tc>
          <w:tcPr>
            <w:tcW w:w="2778" w:type="dxa"/>
            <w:shd w:val="clear" w:color="auto" w:fill="BDBDBD"/>
          </w:tcPr>
          <w:p>
            <w:pPr>
              <w:pStyle w:val="TableParagraph"/>
              <w:spacing w:before="28"/>
              <w:ind w:left="12"/>
              <w:jc w:val="center"/>
              <w:rPr>
                <w:rFonts w:ascii="Arial"/>
                <w:b/>
                <w:sz w:val="16"/>
              </w:rPr>
            </w:pPr>
            <w:r>
              <w:rPr>
                <w:rFonts w:ascii="Arial"/>
                <w:b/>
                <w:color w:val="0B0B0B"/>
                <w:spacing w:val="-2"/>
                <w:sz w:val="16"/>
              </w:rPr>
              <w:t>Origen</w:t>
            </w:r>
          </w:p>
        </w:tc>
        <w:tc>
          <w:tcPr>
            <w:tcW w:w="4126" w:type="dxa"/>
            <w:shd w:val="clear" w:color="auto" w:fill="BDBDBD"/>
          </w:tcPr>
          <w:p>
            <w:pPr>
              <w:pStyle w:val="TableParagraph"/>
              <w:spacing w:before="28"/>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2" w:hRule="atLeast"/>
        </w:trPr>
        <w:tc>
          <w:tcPr>
            <w:tcW w:w="2778" w:type="dxa"/>
          </w:tcPr>
          <w:p>
            <w:pPr>
              <w:pStyle w:val="TableParagraph"/>
              <w:spacing w:line="288" w:lineRule="auto" w:before="28"/>
              <w:ind w:right="24"/>
              <w:rPr>
                <w:sz w:val="16"/>
              </w:rPr>
            </w:pPr>
            <w:r>
              <w:rPr>
                <w:color w:val="0B0B0B"/>
                <w:sz w:val="16"/>
              </w:rPr>
              <w:t>Quinta</w:t>
            </w:r>
            <w:r>
              <w:rPr>
                <w:color w:val="0B0B0B"/>
                <w:spacing w:val="-12"/>
                <w:sz w:val="16"/>
              </w:rPr>
              <w:t> </w:t>
            </w:r>
            <w:r>
              <w:rPr>
                <w:color w:val="0B0B0B"/>
                <w:sz w:val="16"/>
              </w:rPr>
              <w:t>Resolución</w:t>
            </w:r>
            <w:r>
              <w:rPr>
                <w:color w:val="0B0B0B"/>
                <w:spacing w:val="-11"/>
                <w:sz w:val="16"/>
              </w:rPr>
              <w:t> </w:t>
            </w:r>
            <w:r>
              <w:rPr>
                <w:color w:val="0B0B0B"/>
                <w:sz w:val="16"/>
              </w:rPr>
              <w:t>de</w:t>
            </w:r>
            <w:r>
              <w:rPr>
                <w:color w:val="0B0B0B"/>
                <w:spacing w:val="-11"/>
                <w:sz w:val="16"/>
              </w:rPr>
              <w:t> </w:t>
            </w:r>
            <w:r>
              <w:rPr>
                <w:color w:val="0B0B0B"/>
                <w:sz w:val="16"/>
              </w:rPr>
              <w:t>Modificaciones a la RMF para 2014</w:t>
            </w:r>
          </w:p>
        </w:tc>
        <w:tc>
          <w:tcPr>
            <w:tcW w:w="4126" w:type="dxa"/>
          </w:tcPr>
          <w:p>
            <w:pPr>
              <w:pStyle w:val="TableParagraph"/>
              <w:spacing w:line="288" w:lineRule="auto" w:before="28"/>
              <w:ind w:right="72"/>
              <w:rPr>
                <w:sz w:val="16"/>
              </w:rPr>
            </w:pPr>
            <w:r>
              <w:rPr>
                <w:color w:val="0B0B0B"/>
                <w:sz w:val="16"/>
              </w:rPr>
              <w:t>Publicada en el DOF el 16 de octubre de 2014, Anexo</w:t>
            </w:r>
            <w:r>
              <w:rPr>
                <w:color w:val="0B0B0B"/>
                <w:spacing w:val="40"/>
                <w:sz w:val="16"/>
              </w:rPr>
              <w:t> </w:t>
            </w:r>
            <w:r>
              <w:rPr>
                <w:color w:val="0B0B0B"/>
                <w:sz w:val="16"/>
              </w:rPr>
              <w:t>3, publicado en el DOF el 17 de octubre de 2014.</w:t>
            </w:r>
          </w:p>
        </w:tc>
      </w:tr>
    </w:tbl>
    <w:p>
      <w:pPr>
        <w:pStyle w:val="TableParagraph"/>
        <w:spacing w:after="0" w:line="288" w:lineRule="auto"/>
        <w:rPr>
          <w:sz w:val="16"/>
        </w:rPr>
        <w:sectPr>
          <w:headerReference w:type="default" r:id="rId74"/>
          <w:pgSz w:w="12240" w:h="15840"/>
          <w:pgMar w:header="690" w:footer="0" w:top="1040" w:bottom="280" w:left="1440" w:right="1440"/>
        </w:sectPr>
      </w:pPr>
    </w:p>
    <w:p>
      <w:pPr>
        <w:pStyle w:val="BodyText"/>
        <w:spacing w:before="4"/>
        <w:ind w:left="0"/>
        <w:jc w:val="left"/>
        <w:rPr>
          <w:sz w:val="9"/>
        </w:rPr>
      </w:pPr>
    </w:p>
    <w:tbl>
      <w:tblPr>
        <w:tblW w:w="0" w:type="auto"/>
        <w:jc w:val="left"/>
        <w:tblInd w:w="2156"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78"/>
        <w:gridCol w:w="4126"/>
      </w:tblGrid>
      <w:tr>
        <w:trPr>
          <w:trHeight w:val="318" w:hRule="atLeast"/>
        </w:trPr>
        <w:tc>
          <w:tcPr>
            <w:tcW w:w="2778" w:type="dxa"/>
            <w:shd w:val="clear" w:color="auto" w:fill="BDBDBD"/>
          </w:tcPr>
          <w:p>
            <w:pPr>
              <w:pStyle w:val="TableParagraph"/>
              <w:spacing w:before="0"/>
              <w:ind w:left="0"/>
              <w:rPr>
                <w:rFonts w:ascii="Times New Roman"/>
                <w:sz w:val="16"/>
              </w:rPr>
            </w:pPr>
          </w:p>
        </w:tc>
        <w:tc>
          <w:tcPr>
            <w:tcW w:w="4126" w:type="dxa"/>
            <w:shd w:val="clear" w:color="auto" w:fill="BDBDBD"/>
          </w:tcPr>
          <w:p>
            <w:pPr>
              <w:pStyle w:val="TableParagraph"/>
              <w:spacing w:before="25"/>
              <w:ind w:left="11"/>
              <w:jc w:val="center"/>
              <w:rPr>
                <w:rFonts w:ascii="Arial" w:hAnsi="Arial"/>
                <w:b/>
                <w:sz w:val="16"/>
              </w:rPr>
            </w:pPr>
            <w:r>
              <w:rPr>
                <w:rFonts w:ascii="Arial" w:hAnsi="Arial"/>
                <w:b/>
                <w:color w:val="0B0B0B"/>
                <w:spacing w:val="-2"/>
                <w:sz w:val="16"/>
              </w:rPr>
              <w:t>Derogación</w:t>
            </w:r>
          </w:p>
        </w:tc>
      </w:tr>
      <w:tr>
        <w:trPr>
          <w:trHeight w:val="751" w:hRule="atLeast"/>
        </w:trPr>
        <w:tc>
          <w:tcPr>
            <w:tcW w:w="2778" w:type="dxa"/>
          </w:tcPr>
          <w:p>
            <w:pPr>
              <w:pStyle w:val="TableParagraph"/>
              <w:tabs>
                <w:tab w:pos="1144" w:val="left" w:leader="none"/>
                <w:tab w:pos="2526" w:val="left" w:leader="none"/>
              </w:tabs>
              <w:spacing w:line="285" w:lineRule="auto" w:before="22"/>
              <w:ind w:right="56"/>
              <w:rPr>
                <w:sz w:val="16"/>
              </w:rPr>
            </w:pP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2018</w:t>
            </w:r>
          </w:p>
        </w:tc>
        <w:tc>
          <w:tcPr>
            <w:tcW w:w="4126" w:type="dxa"/>
          </w:tcPr>
          <w:p>
            <w:pPr>
              <w:pStyle w:val="TableParagraph"/>
              <w:spacing w:line="283" w:lineRule="auto" w:before="22"/>
              <w:ind w:right="57"/>
              <w:jc w:val="both"/>
              <w:rPr>
                <w:sz w:val="16"/>
              </w:rPr>
            </w:pPr>
            <w:r>
              <w:rPr>
                <w:color w:val="0B0B0B"/>
                <w:sz w:val="16"/>
              </w:rPr>
              <w:t>Publicada en el DOF el 30 de noviembre de 2018, Anexo 3, publicado en el DOF el mismo 30 de noviembre de 2018.</w:t>
            </w:r>
          </w:p>
        </w:tc>
      </w:tr>
      <w:tr>
        <w:trPr>
          <w:trHeight w:val="317" w:hRule="atLeast"/>
        </w:trPr>
        <w:tc>
          <w:tcPr>
            <w:tcW w:w="6904" w:type="dxa"/>
            <w:gridSpan w:val="2"/>
            <w:shd w:val="clear" w:color="auto" w:fill="BDBDBD"/>
          </w:tcPr>
          <w:p>
            <w:pPr>
              <w:pStyle w:val="TableParagraph"/>
              <w:ind w:left="12"/>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34" w:hRule="atLeast"/>
        </w:trPr>
        <w:tc>
          <w:tcPr>
            <w:tcW w:w="6904" w:type="dxa"/>
            <w:gridSpan w:val="2"/>
          </w:tcPr>
          <w:p>
            <w:pPr>
              <w:pStyle w:val="TableParagraph"/>
              <w:spacing w:line="285" w:lineRule="auto"/>
              <w:ind w:right="24"/>
              <w:rPr>
                <w:sz w:val="16"/>
              </w:rPr>
            </w:pPr>
            <w:r>
              <w:rPr>
                <w:color w:val="0B0B0B"/>
                <w:sz w:val="16"/>
              </w:rPr>
              <w:t>Se</w:t>
            </w:r>
            <w:r>
              <w:rPr>
                <w:color w:val="0B0B0B"/>
                <w:spacing w:val="-2"/>
                <w:sz w:val="16"/>
              </w:rPr>
              <w:t> </w:t>
            </w:r>
            <w:r>
              <w:rPr>
                <w:color w:val="0B0B0B"/>
                <w:sz w:val="16"/>
              </w:rPr>
              <w:t>deroga</w:t>
            </w:r>
            <w:r>
              <w:rPr>
                <w:color w:val="0B0B0B"/>
                <w:spacing w:val="-2"/>
                <w:sz w:val="16"/>
              </w:rPr>
              <w:t> </w:t>
            </w:r>
            <w:r>
              <w:rPr>
                <w:color w:val="0B0B0B"/>
                <w:sz w:val="16"/>
              </w:rPr>
              <w:t>en</w:t>
            </w:r>
            <w:r>
              <w:rPr>
                <w:color w:val="0B0B0B"/>
                <w:spacing w:val="-2"/>
                <w:sz w:val="16"/>
              </w:rPr>
              <w:t> </w:t>
            </w:r>
            <w:r>
              <w:rPr>
                <w:color w:val="0B0B0B"/>
                <w:sz w:val="16"/>
              </w:rPr>
              <w:t>virtud</w:t>
            </w:r>
            <w:r>
              <w:rPr>
                <w:color w:val="0B0B0B"/>
                <w:spacing w:val="-2"/>
                <w:sz w:val="16"/>
              </w:rPr>
              <w:t> </w:t>
            </w:r>
            <w:r>
              <w:rPr>
                <w:color w:val="0B0B0B"/>
                <w:sz w:val="16"/>
              </w:rPr>
              <w:t>de</w:t>
            </w:r>
            <w:r>
              <w:rPr>
                <w:color w:val="0B0B0B"/>
                <w:spacing w:val="-2"/>
                <w:sz w:val="16"/>
              </w:rPr>
              <w:t> </w:t>
            </w:r>
            <w:r>
              <w:rPr>
                <w:color w:val="0B0B0B"/>
                <w:sz w:val="16"/>
              </w:rPr>
              <w:t>que</w:t>
            </w:r>
            <w:r>
              <w:rPr>
                <w:color w:val="0B0B0B"/>
                <w:spacing w:val="-2"/>
                <w:sz w:val="16"/>
              </w:rPr>
              <w:t> </w:t>
            </w:r>
            <w:r>
              <w:rPr>
                <w:color w:val="0B0B0B"/>
                <w:sz w:val="16"/>
              </w:rPr>
              <w:t>han</w:t>
            </w:r>
            <w:r>
              <w:rPr>
                <w:color w:val="0B0B0B"/>
                <w:spacing w:val="-2"/>
                <w:sz w:val="16"/>
              </w:rPr>
              <w:t> </w:t>
            </w:r>
            <w:r>
              <w:rPr>
                <w:color w:val="0B0B0B"/>
                <w:sz w:val="16"/>
              </w:rPr>
              <w:t>cambiado</w:t>
            </w:r>
            <w:r>
              <w:rPr>
                <w:color w:val="0B0B0B"/>
                <w:spacing w:val="-2"/>
                <w:sz w:val="16"/>
              </w:rPr>
              <w:t> </w:t>
            </w:r>
            <w:r>
              <w:rPr>
                <w:color w:val="0B0B0B"/>
                <w:sz w:val="16"/>
              </w:rPr>
              <w:t>las</w:t>
            </w:r>
            <w:r>
              <w:rPr>
                <w:color w:val="0B0B0B"/>
                <w:spacing w:val="-2"/>
                <w:sz w:val="16"/>
              </w:rPr>
              <w:t> </w:t>
            </w:r>
            <w:r>
              <w:rPr>
                <w:color w:val="0B0B0B"/>
                <w:sz w:val="16"/>
              </w:rPr>
              <w:t>condiciones jurídicas</w:t>
            </w:r>
            <w:r>
              <w:rPr>
                <w:color w:val="0B0B0B"/>
                <w:spacing w:val="-2"/>
                <w:sz w:val="16"/>
              </w:rPr>
              <w:t> </w:t>
            </w:r>
            <w:r>
              <w:rPr>
                <w:color w:val="0B0B0B"/>
                <w:sz w:val="16"/>
              </w:rPr>
              <w:t>y</w:t>
            </w:r>
            <w:r>
              <w:rPr>
                <w:color w:val="0B0B0B"/>
                <w:spacing w:val="-4"/>
                <w:sz w:val="16"/>
              </w:rPr>
              <w:t> </w:t>
            </w:r>
            <w:r>
              <w:rPr>
                <w:color w:val="0B0B0B"/>
                <w:sz w:val="16"/>
              </w:rPr>
              <w:t>de</w:t>
            </w:r>
            <w:r>
              <w:rPr>
                <w:color w:val="0B0B0B"/>
                <w:spacing w:val="-2"/>
                <w:sz w:val="16"/>
              </w:rPr>
              <w:t> </w:t>
            </w:r>
            <w:r>
              <w:rPr>
                <w:color w:val="0B0B0B"/>
                <w:sz w:val="16"/>
              </w:rPr>
              <w:t>hecho,</w:t>
            </w:r>
            <w:r>
              <w:rPr>
                <w:color w:val="0B0B0B"/>
                <w:spacing w:val="-2"/>
                <w:sz w:val="16"/>
              </w:rPr>
              <w:t> </w:t>
            </w:r>
            <w:r>
              <w:rPr>
                <w:color w:val="0B0B0B"/>
                <w:sz w:val="16"/>
              </w:rPr>
              <w:t>para</w:t>
            </w:r>
            <w:r>
              <w:rPr>
                <w:color w:val="0B0B0B"/>
                <w:spacing w:val="-2"/>
                <w:sz w:val="16"/>
              </w:rPr>
              <w:t> </w:t>
            </w:r>
            <w:r>
              <w:rPr>
                <w:color w:val="0B0B0B"/>
                <w:sz w:val="16"/>
              </w:rPr>
              <w:t>el</w:t>
            </w:r>
            <w:r>
              <w:rPr>
                <w:color w:val="0B0B0B"/>
                <w:spacing w:val="-2"/>
                <w:sz w:val="16"/>
              </w:rPr>
              <w:t> </w:t>
            </w:r>
            <w:r>
              <w:rPr>
                <w:color w:val="0B0B0B"/>
                <w:sz w:val="16"/>
              </w:rPr>
              <w:t>que</w:t>
            </w:r>
            <w:r>
              <w:rPr>
                <w:color w:val="0B0B0B"/>
                <w:spacing w:val="-2"/>
                <w:sz w:val="16"/>
              </w:rPr>
              <w:t> </w:t>
            </w:r>
            <w:r>
              <w:rPr>
                <w:color w:val="0B0B0B"/>
                <w:sz w:val="16"/>
              </w:rPr>
              <w:t>fue </w:t>
            </w:r>
            <w:r>
              <w:rPr>
                <w:color w:val="0B0B0B"/>
                <w:spacing w:val="-2"/>
                <w:sz w:val="16"/>
              </w:rPr>
              <w:t>creado.</w:t>
            </w:r>
          </w:p>
        </w:tc>
      </w:tr>
    </w:tbl>
    <w:p>
      <w:pPr>
        <w:pStyle w:val="BodyText"/>
        <w:spacing w:before="119"/>
        <w:ind w:left="0"/>
        <w:jc w:val="left"/>
      </w:pPr>
    </w:p>
    <w:p>
      <w:pPr>
        <w:pStyle w:val="Heading1"/>
        <w:numPr>
          <w:ilvl w:val="1"/>
          <w:numId w:val="1"/>
        </w:numPr>
        <w:tabs>
          <w:tab w:pos="1122" w:val="left" w:leader="none"/>
          <w:tab w:pos="1137" w:val="left" w:leader="none"/>
        </w:tabs>
        <w:spacing w:line="369" w:lineRule="auto" w:before="0" w:after="0"/>
        <w:ind w:left="1137" w:right="1751" w:hanging="447"/>
        <w:jc w:val="left"/>
      </w:pPr>
      <w:r>
        <w:rPr>
          <w:color w:val="0B0B0B"/>
        </w:rPr>
        <w:t>Criterio</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Ley</w:t>
      </w:r>
      <w:r>
        <w:rPr>
          <w:color w:val="0B0B0B"/>
          <w:spacing w:val="-5"/>
        </w:rPr>
        <w:t> </w:t>
      </w:r>
      <w:r>
        <w:rPr>
          <w:color w:val="0B0B0B"/>
        </w:rPr>
        <w:t>de</w:t>
      </w:r>
      <w:r>
        <w:rPr>
          <w:color w:val="0B0B0B"/>
          <w:spacing w:val="-5"/>
        </w:rPr>
        <w:t> </w:t>
      </w:r>
      <w:r>
        <w:rPr>
          <w:color w:val="0B0B0B"/>
        </w:rPr>
        <w:t>los</w:t>
      </w:r>
      <w:r>
        <w:rPr>
          <w:color w:val="0B0B0B"/>
          <w:spacing w:val="-3"/>
        </w:rPr>
        <w:t> </w:t>
      </w:r>
      <w:r>
        <w:rPr>
          <w:color w:val="0B0B0B"/>
        </w:rPr>
        <w:t>Impuestos</w:t>
      </w:r>
      <w:r>
        <w:rPr>
          <w:color w:val="0B0B0B"/>
          <w:spacing w:val="-3"/>
        </w:rPr>
        <w:t> </w:t>
      </w:r>
      <w:r>
        <w:rPr>
          <w:color w:val="0B0B0B"/>
        </w:rPr>
        <w:t>Generales</w:t>
      </w:r>
      <w:r>
        <w:rPr>
          <w:color w:val="0B0B0B"/>
          <w:spacing w:val="-3"/>
        </w:rPr>
        <w:t> </w:t>
      </w:r>
      <w:r>
        <w:rPr>
          <w:color w:val="0B0B0B"/>
        </w:rPr>
        <w:t>de</w:t>
      </w:r>
      <w:r>
        <w:rPr>
          <w:color w:val="0B0B0B"/>
          <w:spacing w:val="-3"/>
        </w:rPr>
        <w:t> </w:t>
      </w:r>
      <w:r>
        <w:rPr>
          <w:color w:val="0B0B0B"/>
        </w:rPr>
        <w:t>Importación</w:t>
      </w:r>
      <w:r>
        <w:rPr>
          <w:color w:val="0B0B0B"/>
          <w:spacing w:val="-3"/>
        </w:rPr>
        <w:t> </w:t>
      </w:r>
      <w:r>
        <w:rPr>
          <w:color w:val="0B0B0B"/>
        </w:rPr>
        <w:t>y</w:t>
      </w:r>
      <w:r>
        <w:rPr>
          <w:color w:val="0B0B0B"/>
          <w:spacing w:val="-5"/>
        </w:rPr>
        <w:t> </w:t>
      </w:r>
      <w:r>
        <w:rPr>
          <w:color w:val="0B0B0B"/>
        </w:rPr>
        <w:t>Exportación 1/LIGIE/NV</w:t>
      </w:r>
      <w:r>
        <w:rPr>
          <w:color w:val="0B0B0B"/>
          <w:spacing w:val="40"/>
        </w:rPr>
        <w:t> </w:t>
      </w:r>
      <w:r>
        <w:rPr>
          <w:color w:val="0B0B0B"/>
        </w:rPr>
        <w:t>Regla General 2 a). Importación de mercancía sin montar.</w:t>
      </w:r>
    </w:p>
    <w:p>
      <w:pPr>
        <w:pStyle w:val="BodyText"/>
        <w:spacing w:line="252" w:lineRule="auto" w:before="0"/>
        <w:ind w:right="257"/>
      </w:pPr>
      <w:r>
        <w:rPr>
          <w:color w:val="0B0B0B"/>
        </w:rPr>
        <w:t>Se han detectado prácticas fiscales indebidas derivadas de la inobservancia de la Regla General 2 a), contenida en el artículo 2o., fracción I de la Ley de los Impuestos Generales de Importación y de Exportación. Esto se debe a que la importación de mercancías</w:t>
      </w:r>
      <w:r>
        <w:rPr>
          <w:color w:val="0B0B0B"/>
        </w:rPr>
        <w:t> desmontadas</w:t>
      </w:r>
      <w:r>
        <w:rPr>
          <w:color w:val="0B0B0B"/>
        </w:rPr>
        <w:t> o sin montar, ha llevado a que diversas empresas ensambladoras evadan el pago de las contribuciones,</w:t>
      </w:r>
      <w:r>
        <w:rPr>
          <w:color w:val="0B0B0B"/>
        </w:rPr>
        <w:t> el cumplimiento de las regulaciones y restricciones no arancelarias e incluso normas</w:t>
      </w:r>
      <w:r>
        <w:rPr>
          <w:color w:val="0B0B0B"/>
        </w:rPr>
        <w:t> oficiales, así como la obtención indebida de beneficios arancelarios derivados de los Tratados de Libre Comercio y Acuerdos Comerciales de los que México forma parte.</w:t>
      </w:r>
    </w:p>
    <w:p>
      <w:pPr>
        <w:pStyle w:val="BodyText"/>
        <w:spacing w:line="252" w:lineRule="auto" w:before="96"/>
        <w:ind w:right="257"/>
      </w:pPr>
      <w:r>
        <w:rPr>
          <w:color w:val="0B0B0B"/>
        </w:rPr>
        <w:t>En este tenor y con el fin de evitar dichas prácticas es necesario señalar</w:t>
      </w:r>
      <w:r>
        <w:rPr>
          <w:color w:val="0B0B0B"/>
        </w:rPr>
        <w:t> que para efectos de la Regla General 2 a), contenida en el artículo 2o., fracción I de la Ley de</w:t>
      </w:r>
      <w:r>
        <w:rPr>
          <w:color w:val="0B0B0B"/>
          <w:spacing w:val="40"/>
        </w:rPr>
        <w:t> </w:t>
      </w:r>
      <w:r>
        <w:rPr>
          <w:color w:val="0B0B0B"/>
        </w:rPr>
        <w:t>los Impuestos Generales de Importación y de Exportación, la mercancía que se</w:t>
      </w:r>
      <w:r>
        <w:rPr>
          <w:color w:val="0B0B0B"/>
          <w:spacing w:val="40"/>
        </w:rPr>
        <w:t> </w:t>
      </w:r>
      <w:r>
        <w:rPr>
          <w:color w:val="0B0B0B"/>
        </w:rPr>
        <w:t>importa a territorio nacional desensamblada, incluso cuando esta no se encuentre totalmente completa pero ya presente las características esenciales de artículo completo o terminado, se clasifica en la fracción arancelaria que le corresponde al artículo,</w:t>
      </w:r>
      <w:r>
        <w:rPr>
          <w:color w:val="0B0B0B"/>
          <w:spacing w:val="-2"/>
        </w:rPr>
        <w:t> </w:t>
      </w:r>
      <w:r>
        <w:rPr>
          <w:color w:val="0B0B0B"/>
        </w:rPr>
        <w:t>producto,</w:t>
      </w:r>
      <w:r>
        <w:rPr>
          <w:color w:val="0B0B0B"/>
          <w:spacing w:val="-2"/>
        </w:rPr>
        <w:t> </w:t>
      </w:r>
      <w:r>
        <w:rPr>
          <w:color w:val="0B0B0B"/>
        </w:rPr>
        <w:t>maquinaria</w:t>
      </w:r>
      <w:r>
        <w:rPr>
          <w:color w:val="0B0B0B"/>
          <w:spacing w:val="-1"/>
        </w:rPr>
        <w:t> </w:t>
      </w:r>
      <w:r>
        <w:rPr>
          <w:color w:val="0B0B0B"/>
        </w:rPr>
        <w:t>o</w:t>
      </w:r>
      <w:r>
        <w:rPr>
          <w:color w:val="0B0B0B"/>
          <w:spacing w:val="-1"/>
        </w:rPr>
        <w:t> </w:t>
      </w:r>
      <w:r>
        <w:rPr>
          <w:color w:val="0B0B0B"/>
        </w:rPr>
        <w:t>equipo,</w:t>
      </w:r>
      <w:r>
        <w:rPr>
          <w:color w:val="0B0B0B"/>
          <w:spacing w:val="-1"/>
        </w:rPr>
        <w:t> </w:t>
      </w:r>
      <w:r>
        <w:rPr>
          <w:color w:val="0B0B0B"/>
        </w:rPr>
        <w:t>“completo o</w:t>
      </w:r>
      <w:r>
        <w:rPr>
          <w:color w:val="0B0B0B"/>
          <w:spacing w:val="-1"/>
        </w:rPr>
        <w:t> </w:t>
      </w:r>
      <w:r>
        <w:rPr>
          <w:color w:val="0B0B0B"/>
        </w:rPr>
        <w:t>terminado”.</w:t>
      </w:r>
      <w:r>
        <w:rPr>
          <w:color w:val="0B0B0B"/>
          <w:spacing w:val="-1"/>
        </w:rPr>
        <w:t> </w:t>
      </w:r>
      <w:r>
        <w:rPr>
          <w:color w:val="0B0B0B"/>
        </w:rPr>
        <w:t>Por</w:t>
      </w:r>
      <w:r>
        <w:rPr>
          <w:color w:val="0B0B0B"/>
          <w:spacing w:val="-1"/>
        </w:rPr>
        <w:t> </w:t>
      </w:r>
      <w:r>
        <w:rPr>
          <w:color w:val="0B0B0B"/>
        </w:rPr>
        <w:t>tanto,</w:t>
      </w:r>
      <w:r>
        <w:rPr>
          <w:color w:val="0B0B0B"/>
          <w:spacing w:val="-1"/>
        </w:rPr>
        <w:t> </w:t>
      </w:r>
      <w:r>
        <w:rPr>
          <w:color w:val="0B0B0B"/>
        </w:rPr>
        <w:t>es</w:t>
      </w:r>
      <w:r>
        <w:rPr>
          <w:color w:val="0B0B0B"/>
          <w:spacing w:val="-1"/>
        </w:rPr>
        <w:t> </w:t>
      </w:r>
      <w:r>
        <w:rPr>
          <w:color w:val="0B0B0B"/>
        </w:rPr>
        <w:t>indebido clasificar individualmente a los elementos que constituyen dicha mercancía.</w:t>
      </w:r>
    </w:p>
    <w:p>
      <w:pPr>
        <w:pStyle w:val="BodyText"/>
        <w:spacing w:before="100"/>
      </w:pPr>
      <w:r>
        <w:rPr>
          <w:color w:val="0B0B0B"/>
        </w:rPr>
        <w:t>A</w:t>
      </w:r>
      <w:r>
        <w:rPr>
          <w:color w:val="0B0B0B"/>
          <w:spacing w:val="-6"/>
        </w:rPr>
        <w:t> </w:t>
      </w:r>
      <w:r>
        <w:rPr>
          <w:color w:val="0B0B0B"/>
        </w:rPr>
        <w:t>manera</w:t>
      </w:r>
      <w:r>
        <w:rPr>
          <w:color w:val="0B0B0B"/>
          <w:spacing w:val="-6"/>
        </w:rPr>
        <w:t> </w:t>
      </w:r>
      <w:r>
        <w:rPr>
          <w:color w:val="0B0B0B"/>
        </w:rPr>
        <w:t>de</w:t>
      </w:r>
      <w:r>
        <w:rPr>
          <w:color w:val="0B0B0B"/>
          <w:spacing w:val="-5"/>
        </w:rPr>
        <w:t> </w:t>
      </w:r>
      <w:r>
        <w:rPr>
          <w:color w:val="0B0B0B"/>
        </w:rPr>
        <w:t>ejemplo,</w:t>
      </w:r>
      <w:r>
        <w:rPr>
          <w:color w:val="0B0B0B"/>
          <w:spacing w:val="-6"/>
        </w:rPr>
        <w:t> </w:t>
      </w:r>
      <w:r>
        <w:rPr>
          <w:color w:val="0B0B0B"/>
        </w:rPr>
        <w:t>se</w:t>
      </w:r>
      <w:r>
        <w:rPr>
          <w:color w:val="0B0B0B"/>
          <w:spacing w:val="-6"/>
        </w:rPr>
        <w:t> </w:t>
      </w:r>
      <w:r>
        <w:rPr>
          <w:color w:val="0B0B0B"/>
        </w:rPr>
        <w:t>citan</w:t>
      </w:r>
      <w:r>
        <w:rPr>
          <w:color w:val="0B0B0B"/>
          <w:spacing w:val="-5"/>
        </w:rPr>
        <w:t> </w:t>
      </w:r>
      <w:r>
        <w:rPr>
          <w:color w:val="0B0B0B"/>
        </w:rPr>
        <w:t>los</w:t>
      </w:r>
      <w:r>
        <w:rPr>
          <w:color w:val="0B0B0B"/>
          <w:spacing w:val="-6"/>
        </w:rPr>
        <w:t> </w:t>
      </w:r>
      <w:r>
        <w:rPr>
          <w:color w:val="0B0B0B"/>
          <w:spacing w:val="-2"/>
        </w:rPr>
        <w:t>siguientes:</w:t>
      </w:r>
    </w:p>
    <w:p>
      <w:pPr>
        <w:pStyle w:val="ListParagraph"/>
        <w:numPr>
          <w:ilvl w:val="2"/>
          <w:numId w:val="1"/>
        </w:numPr>
        <w:tabs>
          <w:tab w:pos="2664" w:val="left" w:leader="none"/>
        </w:tabs>
        <w:spacing w:line="252" w:lineRule="auto" w:before="109" w:after="0"/>
        <w:ind w:left="2664" w:right="258" w:hanging="504"/>
        <w:jc w:val="both"/>
        <w:rPr>
          <w:sz w:val="18"/>
        </w:rPr>
      </w:pPr>
      <w:r>
        <w:rPr>
          <w:color w:val="0B0B0B"/>
          <w:sz w:val="18"/>
        </w:rPr>
        <w:t>Los aparatos</w:t>
      </w:r>
      <w:r>
        <w:rPr>
          <w:color w:val="0B0B0B"/>
          <w:sz w:val="18"/>
        </w:rPr>
        <w:t> receptores</w:t>
      </w:r>
      <w:r>
        <w:rPr>
          <w:color w:val="0B0B0B"/>
          <w:sz w:val="18"/>
        </w:rPr>
        <w:t> de televisión cuyos componentes se importen por separado (ensambles de pantalla plana, circuito o circuitos modulares), incluso en diferentes momentos y/o por distintas aduanas, se consideran para efectos del Impuesto General de Importación, en la clasificación arancelaria que le corresponde al aparato terminado.</w:t>
      </w:r>
    </w:p>
    <w:p>
      <w:pPr>
        <w:pStyle w:val="ListParagraph"/>
        <w:numPr>
          <w:ilvl w:val="2"/>
          <w:numId w:val="1"/>
        </w:numPr>
        <w:tabs>
          <w:tab w:pos="2664" w:val="left" w:leader="none"/>
        </w:tabs>
        <w:spacing w:line="252" w:lineRule="auto" w:before="99" w:after="0"/>
        <w:ind w:left="2664" w:right="256" w:hanging="504"/>
        <w:jc w:val="both"/>
        <w:rPr>
          <w:sz w:val="18"/>
        </w:rPr>
      </w:pPr>
      <w:r>
        <w:rPr>
          <w:color w:val="0B0B0B"/>
          <w:sz w:val="18"/>
        </w:rPr>
        <w:t>Los aparatos receptores de televisión incompletos o sin terminar todavía, que presenten interconectados diversos circuitos modulares y arneses eléctricos, incluyendo ensambles de pantalla plana, se consideran para efectos del Impuesto</w:t>
      </w:r>
      <w:r>
        <w:rPr>
          <w:color w:val="0B0B0B"/>
          <w:sz w:val="18"/>
        </w:rPr>
        <w:t> General de Importación, en la clasificación arancelaria que le corresponde al aparato terminado.</w:t>
      </w:r>
    </w:p>
    <w:p>
      <w:pPr>
        <w:pStyle w:val="BodyText"/>
        <w:spacing w:line="254" w:lineRule="auto" w:before="99"/>
        <w:ind w:right="260"/>
      </w:pPr>
      <w:r>
        <w:rPr>
          <w:color w:val="0B0B0B"/>
        </w:rPr>
        <w:t>Lo anterior, es aplicable a operaciones de comercio exterior independientemente del régimen aduanero al que se destinen las mercancías, en uno o varios actos.</w:t>
      </w:r>
    </w:p>
    <w:p>
      <w:pPr>
        <w:pStyle w:val="BodyText"/>
        <w:spacing w:before="0" w:after="1"/>
        <w:ind w:left="0"/>
        <w:jc w:val="left"/>
        <w:rPr>
          <w:sz w:val="8"/>
        </w:rPr>
      </w:pPr>
    </w:p>
    <w:tbl>
      <w:tblPr>
        <w:tblW w:w="0" w:type="auto"/>
        <w:jc w:val="left"/>
        <w:tblInd w:w="217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761"/>
        <w:gridCol w:w="4124"/>
      </w:tblGrid>
      <w:tr>
        <w:trPr>
          <w:trHeight w:val="318" w:hRule="atLeast"/>
        </w:trPr>
        <w:tc>
          <w:tcPr>
            <w:tcW w:w="2761" w:type="dxa"/>
            <w:shd w:val="clear" w:color="auto" w:fill="BDBDBD"/>
          </w:tcPr>
          <w:p>
            <w:pPr>
              <w:pStyle w:val="TableParagraph"/>
              <w:spacing w:before="25"/>
              <w:ind w:left="12"/>
              <w:jc w:val="center"/>
              <w:rPr>
                <w:rFonts w:ascii="Arial"/>
                <w:b/>
                <w:sz w:val="16"/>
              </w:rPr>
            </w:pPr>
            <w:r>
              <w:rPr>
                <w:rFonts w:ascii="Arial"/>
                <w:b/>
                <w:color w:val="0B0B0B"/>
                <w:spacing w:val="-2"/>
                <w:sz w:val="16"/>
              </w:rPr>
              <w:t>Origen</w:t>
            </w:r>
          </w:p>
        </w:tc>
        <w:tc>
          <w:tcPr>
            <w:tcW w:w="4124" w:type="dxa"/>
            <w:shd w:val="clear" w:color="auto" w:fill="BDBDBD"/>
          </w:tcPr>
          <w:p>
            <w:pPr>
              <w:pStyle w:val="TableParagraph"/>
              <w:spacing w:before="25"/>
              <w:ind w:left="131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4" w:hRule="atLeast"/>
        </w:trPr>
        <w:tc>
          <w:tcPr>
            <w:tcW w:w="2761" w:type="dxa"/>
          </w:tcPr>
          <w:p>
            <w:pPr>
              <w:pStyle w:val="TableParagraph"/>
              <w:tabs>
                <w:tab w:pos="1130" w:val="left" w:leader="none"/>
                <w:tab w:pos="2510" w:val="left" w:leader="none"/>
              </w:tabs>
              <w:spacing w:line="285" w:lineRule="auto" w:before="22"/>
              <w:ind w:right="55"/>
              <w:rPr>
                <w:sz w:val="16"/>
              </w:rPr>
            </w:pPr>
            <w:r>
              <w:rPr>
                <w:color w:val="0B0B0B"/>
                <w:spacing w:val="-2"/>
                <w:sz w:val="16"/>
              </w:rPr>
              <w:t>Quinta</w:t>
            </w:r>
            <w:r>
              <w:rPr>
                <w:color w:val="0B0B0B"/>
                <w:sz w:val="16"/>
              </w:rPr>
              <w:tab/>
            </w:r>
            <w:r>
              <w:rPr>
                <w:color w:val="0B0B0B"/>
                <w:spacing w:val="-2"/>
                <w:sz w:val="16"/>
              </w:rPr>
              <w:t>Resolución</w:t>
            </w:r>
            <w:r>
              <w:rPr>
                <w:color w:val="0B0B0B"/>
                <w:sz w:val="16"/>
              </w:rPr>
              <w:tab/>
            </w:r>
            <w:r>
              <w:rPr>
                <w:color w:val="0B0B0B"/>
                <w:spacing w:val="-6"/>
                <w:sz w:val="16"/>
              </w:rPr>
              <w:t>de</w:t>
            </w:r>
            <w:r>
              <w:rPr>
                <w:color w:val="0B0B0B"/>
                <w:sz w:val="16"/>
              </w:rPr>
              <w:t> Modificaciones a la RMF para 2014.</w:t>
            </w:r>
          </w:p>
        </w:tc>
        <w:tc>
          <w:tcPr>
            <w:tcW w:w="4124" w:type="dxa"/>
          </w:tcPr>
          <w:p>
            <w:pPr>
              <w:pStyle w:val="TableParagraph"/>
              <w:spacing w:line="285" w:lineRule="auto" w:before="22"/>
              <w:ind w:right="70"/>
              <w:rPr>
                <w:sz w:val="16"/>
              </w:rPr>
            </w:pPr>
            <w:r>
              <w:rPr>
                <w:color w:val="0B0B0B"/>
                <w:sz w:val="16"/>
              </w:rPr>
              <w:t>Publicada en el DOF el 16 de octubre de 2014, Anexo</w:t>
            </w:r>
            <w:r>
              <w:rPr>
                <w:color w:val="0B0B0B"/>
                <w:spacing w:val="40"/>
                <w:sz w:val="16"/>
              </w:rPr>
              <w:t> </w:t>
            </w:r>
            <w:r>
              <w:rPr>
                <w:color w:val="0B0B0B"/>
                <w:sz w:val="16"/>
              </w:rPr>
              <w:t>3, publicado en el DOF el 17 de octubre de 2014.</w:t>
            </w:r>
          </w:p>
        </w:tc>
      </w:tr>
      <w:tr>
        <w:trPr>
          <w:trHeight w:val="318" w:hRule="atLeast"/>
        </w:trPr>
        <w:tc>
          <w:tcPr>
            <w:tcW w:w="6885" w:type="dxa"/>
            <w:gridSpan w:val="2"/>
            <w:shd w:val="clear" w:color="auto" w:fill="BDBDBD"/>
          </w:tcPr>
          <w:p>
            <w:pPr>
              <w:pStyle w:val="TableParagraph"/>
              <w:spacing w:before="25"/>
              <w:ind w:left="14"/>
              <w:jc w:val="center"/>
              <w:rPr>
                <w:rFonts w:ascii="Arial" w:hAnsi="Arial"/>
                <w:b/>
                <w:sz w:val="16"/>
              </w:rPr>
            </w:pPr>
            <w:r>
              <w:rPr>
                <w:rFonts w:ascii="Arial" w:hAnsi="Arial"/>
                <w:b/>
                <w:color w:val="0B0B0B"/>
                <w:sz w:val="16"/>
              </w:rPr>
              <w:t>Motivo</w:t>
            </w:r>
            <w:r>
              <w:rPr>
                <w:rFonts w:ascii="Arial" w:hAnsi="Arial"/>
                <w:b/>
                <w:color w:val="0B0B0B"/>
                <w:spacing w:val="-6"/>
                <w:sz w:val="16"/>
              </w:rPr>
              <w:t> </w:t>
            </w:r>
            <w:r>
              <w:rPr>
                <w:rFonts w:ascii="Arial" w:hAnsi="Arial"/>
                <w:b/>
                <w:color w:val="0B0B0B"/>
                <w:sz w:val="16"/>
              </w:rPr>
              <w:t>de</w:t>
            </w:r>
            <w:r>
              <w:rPr>
                <w:rFonts w:ascii="Arial" w:hAnsi="Arial"/>
                <w:b/>
                <w:color w:val="0B0B0B"/>
                <w:spacing w:val="-6"/>
                <w:sz w:val="16"/>
              </w:rPr>
              <w:t> </w:t>
            </w:r>
            <w:r>
              <w:rPr>
                <w:rFonts w:ascii="Arial" w:hAnsi="Arial"/>
                <w:b/>
                <w:color w:val="0B0B0B"/>
                <w:spacing w:val="-2"/>
                <w:sz w:val="16"/>
              </w:rPr>
              <w:t>Reubicación</w:t>
            </w:r>
          </w:p>
        </w:tc>
      </w:tr>
      <w:tr>
        <w:trPr>
          <w:trHeight w:val="750" w:hRule="atLeast"/>
        </w:trPr>
        <w:tc>
          <w:tcPr>
            <w:tcW w:w="6885" w:type="dxa"/>
            <w:gridSpan w:val="2"/>
          </w:tcPr>
          <w:p>
            <w:pPr>
              <w:pStyle w:val="TableParagraph"/>
              <w:spacing w:line="283" w:lineRule="auto" w:before="22"/>
              <w:ind w:right="56"/>
              <w:jc w:val="both"/>
              <w:rPr>
                <w:sz w:val="16"/>
              </w:rPr>
            </w:pPr>
            <w:r>
              <w:rPr>
                <w:color w:val="0B0B0B"/>
                <w:sz w:val="16"/>
              </w:rPr>
              <w:t>Se reubica en las RGCE para 2017 publicadas en el DOF el 27 de enero de 2017, Anexo 5 publicado en el DOF el 9 de febrero de 2017, en virtud de que el contenido es materia de Comercio Exterior y Aduanal.</w:t>
            </w:r>
          </w:p>
        </w:tc>
      </w:tr>
    </w:tbl>
    <w:p>
      <w:pPr>
        <w:pStyle w:val="BodyText"/>
        <w:spacing w:before="119"/>
        <w:ind w:left="0"/>
        <w:jc w:val="left"/>
      </w:pPr>
    </w:p>
    <w:p>
      <w:pPr>
        <w:pStyle w:val="BodyText"/>
        <w:spacing w:before="0"/>
        <w:ind w:left="547"/>
        <w:jc w:val="left"/>
      </w:pPr>
      <w:r>
        <w:rPr>
          <w:color w:val="0B0B0B"/>
          <w:spacing w:val="-2"/>
        </w:rPr>
        <w:t>Atentamente.</w:t>
      </w:r>
    </w:p>
    <w:p>
      <w:pPr>
        <w:pStyle w:val="BodyText"/>
        <w:spacing w:line="252" w:lineRule="auto" w:before="110"/>
        <w:ind w:left="259" w:right="259" w:firstLine="288"/>
      </w:pPr>
      <w:r>
        <w:rPr>
          <w:color w:val="0B0B0B"/>
        </w:rPr>
        <w:t>Ciudad de México, a 17 de diciembre de 2025.- En suplencia por ausencia del Jefe del Servicio de Administración Tributaria, con fundamento en el artículo 4, primer párrafo del Reglamento Interior del Servicio de</w:t>
      </w:r>
      <w:r>
        <w:rPr>
          <w:color w:val="0B0B0B"/>
          <w:spacing w:val="80"/>
        </w:rPr>
        <w:t> </w:t>
      </w:r>
      <w:r>
        <w:rPr>
          <w:color w:val="0B0B0B"/>
        </w:rPr>
        <w:t>Administración</w:t>
      </w:r>
      <w:r>
        <w:rPr>
          <w:color w:val="0B0B0B"/>
          <w:spacing w:val="80"/>
        </w:rPr>
        <w:t> </w:t>
      </w:r>
      <w:r>
        <w:rPr>
          <w:color w:val="0B0B0B"/>
        </w:rPr>
        <w:t>Tributaria,</w:t>
      </w:r>
      <w:r>
        <w:rPr>
          <w:color w:val="0B0B0B"/>
          <w:spacing w:val="80"/>
        </w:rPr>
        <w:t> </w:t>
      </w:r>
      <w:r>
        <w:rPr>
          <w:color w:val="0B0B0B"/>
        </w:rPr>
        <w:t>firma</w:t>
      </w:r>
      <w:r>
        <w:rPr>
          <w:color w:val="0B0B0B"/>
          <w:spacing w:val="80"/>
        </w:rPr>
        <w:t> </w:t>
      </w:r>
      <w:r>
        <w:rPr>
          <w:color w:val="0B0B0B"/>
        </w:rPr>
        <w:t>el</w:t>
      </w:r>
      <w:r>
        <w:rPr>
          <w:color w:val="0B0B0B"/>
          <w:spacing w:val="80"/>
        </w:rPr>
        <w:t> </w:t>
      </w:r>
      <w:r>
        <w:rPr>
          <w:color w:val="0B0B0B"/>
        </w:rPr>
        <w:t>Administrador</w:t>
      </w:r>
      <w:r>
        <w:rPr>
          <w:color w:val="0B0B0B"/>
          <w:spacing w:val="80"/>
        </w:rPr>
        <w:t> </w:t>
      </w:r>
      <w:r>
        <w:rPr>
          <w:color w:val="0B0B0B"/>
        </w:rPr>
        <w:t>General</w:t>
      </w:r>
      <w:r>
        <w:rPr>
          <w:color w:val="0B0B0B"/>
          <w:spacing w:val="80"/>
        </w:rPr>
        <w:t> </w:t>
      </w:r>
      <w:r>
        <w:rPr>
          <w:color w:val="0B0B0B"/>
        </w:rPr>
        <w:t>Jurídico,</w:t>
      </w:r>
      <w:r>
        <w:rPr>
          <w:color w:val="0B0B0B"/>
          <w:spacing w:val="80"/>
        </w:rPr>
        <w:t> </w:t>
      </w:r>
      <w:r>
        <w:rPr>
          <w:color w:val="0B0B0B"/>
        </w:rPr>
        <w:t>Lic.</w:t>
      </w:r>
      <w:r>
        <w:rPr>
          <w:color w:val="0B0B0B"/>
          <w:spacing w:val="80"/>
        </w:rPr>
        <w:t> </w:t>
      </w:r>
      <w:r>
        <w:rPr>
          <w:rFonts w:ascii="Arial" w:hAnsi="Arial"/>
          <w:b/>
          <w:color w:val="0B0B0B"/>
        </w:rPr>
        <w:t>Ricardo</w:t>
      </w:r>
      <w:r>
        <w:rPr>
          <w:rFonts w:ascii="Arial" w:hAnsi="Arial"/>
          <w:b/>
          <w:color w:val="0B0B0B"/>
          <w:spacing w:val="80"/>
        </w:rPr>
        <w:t> </w:t>
      </w:r>
      <w:r>
        <w:rPr>
          <w:rFonts w:ascii="Arial" w:hAnsi="Arial"/>
          <w:b/>
          <w:color w:val="0B0B0B"/>
        </w:rPr>
        <w:t>Carrasco Varona</w:t>
      </w:r>
      <w:r>
        <w:rPr>
          <w:color w:val="0B0B0B"/>
        </w:rPr>
        <w:t>.- Rúbrica.</w:t>
      </w:r>
    </w:p>
    <w:sectPr>
      <w:headerReference w:type="default" r:id="rId75"/>
      <w:pgSz w:w="12240" w:h="15840"/>
      <w:pgMar w:header="690" w:footer="0"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38656">
              <wp:simplePos x="0" y="0"/>
              <wp:positionH relativeFrom="page">
                <wp:posOffset>1242822</wp:posOffset>
              </wp:positionH>
              <wp:positionV relativeFrom="page">
                <wp:posOffset>593610</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77824" id="docshape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39168">
              <wp:simplePos x="0" y="0"/>
              <wp:positionH relativeFrom="page">
                <wp:posOffset>1249174</wp:posOffset>
              </wp:positionH>
              <wp:positionV relativeFrom="page">
                <wp:posOffset>425413</wp:posOffset>
              </wp:positionV>
              <wp:extent cx="139700" cy="1758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360199pt;margin-top:33.497101pt;width:11pt;height:13.85pt;mso-position-horizontal-relative:page;mso-position-vertical-relative:page;z-index:-17677312" type="#_x0000_t202" id="docshape2" filled="false" stroked="false">
              <v:textbox inset="0,0,0,0">
                <w:txbxContent>
                  <w:p>
                    <w:pPr>
                      <w:pStyle w:val="BodyText"/>
                      <w:ind w:left="20"/>
                      <w:jc w:val="left"/>
                      <w:rPr>
                        <w:rFonts w:ascii="Times New Roman"/>
                      </w:rPr>
                    </w:pPr>
                    <w:r>
                      <w:rPr>
                        <w:rFonts w:ascii="Times New Roman"/>
                        <w:color w:val="0B0B0B"/>
                        <w:spacing w:val="-5"/>
                      </w:rPr>
                      <w:t>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39680">
              <wp:simplePos x="0" y="0"/>
              <wp:positionH relativeFrom="page">
                <wp:posOffset>3461256</wp:posOffset>
              </wp:positionH>
              <wp:positionV relativeFrom="page">
                <wp:posOffset>425413</wp:posOffset>
              </wp:positionV>
              <wp:extent cx="906144" cy="1758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76800" type="#_x0000_t202" id="docshape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0192">
              <wp:simplePos x="0" y="0"/>
              <wp:positionH relativeFrom="page">
                <wp:posOffset>5263002</wp:posOffset>
              </wp:positionH>
              <wp:positionV relativeFrom="page">
                <wp:posOffset>425413</wp:posOffset>
              </wp:positionV>
              <wp:extent cx="1279525"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76288" type="#_x0000_t202" id="docshape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57088">
              <wp:simplePos x="0" y="0"/>
              <wp:positionH relativeFrom="page">
                <wp:posOffset>1242822</wp:posOffset>
              </wp:positionH>
              <wp:positionV relativeFrom="page">
                <wp:posOffset>593610</wp:posOffset>
              </wp:positionV>
              <wp:extent cx="5287010" cy="279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59392" id="docshape3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57600">
              <wp:simplePos x="0" y="0"/>
              <wp:positionH relativeFrom="page">
                <wp:posOffset>1249174</wp:posOffset>
              </wp:positionH>
              <wp:positionV relativeFrom="page">
                <wp:posOffset>425413</wp:posOffset>
              </wp:positionV>
              <wp:extent cx="1279525" cy="17589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58880" type="#_x0000_t202" id="docshape3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8112">
              <wp:simplePos x="0" y="0"/>
              <wp:positionH relativeFrom="page">
                <wp:posOffset>3460365</wp:posOffset>
              </wp:positionH>
              <wp:positionV relativeFrom="page">
                <wp:posOffset>425413</wp:posOffset>
              </wp:positionV>
              <wp:extent cx="906144" cy="1758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58368" type="#_x0000_t202" id="docshape4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8624">
              <wp:simplePos x="0" y="0"/>
              <wp:positionH relativeFrom="page">
                <wp:posOffset>6402058</wp:posOffset>
              </wp:positionH>
              <wp:positionV relativeFrom="page">
                <wp:posOffset>425413</wp:posOffset>
              </wp:positionV>
              <wp:extent cx="139700" cy="1758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57856" type="#_x0000_t202" id="docshape41" filled="false" stroked="false">
              <v:textbox inset="0,0,0,0">
                <w:txbxContent>
                  <w:p>
                    <w:pPr>
                      <w:pStyle w:val="BodyText"/>
                      <w:ind w:left="20"/>
                      <w:jc w:val="left"/>
                      <w:rPr>
                        <w:rFonts w:ascii="Times New Roman"/>
                      </w:rPr>
                    </w:pPr>
                    <w:r>
                      <w:rPr>
                        <w:rFonts w:ascii="Times New Roman"/>
                        <w:color w:val="0B0B0B"/>
                        <w:spacing w:val="-5"/>
                      </w:rPr>
                      <w:t>19</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59136">
              <wp:simplePos x="0" y="0"/>
              <wp:positionH relativeFrom="page">
                <wp:posOffset>1242822</wp:posOffset>
              </wp:positionH>
              <wp:positionV relativeFrom="page">
                <wp:posOffset>593610</wp:posOffset>
              </wp:positionV>
              <wp:extent cx="5287010" cy="2794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57344" id="docshape4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59648">
              <wp:simplePos x="0" y="0"/>
              <wp:positionH relativeFrom="page">
                <wp:posOffset>1249174</wp:posOffset>
              </wp:positionH>
              <wp:positionV relativeFrom="page">
                <wp:posOffset>425413</wp:posOffset>
              </wp:positionV>
              <wp:extent cx="139700" cy="17589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56832" type="#_x0000_t202" id="docshape43" filled="false" stroked="false">
              <v:textbox inset="0,0,0,0">
                <w:txbxContent>
                  <w:p>
                    <w:pPr>
                      <w:pStyle w:val="BodyText"/>
                      <w:ind w:left="20"/>
                      <w:jc w:val="left"/>
                      <w:rPr>
                        <w:rFonts w:ascii="Times New Roman"/>
                      </w:rPr>
                    </w:pPr>
                    <w:r>
                      <w:rPr>
                        <w:rFonts w:ascii="Times New Roman"/>
                        <w:color w:val="0B0B0B"/>
                        <w:spacing w:val="-5"/>
                      </w:rPr>
                      <w:t>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0160">
              <wp:simplePos x="0" y="0"/>
              <wp:positionH relativeFrom="page">
                <wp:posOffset>3461256</wp:posOffset>
              </wp:positionH>
              <wp:positionV relativeFrom="page">
                <wp:posOffset>425413</wp:posOffset>
              </wp:positionV>
              <wp:extent cx="906144" cy="17589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56320" type="#_x0000_t202" id="docshape4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0672">
              <wp:simplePos x="0" y="0"/>
              <wp:positionH relativeFrom="page">
                <wp:posOffset>5263002</wp:posOffset>
              </wp:positionH>
              <wp:positionV relativeFrom="page">
                <wp:posOffset>425413</wp:posOffset>
              </wp:positionV>
              <wp:extent cx="1279525" cy="17589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55808" type="#_x0000_t202" id="docshape4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61184">
              <wp:simplePos x="0" y="0"/>
              <wp:positionH relativeFrom="page">
                <wp:posOffset>1242822</wp:posOffset>
              </wp:positionH>
              <wp:positionV relativeFrom="page">
                <wp:posOffset>593610</wp:posOffset>
              </wp:positionV>
              <wp:extent cx="5287010" cy="2794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55296" id="docshape4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61696">
              <wp:simplePos x="0" y="0"/>
              <wp:positionH relativeFrom="page">
                <wp:posOffset>1249174</wp:posOffset>
              </wp:positionH>
              <wp:positionV relativeFrom="page">
                <wp:posOffset>425413</wp:posOffset>
              </wp:positionV>
              <wp:extent cx="1279525" cy="17589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54784" type="#_x0000_t202" id="docshape4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2208">
              <wp:simplePos x="0" y="0"/>
              <wp:positionH relativeFrom="page">
                <wp:posOffset>3460365</wp:posOffset>
              </wp:positionH>
              <wp:positionV relativeFrom="page">
                <wp:posOffset>425413</wp:posOffset>
              </wp:positionV>
              <wp:extent cx="906144" cy="17589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54272" type="#_x0000_t202" id="docshape4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2720">
              <wp:simplePos x="0" y="0"/>
              <wp:positionH relativeFrom="page">
                <wp:posOffset>6402058</wp:posOffset>
              </wp:positionH>
              <wp:positionV relativeFrom="page">
                <wp:posOffset>425413</wp:posOffset>
              </wp:positionV>
              <wp:extent cx="139700" cy="17589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53760" type="#_x0000_t202" id="docshape49" filled="false" stroked="false">
              <v:textbox inset="0,0,0,0">
                <w:txbxContent>
                  <w:p>
                    <w:pPr>
                      <w:pStyle w:val="BodyText"/>
                      <w:ind w:left="20"/>
                      <w:jc w:val="left"/>
                      <w:rPr>
                        <w:rFonts w:ascii="Times New Roman"/>
                      </w:rPr>
                    </w:pPr>
                    <w:r>
                      <w:rPr>
                        <w:rFonts w:ascii="Times New Roman"/>
                        <w:color w:val="0B0B0B"/>
                        <w:spacing w:val="-5"/>
                      </w:rPr>
                      <w:t>21</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63232">
              <wp:simplePos x="0" y="0"/>
              <wp:positionH relativeFrom="page">
                <wp:posOffset>1242822</wp:posOffset>
              </wp:positionH>
              <wp:positionV relativeFrom="page">
                <wp:posOffset>593610</wp:posOffset>
              </wp:positionV>
              <wp:extent cx="5287010" cy="2794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53248" id="docshape5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63744">
              <wp:simplePos x="0" y="0"/>
              <wp:positionH relativeFrom="page">
                <wp:posOffset>1249174</wp:posOffset>
              </wp:positionH>
              <wp:positionV relativeFrom="page">
                <wp:posOffset>425413</wp:posOffset>
              </wp:positionV>
              <wp:extent cx="139700" cy="17589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52736" type="#_x0000_t202" id="docshape51" filled="false" stroked="false">
              <v:textbox inset="0,0,0,0">
                <w:txbxContent>
                  <w:p>
                    <w:pPr>
                      <w:pStyle w:val="BodyText"/>
                      <w:ind w:left="20"/>
                      <w:jc w:val="left"/>
                      <w:rPr>
                        <w:rFonts w:ascii="Times New Roman"/>
                      </w:rPr>
                    </w:pPr>
                    <w:r>
                      <w:rPr>
                        <w:rFonts w:ascii="Times New Roman"/>
                        <w:color w:val="0B0B0B"/>
                        <w:spacing w:val="-5"/>
                      </w:rPr>
                      <w:t>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4256">
              <wp:simplePos x="0" y="0"/>
              <wp:positionH relativeFrom="page">
                <wp:posOffset>3461256</wp:posOffset>
              </wp:positionH>
              <wp:positionV relativeFrom="page">
                <wp:posOffset>425413</wp:posOffset>
              </wp:positionV>
              <wp:extent cx="906144" cy="17589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52224" type="#_x0000_t202" id="docshape5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4768">
              <wp:simplePos x="0" y="0"/>
              <wp:positionH relativeFrom="page">
                <wp:posOffset>5263002</wp:posOffset>
              </wp:positionH>
              <wp:positionV relativeFrom="page">
                <wp:posOffset>425413</wp:posOffset>
              </wp:positionV>
              <wp:extent cx="1279525" cy="17589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51712" type="#_x0000_t202" id="docshape5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65280">
              <wp:simplePos x="0" y="0"/>
              <wp:positionH relativeFrom="page">
                <wp:posOffset>1242822</wp:posOffset>
              </wp:positionH>
              <wp:positionV relativeFrom="page">
                <wp:posOffset>593610</wp:posOffset>
              </wp:positionV>
              <wp:extent cx="5287010" cy="2794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51200" id="docshape5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65792">
              <wp:simplePos x="0" y="0"/>
              <wp:positionH relativeFrom="page">
                <wp:posOffset>1249174</wp:posOffset>
              </wp:positionH>
              <wp:positionV relativeFrom="page">
                <wp:posOffset>425413</wp:posOffset>
              </wp:positionV>
              <wp:extent cx="1279525" cy="17589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50688" type="#_x0000_t202" id="docshape5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6304">
              <wp:simplePos x="0" y="0"/>
              <wp:positionH relativeFrom="page">
                <wp:posOffset>3460365</wp:posOffset>
              </wp:positionH>
              <wp:positionV relativeFrom="page">
                <wp:posOffset>425413</wp:posOffset>
              </wp:positionV>
              <wp:extent cx="906144" cy="17589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50176" type="#_x0000_t202" id="docshape5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6816">
              <wp:simplePos x="0" y="0"/>
              <wp:positionH relativeFrom="page">
                <wp:posOffset>6402058</wp:posOffset>
              </wp:positionH>
              <wp:positionV relativeFrom="page">
                <wp:posOffset>425413</wp:posOffset>
              </wp:positionV>
              <wp:extent cx="139700" cy="17589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49664" type="#_x0000_t202" id="docshape57" filled="false" stroked="false">
              <v:textbox inset="0,0,0,0">
                <w:txbxContent>
                  <w:p>
                    <w:pPr>
                      <w:pStyle w:val="BodyText"/>
                      <w:ind w:left="20"/>
                      <w:jc w:val="left"/>
                      <w:rPr>
                        <w:rFonts w:ascii="Times New Roman"/>
                      </w:rPr>
                    </w:pPr>
                    <w:r>
                      <w:rPr>
                        <w:rFonts w:ascii="Times New Roman"/>
                        <w:color w:val="0B0B0B"/>
                        <w:spacing w:val="-5"/>
                      </w:rPr>
                      <w:t>23</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67328">
              <wp:simplePos x="0" y="0"/>
              <wp:positionH relativeFrom="page">
                <wp:posOffset>1242822</wp:posOffset>
              </wp:positionH>
              <wp:positionV relativeFrom="page">
                <wp:posOffset>593610</wp:posOffset>
              </wp:positionV>
              <wp:extent cx="5287010" cy="2794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49152" id="docshape5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67840">
              <wp:simplePos x="0" y="0"/>
              <wp:positionH relativeFrom="page">
                <wp:posOffset>1249174</wp:posOffset>
              </wp:positionH>
              <wp:positionV relativeFrom="page">
                <wp:posOffset>425413</wp:posOffset>
              </wp:positionV>
              <wp:extent cx="139700" cy="17589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48640" type="#_x0000_t202" id="docshape59" filled="false" stroked="false">
              <v:textbox inset="0,0,0,0">
                <w:txbxContent>
                  <w:p>
                    <w:pPr>
                      <w:pStyle w:val="BodyText"/>
                      <w:ind w:left="20"/>
                      <w:jc w:val="left"/>
                      <w:rPr>
                        <w:rFonts w:ascii="Times New Roman"/>
                      </w:rPr>
                    </w:pPr>
                    <w:r>
                      <w:rPr>
                        <w:rFonts w:ascii="Times New Roman"/>
                        <w:color w:val="0B0B0B"/>
                        <w:spacing w:val="-5"/>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8352">
              <wp:simplePos x="0" y="0"/>
              <wp:positionH relativeFrom="page">
                <wp:posOffset>3461256</wp:posOffset>
              </wp:positionH>
              <wp:positionV relativeFrom="page">
                <wp:posOffset>425413</wp:posOffset>
              </wp:positionV>
              <wp:extent cx="906144" cy="1758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48128" type="#_x0000_t202" id="docshape6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68864">
              <wp:simplePos x="0" y="0"/>
              <wp:positionH relativeFrom="page">
                <wp:posOffset>5263002</wp:posOffset>
              </wp:positionH>
              <wp:positionV relativeFrom="page">
                <wp:posOffset>425413</wp:posOffset>
              </wp:positionV>
              <wp:extent cx="1279525" cy="17589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47616" type="#_x0000_t202" id="docshape6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69376">
              <wp:simplePos x="0" y="0"/>
              <wp:positionH relativeFrom="page">
                <wp:posOffset>1242822</wp:posOffset>
              </wp:positionH>
              <wp:positionV relativeFrom="page">
                <wp:posOffset>593610</wp:posOffset>
              </wp:positionV>
              <wp:extent cx="5287010" cy="2794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47104" id="docshape6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69888">
              <wp:simplePos x="0" y="0"/>
              <wp:positionH relativeFrom="page">
                <wp:posOffset>1249174</wp:posOffset>
              </wp:positionH>
              <wp:positionV relativeFrom="page">
                <wp:posOffset>425413</wp:posOffset>
              </wp:positionV>
              <wp:extent cx="1279525" cy="17589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46592" type="#_x0000_t202" id="docshape6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0400">
              <wp:simplePos x="0" y="0"/>
              <wp:positionH relativeFrom="page">
                <wp:posOffset>3460365</wp:posOffset>
              </wp:positionH>
              <wp:positionV relativeFrom="page">
                <wp:posOffset>425413</wp:posOffset>
              </wp:positionV>
              <wp:extent cx="906144" cy="1758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46080" type="#_x0000_t202" id="docshape6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0912">
              <wp:simplePos x="0" y="0"/>
              <wp:positionH relativeFrom="page">
                <wp:posOffset>6402058</wp:posOffset>
              </wp:positionH>
              <wp:positionV relativeFrom="page">
                <wp:posOffset>425413</wp:posOffset>
              </wp:positionV>
              <wp:extent cx="139700" cy="17589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45568" type="#_x0000_t202" id="docshape65" filled="false" stroked="false">
              <v:textbox inset="0,0,0,0">
                <w:txbxContent>
                  <w:p>
                    <w:pPr>
                      <w:pStyle w:val="BodyText"/>
                      <w:ind w:left="20"/>
                      <w:jc w:val="left"/>
                      <w:rPr>
                        <w:rFonts w:ascii="Times New Roman"/>
                      </w:rPr>
                    </w:pPr>
                    <w:r>
                      <w:rPr>
                        <w:rFonts w:ascii="Times New Roman"/>
                        <w:color w:val="0B0B0B"/>
                        <w:spacing w:val="-5"/>
                      </w:rPr>
                      <w:t>25</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71424">
              <wp:simplePos x="0" y="0"/>
              <wp:positionH relativeFrom="page">
                <wp:posOffset>1242822</wp:posOffset>
              </wp:positionH>
              <wp:positionV relativeFrom="page">
                <wp:posOffset>593610</wp:posOffset>
              </wp:positionV>
              <wp:extent cx="5287010" cy="2794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45056" id="docshape6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71936">
              <wp:simplePos x="0" y="0"/>
              <wp:positionH relativeFrom="page">
                <wp:posOffset>1249174</wp:posOffset>
              </wp:positionH>
              <wp:positionV relativeFrom="page">
                <wp:posOffset>425413</wp:posOffset>
              </wp:positionV>
              <wp:extent cx="139700" cy="1758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44544" type="#_x0000_t202" id="docshape67" filled="false" stroked="false">
              <v:textbox inset="0,0,0,0">
                <w:txbxContent>
                  <w:p>
                    <w:pPr>
                      <w:pStyle w:val="BodyText"/>
                      <w:ind w:left="20"/>
                      <w:jc w:val="left"/>
                      <w:rPr>
                        <w:rFonts w:ascii="Times New Roman"/>
                      </w:rPr>
                    </w:pPr>
                    <w:r>
                      <w:rPr>
                        <w:rFonts w:ascii="Times New Roman"/>
                        <w:color w:val="0B0B0B"/>
                        <w:spacing w:val="-5"/>
                      </w:rPr>
                      <w:t>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2448">
              <wp:simplePos x="0" y="0"/>
              <wp:positionH relativeFrom="page">
                <wp:posOffset>3461256</wp:posOffset>
              </wp:positionH>
              <wp:positionV relativeFrom="page">
                <wp:posOffset>425413</wp:posOffset>
              </wp:positionV>
              <wp:extent cx="906144" cy="1758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44032" type="#_x0000_t202" id="docshape6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2960">
              <wp:simplePos x="0" y="0"/>
              <wp:positionH relativeFrom="page">
                <wp:posOffset>5263002</wp:posOffset>
              </wp:positionH>
              <wp:positionV relativeFrom="page">
                <wp:posOffset>425413</wp:posOffset>
              </wp:positionV>
              <wp:extent cx="1279525" cy="17589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43520" type="#_x0000_t202" id="docshape6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73472">
              <wp:simplePos x="0" y="0"/>
              <wp:positionH relativeFrom="page">
                <wp:posOffset>1242822</wp:posOffset>
              </wp:positionH>
              <wp:positionV relativeFrom="page">
                <wp:posOffset>593610</wp:posOffset>
              </wp:positionV>
              <wp:extent cx="5287010" cy="2794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43008" id="docshape7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73984">
              <wp:simplePos x="0" y="0"/>
              <wp:positionH relativeFrom="page">
                <wp:posOffset>1249174</wp:posOffset>
              </wp:positionH>
              <wp:positionV relativeFrom="page">
                <wp:posOffset>425413</wp:posOffset>
              </wp:positionV>
              <wp:extent cx="1279525" cy="17589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42496" type="#_x0000_t202" id="docshape7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4496">
              <wp:simplePos x="0" y="0"/>
              <wp:positionH relativeFrom="page">
                <wp:posOffset>3460365</wp:posOffset>
              </wp:positionH>
              <wp:positionV relativeFrom="page">
                <wp:posOffset>425413</wp:posOffset>
              </wp:positionV>
              <wp:extent cx="906144" cy="17589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41984" type="#_x0000_t202" id="docshape7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5008">
              <wp:simplePos x="0" y="0"/>
              <wp:positionH relativeFrom="page">
                <wp:posOffset>6402058</wp:posOffset>
              </wp:positionH>
              <wp:positionV relativeFrom="page">
                <wp:posOffset>425413</wp:posOffset>
              </wp:positionV>
              <wp:extent cx="139700" cy="17589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41472" type="#_x0000_t202" id="docshape73" filled="false" stroked="false">
              <v:textbox inset="0,0,0,0">
                <w:txbxContent>
                  <w:p>
                    <w:pPr>
                      <w:pStyle w:val="BodyText"/>
                      <w:ind w:left="20"/>
                      <w:jc w:val="left"/>
                      <w:rPr>
                        <w:rFonts w:ascii="Times New Roman"/>
                      </w:rPr>
                    </w:pPr>
                    <w:r>
                      <w:rPr>
                        <w:rFonts w:ascii="Times New Roman"/>
                        <w:color w:val="0B0B0B"/>
                        <w:spacing w:val="-5"/>
                      </w:rPr>
                      <w:t>27</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75520">
              <wp:simplePos x="0" y="0"/>
              <wp:positionH relativeFrom="page">
                <wp:posOffset>1242822</wp:posOffset>
              </wp:positionH>
              <wp:positionV relativeFrom="page">
                <wp:posOffset>593610</wp:posOffset>
              </wp:positionV>
              <wp:extent cx="5287010" cy="2794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40960" id="docshape7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76032">
              <wp:simplePos x="0" y="0"/>
              <wp:positionH relativeFrom="page">
                <wp:posOffset>1249174</wp:posOffset>
              </wp:positionH>
              <wp:positionV relativeFrom="page">
                <wp:posOffset>425413</wp:posOffset>
              </wp:positionV>
              <wp:extent cx="139700" cy="17589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40448" type="#_x0000_t202" id="docshape75" filled="false" stroked="false">
              <v:textbox inset="0,0,0,0">
                <w:txbxContent>
                  <w:p>
                    <w:pPr>
                      <w:pStyle w:val="BodyText"/>
                      <w:ind w:left="20"/>
                      <w:jc w:val="left"/>
                      <w:rPr>
                        <w:rFonts w:ascii="Times New Roman"/>
                      </w:rPr>
                    </w:pPr>
                    <w:r>
                      <w:rPr>
                        <w:rFonts w:ascii="Times New Roman"/>
                        <w:color w:val="0B0B0B"/>
                        <w:spacing w:val="-5"/>
                      </w:rPr>
                      <w:t>28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6544">
              <wp:simplePos x="0" y="0"/>
              <wp:positionH relativeFrom="page">
                <wp:posOffset>3461256</wp:posOffset>
              </wp:positionH>
              <wp:positionV relativeFrom="page">
                <wp:posOffset>425413</wp:posOffset>
              </wp:positionV>
              <wp:extent cx="906144" cy="1758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39936" type="#_x0000_t202" id="docshape7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7056">
              <wp:simplePos x="0" y="0"/>
              <wp:positionH relativeFrom="page">
                <wp:posOffset>5263002</wp:posOffset>
              </wp:positionH>
              <wp:positionV relativeFrom="page">
                <wp:posOffset>425413</wp:posOffset>
              </wp:positionV>
              <wp:extent cx="1279525" cy="17589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39424" type="#_x0000_t202" id="docshape7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40704">
              <wp:simplePos x="0" y="0"/>
              <wp:positionH relativeFrom="page">
                <wp:posOffset>1242822</wp:posOffset>
              </wp:positionH>
              <wp:positionV relativeFrom="page">
                <wp:posOffset>593610</wp:posOffset>
              </wp:positionV>
              <wp:extent cx="5287010" cy="279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75776" id="docshape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41216">
              <wp:simplePos x="0" y="0"/>
              <wp:positionH relativeFrom="page">
                <wp:posOffset>1249174</wp:posOffset>
              </wp:positionH>
              <wp:positionV relativeFrom="page">
                <wp:posOffset>425413</wp:posOffset>
              </wp:positionV>
              <wp:extent cx="1279525" cy="1758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75264" type="#_x0000_t202" id="docshape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1728">
              <wp:simplePos x="0" y="0"/>
              <wp:positionH relativeFrom="page">
                <wp:posOffset>3460365</wp:posOffset>
              </wp:positionH>
              <wp:positionV relativeFrom="page">
                <wp:posOffset>425413</wp:posOffset>
              </wp:positionV>
              <wp:extent cx="906144" cy="1758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74752" type="#_x0000_t202" id="docshape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2240">
              <wp:simplePos x="0" y="0"/>
              <wp:positionH relativeFrom="page">
                <wp:posOffset>6402058</wp:posOffset>
              </wp:positionH>
              <wp:positionV relativeFrom="page">
                <wp:posOffset>425413</wp:posOffset>
              </wp:positionV>
              <wp:extent cx="139700" cy="1758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74240" type="#_x0000_t202" id="docshape9" filled="false" stroked="false">
              <v:textbox inset="0,0,0,0">
                <w:txbxContent>
                  <w:p>
                    <w:pPr>
                      <w:pStyle w:val="BodyText"/>
                      <w:ind w:left="20"/>
                      <w:jc w:val="left"/>
                      <w:rPr>
                        <w:rFonts w:ascii="Times New Roman"/>
                      </w:rPr>
                    </w:pPr>
                    <w:r>
                      <w:rPr>
                        <w:rFonts w:ascii="Times New Roman"/>
                        <w:color w:val="0B0B0B"/>
                        <w:spacing w:val="-5"/>
                      </w:rPr>
                      <w:t>11</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77568">
              <wp:simplePos x="0" y="0"/>
              <wp:positionH relativeFrom="page">
                <wp:posOffset>1242822</wp:posOffset>
              </wp:positionH>
              <wp:positionV relativeFrom="page">
                <wp:posOffset>593610</wp:posOffset>
              </wp:positionV>
              <wp:extent cx="5287010" cy="2794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38912" id="docshape7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78080">
              <wp:simplePos x="0" y="0"/>
              <wp:positionH relativeFrom="page">
                <wp:posOffset>1249174</wp:posOffset>
              </wp:positionH>
              <wp:positionV relativeFrom="page">
                <wp:posOffset>425413</wp:posOffset>
              </wp:positionV>
              <wp:extent cx="1279525" cy="1758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38400" type="#_x0000_t202" id="docshape7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8592">
              <wp:simplePos x="0" y="0"/>
              <wp:positionH relativeFrom="page">
                <wp:posOffset>3460365</wp:posOffset>
              </wp:positionH>
              <wp:positionV relativeFrom="page">
                <wp:posOffset>425413</wp:posOffset>
              </wp:positionV>
              <wp:extent cx="906144" cy="1758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37888" type="#_x0000_t202" id="docshape8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9104">
              <wp:simplePos x="0" y="0"/>
              <wp:positionH relativeFrom="page">
                <wp:posOffset>6402058</wp:posOffset>
              </wp:positionH>
              <wp:positionV relativeFrom="page">
                <wp:posOffset>425413</wp:posOffset>
              </wp:positionV>
              <wp:extent cx="139700" cy="17589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29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37376" type="#_x0000_t202" id="docshape81" filled="false" stroked="false">
              <v:textbox inset="0,0,0,0">
                <w:txbxContent>
                  <w:p>
                    <w:pPr>
                      <w:pStyle w:val="BodyText"/>
                      <w:ind w:left="20"/>
                      <w:jc w:val="left"/>
                      <w:rPr>
                        <w:rFonts w:ascii="Times New Roman"/>
                      </w:rPr>
                    </w:pPr>
                    <w:r>
                      <w:rPr>
                        <w:rFonts w:ascii="Times New Roman"/>
                        <w:color w:val="0B0B0B"/>
                        <w:spacing w:val="-5"/>
                      </w:rPr>
                      <w:t>29</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79616">
              <wp:simplePos x="0" y="0"/>
              <wp:positionH relativeFrom="page">
                <wp:posOffset>1242822</wp:posOffset>
              </wp:positionH>
              <wp:positionV relativeFrom="page">
                <wp:posOffset>593610</wp:posOffset>
              </wp:positionV>
              <wp:extent cx="5287010" cy="2794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36864" id="docshape8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80128">
              <wp:simplePos x="0" y="0"/>
              <wp:positionH relativeFrom="page">
                <wp:posOffset>1249174</wp:posOffset>
              </wp:positionH>
              <wp:positionV relativeFrom="page">
                <wp:posOffset>425413</wp:posOffset>
              </wp:positionV>
              <wp:extent cx="139700" cy="17589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36352" type="#_x0000_t202" id="docshape83" filled="false" stroked="false">
              <v:textbox inset="0,0,0,0">
                <w:txbxContent>
                  <w:p>
                    <w:pPr>
                      <w:pStyle w:val="BodyText"/>
                      <w:ind w:left="20"/>
                      <w:jc w:val="left"/>
                      <w:rPr>
                        <w:rFonts w:ascii="Times New Roman"/>
                      </w:rPr>
                    </w:pPr>
                    <w:r>
                      <w:rPr>
                        <w:rFonts w:ascii="Times New Roman"/>
                        <w:color w:val="0B0B0B"/>
                        <w:spacing w:val="-5"/>
                      </w:rPr>
                      <w:t>30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0640">
              <wp:simplePos x="0" y="0"/>
              <wp:positionH relativeFrom="page">
                <wp:posOffset>3461256</wp:posOffset>
              </wp:positionH>
              <wp:positionV relativeFrom="page">
                <wp:posOffset>425413</wp:posOffset>
              </wp:positionV>
              <wp:extent cx="906144" cy="17589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35840" type="#_x0000_t202" id="docshape8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1152">
              <wp:simplePos x="0" y="0"/>
              <wp:positionH relativeFrom="page">
                <wp:posOffset>5263002</wp:posOffset>
              </wp:positionH>
              <wp:positionV relativeFrom="page">
                <wp:posOffset>425413</wp:posOffset>
              </wp:positionV>
              <wp:extent cx="1279525" cy="17589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35328" type="#_x0000_t202" id="docshape8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81664">
              <wp:simplePos x="0" y="0"/>
              <wp:positionH relativeFrom="page">
                <wp:posOffset>1242822</wp:posOffset>
              </wp:positionH>
              <wp:positionV relativeFrom="page">
                <wp:posOffset>593610</wp:posOffset>
              </wp:positionV>
              <wp:extent cx="5287010" cy="2794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34816" id="docshape8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82176">
              <wp:simplePos x="0" y="0"/>
              <wp:positionH relativeFrom="page">
                <wp:posOffset>1249174</wp:posOffset>
              </wp:positionH>
              <wp:positionV relativeFrom="page">
                <wp:posOffset>425413</wp:posOffset>
              </wp:positionV>
              <wp:extent cx="1279525" cy="17589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34304" type="#_x0000_t202" id="docshape8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2688">
              <wp:simplePos x="0" y="0"/>
              <wp:positionH relativeFrom="page">
                <wp:posOffset>3460365</wp:posOffset>
              </wp:positionH>
              <wp:positionV relativeFrom="page">
                <wp:posOffset>425413</wp:posOffset>
              </wp:positionV>
              <wp:extent cx="906144" cy="17589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33792" type="#_x0000_t202" id="docshape8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3200">
              <wp:simplePos x="0" y="0"/>
              <wp:positionH relativeFrom="page">
                <wp:posOffset>6402058</wp:posOffset>
              </wp:positionH>
              <wp:positionV relativeFrom="page">
                <wp:posOffset>425413</wp:posOffset>
              </wp:positionV>
              <wp:extent cx="139700" cy="17589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33280" type="#_x0000_t202" id="docshape89" filled="false" stroked="false">
              <v:textbox inset="0,0,0,0">
                <w:txbxContent>
                  <w:p>
                    <w:pPr>
                      <w:pStyle w:val="BodyText"/>
                      <w:ind w:left="20"/>
                      <w:jc w:val="left"/>
                      <w:rPr>
                        <w:rFonts w:ascii="Times New Roman"/>
                      </w:rPr>
                    </w:pPr>
                    <w:r>
                      <w:rPr>
                        <w:rFonts w:ascii="Times New Roman"/>
                        <w:color w:val="0B0B0B"/>
                        <w:spacing w:val="-5"/>
                      </w:rPr>
                      <w:t>31</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83712">
              <wp:simplePos x="0" y="0"/>
              <wp:positionH relativeFrom="page">
                <wp:posOffset>1242822</wp:posOffset>
              </wp:positionH>
              <wp:positionV relativeFrom="page">
                <wp:posOffset>593610</wp:posOffset>
              </wp:positionV>
              <wp:extent cx="5287010" cy="2794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32768" id="docshape9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84224">
              <wp:simplePos x="0" y="0"/>
              <wp:positionH relativeFrom="page">
                <wp:posOffset>1249174</wp:posOffset>
              </wp:positionH>
              <wp:positionV relativeFrom="page">
                <wp:posOffset>425413</wp:posOffset>
              </wp:positionV>
              <wp:extent cx="139700" cy="17589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32256" type="#_x0000_t202" id="docshape91" filled="false" stroked="false">
              <v:textbox inset="0,0,0,0">
                <w:txbxContent>
                  <w:p>
                    <w:pPr>
                      <w:pStyle w:val="BodyText"/>
                      <w:ind w:left="20"/>
                      <w:jc w:val="left"/>
                      <w:rPr>
                        <w:rFonts w:ascii="Times New Roman"/>
                      </w:rPr>
                    </w:pPr>
                    <w:r>
                      <w:rPr>
                        <w:rFonts w:ascii="Times New Roman"/>
                        <w:color w:val="0B0B0B"/>
                        <w:spacing w:val="-5"/>
                      </w:rPr>
                      <w:t>32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4736">
              <wp:simplePos x="0" y="0"/>
              <wp:positionH relativeFrom="page">
                <wp:posOffset>3461256</wp:posOffset>
              </wp:positionH>
              <wp:positionV relativeFrom="page">
                <wp:posOffset>425413</wp:posOffset>
              </wp:positionV>
              <wp:extent cx="906144" cy="17589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31744" type="#_x0000_t202" id="docshape9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5248">
              <wp:simplePos x="0" y="0"/>
              <wp:positionH relativeFrom="page">
                <wp:posOffset>5263002</wp:posOffset>
              </wp:positionH>
              <wp:positionV relativeFrom="page">
                <wp:posOffset>425413</wp:posOffset>
              </wp:positionV>
              <wp:extent cx="1279525" cy="17589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31232" type="#_x0000_t202" id="docshape9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85760">
              <wp:simplePos x="0" y="0"/>
              <wp:positionH relativeFrom="page">
                <wp:posOffset>1242822</wp:posOffset>
              </wp:positionH>
              <wp:positionV relativeFrom="page">
                <wp:posOffset>593610</wp:posOffset>
              </wp:positionV>
              <wp:extent cx="5287010" cy="2794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30720" id="docshape9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86272">
              <wp:simplePos x="0" y="0"/>
              <wp:positionH relativeFrom="page">
                <wp:posOffset>1249174</wp:posOffset>
              </wp:positionH>
              <wp:positionV relativeFrom="page">
                <wp:posOffset>425413</wp:posOffset>
              </wp:positionV>
              <wp:extent cx="1279525" cy="17589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30208" type="#_x0000_t202" id="docshape9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6784">
              <wp:simplePos x="0" y="0"/>
              <wp:positionH relativeFrom="page">
                <wp:posOffset>3460365</wp:posOffset>
              </wp:positionH>
              <wp:positionV relativeFrom="page">
                <wp:posOffset>425413</wp:posOffset>
              </wp:positionV>
              <wp:extent cx="906144" cy="17589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29696" type="#_x0000_t202" id="docshape9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7296">
              <wp:simplePos x="0" y="0"/>
              <wp:positionH relativeFrom="page">
                <wp:posOffset>6402058</wp:posOffset>
              </wp:positionH>
              <wp:positionV relativeFrom="page">
                <wp:posOffset>425413</wp:posOffset>
              </wp:positionV>
              <wp:extent cx="139700" cy="17589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29184" type="#_x0000_t202" id="docshape97" filled="false" stroked="false">
              <v:textbox inset="0,0,0,0">
                <w:txbxContent>
                  <w:p>
                    <w:pPr>
                      <w:pStyle w:val="BodyText"/>
                      <w:ind w:left="20"/>
                      <w:jc w:val="left"/>
                      <w:rPr>
                        <w:rFonts w:ascii="Times New Roman"/>
                      </w:rPr>
                    </w:pPr>
                    <w:r>
                      <w:rPr>
                        <w:rFonts w:ascii="Times New Roman"/>
                        <w:color w:val="0B0B0B"/>
                        <w:spacing w:val="-5"/>
                      </w:rPr>
                      <w:t>33</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87808">
              <wp:simplePos x="0" y="0"/>
              <wp:positionH relativeFrom="page">
                <wp:posOffset>1242822</wp:posOffset>
              </wp:positionH>
              <wp:positionV relativeFrom="page">
                <wp:posOffset>593610</wp:posOffset>
              </wp:positionV>
              <wp:extent cx="5287010" cy="2794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28672" id="docshape9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88320">
              <wp:simplePos x="0" y="0"/>
              <wp:positionH relativeFrom="page">
                <wp:posOffset>1249174</wp:posOffset>
              </wp:positionH>
              <wp:positionV relativeFrom="page">
                <wp:posOffset>425413</wp:posOffset>
              </wp:positionV>
              <wp:extent cx="139700" cy="17589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28160" type="#_x0000_t202" id="docshape99" filled="false" stroked="false">
              <v:textbox inset="0,0,0,0">
                <w:txbxContent>
                  <w:p>
                    <w:pPr>
                      <w:pStyle w:val="BodyText"/>
                      <w:ind w:left="20"/>
                      <w:jc w:val="left"/>
                      <w:rPr>
                        <w:rFonts w:ascii="Times New Roman"/>
                      </w:rPr>
                    </w:pPr>
                    <w:r>
                      <w:rPr>
                        <w:rFonts w:ascii="Times New Roman"/>
                        <w:color w:val="0B0B0B"/>
                        <w:spacing w:val="-5"/>
                      </w:rPr>
                      <w:t>34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8832">
              <wp:simplePos x="0" y="0"/>
              <wp:positionH relativeFrom="page">
                <wp:posOffset>3461256</wp:posOffset>
              </wp:positionH>
              <wp:positionV relativeFrom="page">
                <wp:posOffset>425413</wp:posOffset>
              </wp:positionV>
              <wp:extent cx="906144" cy="1758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27648" type="#_x0000_t202" id="docshape10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9344">
              <wp:simplePos x="0" y="0"/>
              <wp:positionH relativeFrom="page">
                <wp:posOffset>5263002</wp:posOffset>
              </wp:positionH>
              <wp:positionV relativeFrom="page">
                <wp:posOffset>425413</wp:posOffset>
              </wp:positionV>
              <wp:extent cx="1279525" cy="17589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27136" type="#_x0000_t202" id="docshape10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89856">
              <wp:simplePos x="0" y="0"/>
              <wp:positionH relativeFrom="page">
                <wp:posOffset>1242822</wp:posOffset>
              </wp:positionH>
              <wp:positionV relativeFrom="page">
                <wp:posOffset>593610</wp:posOffset>
              </wp:positionV>
              <wp:extent cx="5287010" cy="2794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26624" id="docshape10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90368">
              <wp:simplePos x="0" y="0"/>
              <wp:positionH relativeFrom="page">
                <wp:posOffset>1249174</wp:posOffset>
              </wp:positionH>
              <wp:positionV relativeFrom="page">
                <wp:posOffset>425413</wp:posOffset>
              </wp:positionV>
              <wp:extent cx="1279525" cy="17589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26112" type="#_x0000_t202" id="docshape10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0880">
              <wp:simplePos x="0" y="0"/>
              <wp:positionH relativeFrom="page">
                <wp:posOffset>3460365</wp:posOffset>
              </wp:positionH>
              <wp:positionV relativeFrom="page">
                <wp:posOffset>425413</wp:posOffset>
              </wp:positionV>
              <wp:extent cx="906144" cy="17589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25600" type="#_x0000_t202" id="docshape10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1392">
              <wp:simplePos x="0" y="0"/>
              <wp:positionH relativeFrom="page">
                <wp:posOffset>6402058</wp:posOffset>
              </wp:positionH>
              <wp:positionV relativeFrom="page">
                <wp:posOffset>425413</wp:posOffset>
              </wp:positionV>
              <wp:extent cx="139700" cy="17589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25088" type="#_x0000_t202" id="docshape105" filled="false" stroked="false">
              <v:textbox inset="0,0,0,0">
                <w:txbxContent>
                  <w:p>
                    <w:pPr>
                      <w:pStyle w:val="BodyText"/>
                      <w:ind w:left="20"/>
                      <w:jc w:val="left"/>
                      <w:rPr>
                        <w:rFonts w:ascii="Times New Roman"/>
                      </w:rPr>
                    </w:pPr>
                    <w:r>
                      <w:rPr>
                        <w:rFonts w:ascii="Times New Roman"/>
                        <w:color w:val="0B0B0B"/>
                        <w:spacing w:val="-5"/>
                      </w:rPr>
                      <w:t>35</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91904">
              <wp:simplePos x="0" y="0"/>
              <wp:positionH relativeFrom="page">
                <wp:posOffset>1242822</wp:posOffset>
              </wp:positionH>
              <wp:positionV relativeFrom="page">
                <wp:posOffset>593610</wp:posOffset>
              </wp:positionV>
              <wp:extent cx="5287010" cy="2794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24576" id="docshape10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92416">
              <wp:simplePos x="0" y="0"/>
              <wp:positionH relativeFrom="page">
                <wp:posOffset>1249174</wp:posOffset>
              </wp:positionH>
              <wp:positionV relativeFrom="page">
                <wp:posOffset>425413</wp:posOffset>
              </wp:positionV>
              <wp:extent cx="139700" cy="17589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24064" type="#_x0000_t202" id="docshape107" filled="false" stroked="false">
              <v:textbox inset="0,0,0,0">
                <w:txbxContent>
                  <w:p>
                    <w:pPr>
                      <w:pStyle w:val="BodyText"/>
                      <w:ind w:left="20"/>
                      <w:jc w:val="left"/>
                      <w:rPr>
                        <w:rFonts w:ascii="Times New Roman"/>
                      </w:rPr>
                    </w:pPr>
                    <w:r>
                      <w:rPr>
                        <w:rFonts w:ascii="Times New Roman"/>
                        <w:color w:val="0B0B0B"/>
                        <w:spacing w:val="-5"/>
                      </w:rPr>
                      <w:t>36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2928">
              <wp:simplePos x="0" y="0"/>
              <wp:positionH relativeFrom="page">
                <wp:posOffset>3461256</wp:posOffset>
              </wp:positionH>
              <wp:positionV relativeFrom="page">
                <wp:posOffset>425413</wp:posOffset>
              </wp:positionV>
              <wp:extent cx="906144" cy="17589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23552" type="#_x0000_t202" id="docshape10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3440">
              <wp:simplePos x="0" y="0"/>
              <wp:positionH relativeFrom="page">
                <wp:posOffset>5263002</wp:posOffset>
              </wp:positionH>
              <wp:positionV relativeFrom="page">
                <wp:posOffset>425413</wp:posOffset>
              </wp:positionV>
              <wp:extent cx="1279525" cy="17589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23040" type="#_x0000_t202" id="docshape10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93952">
              <wp:simplePos x="0" y="0"/>
              <wp:positionH relativeFrom="page">
                <wp:posOffset>1242822</wp:posOffset>
              </wp:positionH>
              <wp:positionV relativeFrom="page">
                <wp:posOffset>593610</wp:posOffset>
              </wp:positionV>
              <wp:extent cx="5287010" cy="2794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22528" id="docshape11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94464">
              <wp:simplePos x="0" y="0"/>
              <wp:positionH relativeFrom="page">
                <wp:posOffset>1249174</wp:posOffset>
              </wp:positionH>
              <wp:positionV relativeFrom="page">
                <wp:posOffset>425413</wp:posOffset>
              </wp:positionV>
              <wp:extent cx="1279525" cy="17589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22016" type="#_x0000_t202" id="docshape11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4976">
              <wp:simplePos x="0" y="0"/>
              <wp:positionH relativeFrom="page">
                <wp:posOffset>3460365</wp:posOffset>
              </wp:positionH>
              <wp:positionV relativeFrom="page">
                <wp:posOffset>425413</wp:posOffset>
              </wp:positionV>
              <wp:extent cx="906144" cy="17589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21504" type="#_x0000_t202" id="docshape11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5488">
              <wp:simplePos x="0" y="0"/>
              <wp:positionH relativeFrom="page">
                <wp:posOffset>6402058</wp:posOffset>
              </wp:positionH>
              <wp:positionV relativeFrom="page">
                <wp:posOffset>425413</wp:posOffset>
              </wp:positionV>
              <wp:extent cx="139700" cy="17589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20992" type="#_x0000_t202" id="docshape113" filled="false" stroked="false">
              <v:textbox inset="0,0,0,0">
                <w:txbxContent>
                  <w:p>
                    <w:pPr>
                      <w:pStyle w:val="BodyText"/>
                      <w:ind w:left="20"/>
                      <w:jc w:val="left"/>
                      <w:rPr>
                        <w:rFonts w:ascii="Times New Roman"/>
                      </w:rPr>
                    </w:pPr>
                    <w:r>
                      <w:rPr>
                        <w:rFonts w:ascii="Times New Roman"/>
                        <w:color w:val="0B0B0B"/>
                        <w:spacing w:val="-5"/>
                      </w:rPr>
                      <w:t>37</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96000">
              <wp:simplePos x="0" y="0"/>
              <wp:positionH relativeFrom="page">
                <wp:posOffset>1242822</wp:posOffset>
              </wp:positionH>
              <wp:positionV relativeFrom="page">
                <wp:posOffset>593610</wp:posOffset>
              </wp:positionV>
              <wp:extent cx="5287010" cy="2794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20480" id="docshape11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96512">
              <wp:simplePos x="0" y="0"/>
              <wp:positionH relativeFrom="page">
                <wp:posOffset>1249174</wp:posOffset>
              </wp:positionH>
              <wp:positionV relativeFrom="page">
                <wp:posOffset>425413</wp:posOffset>
              </wp:positionV>
              <wp:extent cx="139700" cy="17589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19968" type="#_x0000_t202" id="docshape115" filled="false" stroked="false">
              <v:textbox inset="0,0,0,0">
                <w:txbxContent>
                  <w:p>
                    <w:pPr>
                      <w:pStyle w:val="BodyText"/>
                      <w:ind w:left="20"/>
                      <w:jc w:val="left"/>
                      <w:rPr>
                        <w:rFonts w:ascii="Times New Roman"/>
                      </w:rPr>
                    </w:pPr>
                    <w:r>
                      <w:rPr>
                        <w:rFonts w:ascii="Times New Roman"/>
                        <w:color w:val="0B0B0B"/>
                        <w:spacing w:val="-5"/>
                      </w:rPr>
                      <w:t>38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7024">
              <wp:simplePos x="0" y="0"/>
              <wp:positionH relativeFrom="page">
                <wp:posOffset>3461256</wp:posOffset>
              </wp:positionH>
              <wp:positionV relativeFrom="page">
                <wp:posOffset>425413</wp:posOffset>
              </wp:positionV>
              <wp:extent cx="906144" cy="17589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19456" type="#_x0000_t202" id="docshape11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7536">
              <wp:simplePos x="0" y="0"/>
              <wp:positionH relativeFrom="page">
                <wp:posOffset>5263002</wp:posOffset>
              </wp:positionH>
              <wp:positionV relativeFrom="page">
                <wp:posOffset>425413</wp:posOffset>
              </wp:positionV>
              <wp:extent cx="1279525" cy="17589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18944" type="#_x0000_t202" id="docshape11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42752">
              <wp:simplePos x="0" y="0"/>
              <wp:positionH relativeFrom="page">
                <wp:posOffset>1242822</wp:posOffset>
              </wp:positionH>
              <wp:positionV relativeFrom="page">
                <wp:posOffset>593610</wp:posOffset>
              </wp:positionV>
              <wp:extent cx="5287010" cy="279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73728" id="docshape1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43264">
              <wp:simplePos x="0" y="0"/>
              <wp:positionH relativeFrom="page">
                <wp:posOffset>1249174</wp:posOffset>
              </wp:positionH>
              <wp:positionV relativeFrom="page">
                <wp:posOffset>425413</wp:posOffset>
              </wp:positionV>
              <wp:extent cx="139700" cy="1758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73216" type="#_x0000_t202" id="docshape11" filled="false" stroked="false">
              <v:textbox inset="0,0,0,0">
                <w:txbxContent>
                  <w:p>
                    <w:pPr>
                      <w:pStyle w:val="BodyText"/>
                      <w:ind w:left="20"/>
                      <w:jc w:val="left"/>
                      <w:rPr>
                        <w:rFonts w:ascii="Times New Roman"/>
                      </w:rPr>
                    </w:pPr>
                    <w:r>
                      <w:rPr>
                        <w:rFonts w:ascii="Times New Roman"/>
                        <w:color w:val="0B0B0B"/>
                        <w:spacing w:val="-5"/>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3776">
              <wp:simplePos x="0" y="0"/>
              <wp:positionH relativeFrom="page">
                <wp:posOffset>3461256</wp:posOffset>
              </wp:positionH>
              <wp:positionV relativeFrom="page">
                <wp:posOffset>425413</wp:posOffset>
              </wp:positionV>
              <wp:extent cx="906144" cy="1758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72704" type="#_x0000_t202" id="docshape1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4288">
              <wp:simplePos x="0" y="0"/>
              <wp:positionH relativeFrom="page">
                <wp:posOffset>5263002</wp:posOffset>
              </wp:positionH>
              <wp:positionV relativeFrom="page">
                <wp:posOffset>425413</wp:posOffset>
              </wp:positionV>
              <wp:extent cx="1279525" cy="17589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72192" type="#_x0000_t202" id="docshape1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98048">
              <wp:simplePos x="0" y="0"/>
              <wp:positionH relativeFrom="page">
                <wp:posOffset>1242822</wp:posOffset>
              </wp:positionH>
              <wp:positionV relativeFrom="page">
                <wp:posOffset>593610</wp:posOffset>
              </wp:positionV>
              <wp:extent cx="5287010" cy="2794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18432" id="docshape11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98560">
              <wp:simplePos x="0" y="0"/>
              <wp:positionH relativeFrom="page">
                <wp:posOffset>1249174</wp:posOffset>
              </wp:positionH>
              <wp:positionV relativeFrom="page">
                <wp:posOffset>425413</wp:posOffset>
              </wp:positionV>
              <wp:extent cx="1279525" cy="1758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17920" type="#_x0000_t202" id="docshape11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9072">
              <wp:simplePos x="0" y="0"/>
              <wp:positionH relativeFrom="page">
                <wp:posOffset>3460365</wp:posOffset>
              </wp:positionH>
              <wp:positionV relativeFrom="page">
                <wp:posOffset>425413</wp:posOffset>
              </wp:positionV>
              <wp:extent cx="906144" cy="17589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17408" type="#_x0000_t202" id="docshape12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99584">
              <wp:simplePos x="0" y="0"/>
              <wp:positionH relativeFrom="page">
                <wp:posOffset>6402058</wp:posOffset>
              </wp:positionH>
              <wp:positionV relativeFrom="page">
                <wp:posOffset>425413</wp:posOffset>
              </wp:positionV>
              <wp:extent cx="139700" cy="1758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39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16896" type="#_x0000_t202" id="docshape121" filled="false" stroked="false">
              <v:textbox inset="0,0,0,0">
                <w:txbxContent>
                  <w:p>
                    <w:pPr>
                      <w:pStyle w:val="BodyText"/>
                      <w:ind w:left="20"/>
                      <w:jc w:val="left"/>
                      <w:rPr>
                        <w:rFonts w:ascii="Times New Roman"/>
                      </w:rPr>
                    </w:pPr>
                    <w:r>
                      <w:rPr>
                        <w:rFonts w:ascii="Times New Roman"/>
                        <w:color w:val="0B0B0B"/>
                        <w:spacing w:val="-5"/>
                      </w:rPr>
                      <w:t>39</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00096">
              <wp:simplePos x="0" y="0"/>
              <wp:positionH relativeFrom="page">
                <wp:posOffset>1242822</wp:posOffset>
              </wp:positionH>
              <wp:positionV relativeFrom="page">
                <wp:posOffset>593610</wp:posOffset>
              </wp:positionV>
              <wp:extent cx="5287010" cy="2794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16384" id="docshape12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00608">
              <wp:simplePos x="0" y="0"/>
              <wp:positionH relativeFrom="page">
                <wp:posOffset>1249174</wp:posOffset>
              </wp:positionH>
              <wp:positionV relativeFrom="page">
                <wp:posOffset>425413</wp:posOffset>
              </wp:positionV>
              <wp:extent cx="139700" cy="17589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15872" type="#_x0000_t202" id="docshape123" filled="false" stroked="false">
              <v:textbox inset="0,0,0,0">
                <w:txbxContent>
                  <w:p>
                    <w:pPr>
                      <w:pStyle w:val="BodyText"/>
                      <w:ind w:left="20"/>
                      <w:jc w:val="left"/>
                      <w:rPr>
                        <w:rFonts w:ascii="Times New Roman"/>
                      </w:rPr>
                    </w:pPr>
                    <w:r>
                      <w:rPr>
                        <w:rFonts w:ascii="Times New Roman"/>
                        <w:color w:val="0B0B0B"/>
                        <w:spacing w:val="-5"/>
                      </w:rPr>
                      <w:t>40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1120">
              <wp:simplePos x="0" y="0"/>
              <wp:positionH relativeFrom="page">
                <wp:posOffset>3461256</wp:posOffset>
              </wp:positionH>
              <wp:positionV relativeFrom="page">
                <wp:posOffset>425413</wp:posOffset>
              </wp:positionV>
              <wp:extent cx="906144" cy="17589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15360" type="#_x0000_t202" id="docshape12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1632">
              <wp:simplePos x="0" y="0"/>
              <wp:positionH relativeFrom="page">
                <wp:posOffset>5263002</wp:posOffset>
              </wp:positionH>
              <wp:positionV relativeFrom="page">
                <wp:posOffset>425413</wp:posOffset>
              </wp:positionV>
              <wp:extent cx="1279525" cy="17589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14848" type="#_x0000_t202" id="docshape12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02144">
              <wp:simplePos x="0" y="0"/>
              <wp:positionH relativeFrom="page">
                <wp:posOffset>1242822</wp:posOffset>
              </wp:positionH>
              <wp:positionV relativeFrom="page">
                <wp:posOffset>593610</wp:posOffset>
              </wp:positionV>
              <wp:extent cx="5287010" cy="2794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14336" id="docshape12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02656">
              <wp:simplePos x="0" y="0"/>
              <wp:positionH relativeFrom="page">
                <wp:posOffset>1249174</wp:posOffset>
              </wp:positionH>
              <wp:positionV relativeFrom="page">
                <wp:posOffset>425413</wp:posOffset>
              </wp:positionV>
              <wp:extent cx="1279525" cy="17589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13824" type="#_x0000_t202" id="docshape12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3168">
              <wp:simplePos x="0" y="0"/>
              <wp:positionH relativeFrom="page">
                <wp:posOffset>3460365</wp:posOffset>
              </wp:positionH>
              <wp:positionV relativeFrom="page">
                <wp:posOffset>425413</wp:posOffset>
              </wp:positionV>
              <wp:extent cx="906144" cy="17589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13312" type="#_x0000_t202" id="docshape12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3680">
              <wp:simplePos x="0" y="0"/>
              <wp:positionH relativeFrom="page">
                <wp:posOffset>6402058</wp:posOffset>
              </wp:positionH>
              <wp:positionV relativeFrom="page">
                <wp:posOffset>425413</wp:posOffset>
              </wp:positionV>
              <wp:extent cx="139700" cy="17589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12800" type="#_x0000_t202" id="docshape129" filled="false" stroked="false">
              <v:textbox inset="0,0,0,0">
                <w:txbxContent>
                  <w:p>
                    <w:pPr>
                      <w:pStyle w:val="BodyText"/>
                      <w:ind w:left="20"/>
                      <w:jc w:val="left"/>
                      <w:rPr>
                        <w:rFonts w:ascii="Times New Roman"/>
                      </w:rPr>
                    </w:pPr>
                    <w:r>
                      <w:rPr>
                        <w:rFonts w:ascii="Times New Roman"/>
                        <w:color w:val="0B0B0B"/>
                        <w:spacing w:val="-5"/>
                      </w:rPr>
                      <w:t>41</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04192">
              <wp:simplePos x="0" y="0"/>
              <wp:positionH relativeFrom="page">
                <wp:posOffset>1242822</wp:posOffset>
              </wp:positionH>
              <wp:positionV relativeFrom="page">
                <wp:posOffset>593610</wp:posOffset>
              </wp:positionV>
              <wp:extent cx="5287010" cy="2794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12288" id="docshape13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04704">
              <wp:simplePos x="0" y="0"/>
              <wp:positionH relativeFrom="page">
                <wp:posOffset>1249174</wp:posOffset>
              </wp:positionH>
              <wp:positionV relativeFrom="page">
                <wp:posOffset>425413</wp:posOffset>
              </wp:positionV>
              <wp:extent cx="139700" cy="17589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11776" type="#_x0000_t202" id="docshape131" filled="false" stroked="false">
              <v:textbox inset="0,0,0,0">
                <w:txbxContent>
                  <w:p>
                    <w:pPr>
                      <w:pStyle w:val="BodyText"/>
                      <w:ind w:left="20"/>
                      <w:jc w:val="left"/>
                      <w:rPr>
                        <w:rFonts w:ascii="Times New Roman"/>
                      </w:rPr>
                    </w:pPr>
                    <w:r>
                      <w:rPr>
                        <w:rFonts w:ascii="Times New Roman"/>
                        <w:color w:val="0B0B0B"/>
                        <w:spacing w:val="-5"/>
                      </w:rPr>
                      <w:t>42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5216">
              <wp:simplePos x="0" y="0"/>
              <wp:positionH relativeFrom="page">
                <wp:posOffset>3461256</wp:posOffset>
              </wp:positionH>
              <wp:positionV relativeFrom="page">
                <wp:posOffset>425413</wp:posOffset>
              </wp:positionV>
              <wp:extent cx="906144" cy="17589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11264" type="#_x0000_t202" id="docshape13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5728">
              <wp:simplePos x="0" y="0"/>
              <wp:positionH relativeFrom="page">
                <wp:posOffset>5263002</wp:posOffset>
              </wp:positionH>
              <wp:positionV relativeFrom="page">
                <wp:posOffset>425413</wp:posOffset>
              </wp:positionV>
              <wp:extent cx="1279525" cy="17589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10752" type="#_x0000_t202" id="docshape13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06240">
              <wp:simplePos x="0" y="0"/>
              <wp:positionH relativeFrom="page">
                <wp:posOffset>1242822</wp:posOffset>
              </wp:positionH>
              <wp:positionV relativeFrom="page">
                <wp:posOffset>593610</wp:posOffset>
              </wp:positionV>
              <wp:extent cx="5287010" cy="2794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10240" id="docshape13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06752">
              <wp:simplePos x="0" y="0"/>
              <wp:positionH relativeFrom="page">
                <wp:posOffset>1249174</wp:posOffset>
              </wp:positionH>
              <wp:positionV relativeFrom="page">
                <wp:posOffset>425413</wp:posOffset>
              </wp:positionV>
              <wp:extent cx="1279525" cy="17589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09728" type="#_x0000_t202" id="docshape13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7264">
              <wp:simplePos x="0" y="0"/>
              <wp:positionH relativeFrom="page">
                <wp:posOffset>3460365</wp:posOffset>
              </wp:positionH>
              <wp:positionV relativeFrom="page">
                <wp:posOffset>425413</wp:posOffset>
              </wp:positionV>
              <wp:extent cx="906144" cy="17589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09216" type="#_x0000_t202" id="docshape13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7776">
              <wp:simplePos x="0" y="0"/>
              <wp:positionH relativeFrom="page">
                <wp:posOffset>6402058</wp:posOffset>
              </wp:positionH>
              <wp:positionV relativeFrom="page">
                <wp:posOffset>425413</wp:posOffset>
              </wp:positionV>
              <wp:extent cx="139700" cy="17589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08704" type="#_x0000_t202" id="docshape137" filled="false" stroked="false">
              <v:textbox inset="0,0,0,0">
                <w:txbxContent>
                  <w:p>
                    <w:pPr>
                      <w:pStyle w:val="BodyText"/>
                      <w:ind w:left="20"/>
                      <w:jc w:val="left"/>
                      <w:rPr>
                        <w:rFonts w:ascii="Times New Roman"/>
                      </w:rPr>
                    </w:pPr>
                    <w:r>
                      <w:rPr>
                        <w:rFonts w:ascii="Times New Roman"/>
                        <w:color w:val="0B0B0B"/>
                        <w:spacing w:val="-5"/>
                      </w:rPr>
                      <w:t>43</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08288">
              <wp:simplePos x="0" y="0"/>
              <wp:positionH relativeFrom="page">
                <wp:posOffset>1242822</wp:posOffset>
              </wp:positionH>
              <wp:positionV relativeFrom="page">
                <wp:posOffset>593610</wp:posOffset>
              </wp:positionV>
              <wp:extent cx="5287010" cy="2794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08192" id="docshape13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08800">
              <wp:simplePos x="0" y="0"/>
              <wp:positionH relativeFrom="page">
                <wp:posOffset>1249174</wp:posOffset>
              </wp:positionH>
              <wp:positionV relativeFrom="page">
                <wp:posOffset>425413</wp:posOffset>
              </wp:positionV>
              <wp:extent cx="139700" cy="17589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07680" type="#_x0000_t202" id="docshape139" filled="false" stroked="false">
              <v:textbox inset="0,0,0,0">
                <w:txbxContent>
                  <w:p>
                    <w:pPr>
                      <w:pStyle w:val="BodyText"/>
                      <w:ind w:left="20"/>
                      <w:jc w:val="left"/>
                      <w:rPr>
                        <w:rFonts w:ascii="Times New Roman"/>
                      </w:rPr>
                    </w:pPr>
                    <w:r>
                      <w:rPr>
                        <w:rFonts w:ascii="Times New Roman"/>
                        <w:color w:val="0B0B0B"/>
                        <w:spacing w:val="-5"/>
                      </w:rPr>
                      <w:t>44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9312">
              <wp:simplePos x="0" y="0"/>
              <wp:positionH relativeFrom="page">
                <wp:posOffset>3461256</wp:posOffset>
              </wp:positionH>
              <wp:positionV relativeFrom="page">
                <wp:posOffset>425413</wp:posOffset>
              </wp:positionV>
              <wp:extent cx="906144" cy="17589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07168" type="#_x0000_t202" id="docshape14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09824">
              <wp:simplePos x="0" y="0"/>
              <wp:positionH relativeFrom="page">
                <wp:posOffset>5263002</wp:posOffset>
              </wp:positionH>
              <wp:positionV relativeFrom="page">
                <wp:posOffset>425413</wp:posOffset>
              </wp:positionV>
              <wp:extent cx="1279525" cy="17589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06656" type="#_x0000_t202" id="docshape14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10336">
              <wp:simplePos x="0" y="0"/>
              <wp:positionH relativeFrom="page">
                <wp:posOffset>1242822</wp:posOffset>
              </wp:positionH>
              <wp:positionV relativeFrom="page">
                <wp:posOffset>593610</wp:posOffset>
              </wp:positionV>
              <wp:extent cx="5287010" cy="2794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06144" id="docshape14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10848">
              <wp:simplePos x="0" y="0"/>
              <wp:positionH relativeFrom="page">
                <wp:posOffset>1249174</wp:posOffset>
              </wp:positionH>
              <wp:positionV relativeFrom="page">
                <wp:posOffset>425413</wp:posOffset>
              </wp:positionV>
              <wp:extent cx="1279525" cy="17589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05632" type="#_x0000_t202" id="docshape14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1360">
              <wp:simplePos x="0" y="0"/>
              <wp:positionH relativeFrom="page">
                <wp:posOffset>3460365</wp:posOffset>
              </wp:positionH>
              <wp:positionV relativeFrom="page">
                <wp:posOffset>425413</wp:posOffset>
              </wp:positionV>
              <wp:extent cx="906144" cy="17589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05120" type="#_x0000_t202" id="docshape14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1872">
              <wp:simplePos x="0" y="0"/>
              <wp:positionH relativeFrom="page">
                <wp:posOffset>6402058</wp:posOffset>
              </wp:positionH>
              <wp:positionV relativeFrom="page">
                <wp:posOffset>425413</wp:posOffset>
              </wp:positionV>
              <wp:extent cx="139700" cy="17589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04608" type="#_x0000_t202" id="docshape145" filled="false" stroked="false">
              <v:textbox inset="0,0,0,0">
                <w:txbxContent>
                  <w:p>
                    <w:pPr>
                      <w:pStyle w:val="BodyText"/>
                      <w:ind w:left="20"/>
                      <w:jc w:val="left"/>
                      <w:rPr>
                        <w:rFonts w:ascii="Times New Roman"/>
                      </w:rPr>
                    </w:pPr>
                    <w:r>
                      <w:rPr>
                        <w:rFonts w:ascii="Times New Roman"/>
                        <w:color w:val="0B0B0B"/>
                        <w:spacing w:val="-5"/>
                      </w:rPr>
                      <w:t>45</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12384">
              <wp:simplePos x="0" y="0"/>
              <wp:positionH relativeFrom="page">
                <wp:posOffset>1242822</wp:posOffset>
              </wp:positionH>
              <wp:positionV relativeFrom="page">
                <wp:posOffset>593610</wp:posOffset>
              </wp:positionV>
              <wp:extent cx="5287010" cy="2794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04096" id="docshape14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12896">
              <wp:simplePos x="0" y="0"/>
              <wp:positionH relativeFrom="page">
                <wp:posOffset>1249174</wp:posOffset>
              </wp:positionH>
              <wp:positionV relativeFrom="page">
                <wp:posOffset>425413</wp:posOffset>
              </wp:positionV>
              <wp:extent cx="139700" cy="17589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03584" type="#_x0000_t202" id="docshape147" filled="false" stroked="false">
              <v:textbox inset="0,0,0,0">
                <w:txbxContent>
                  <w:p>
                    <w:pPr>
                      <w:pStyle w:val="BodyText"/>
                      <w:ind w:left="20"/>
                      <w:jc w:val="left"/>
                      <w:rPr>
                        <w:rFonts w:ascii="Times New Roman"/>
                      </w:rPr>
                    </w:pPr>
                    <w:r>
                      <w:rPr>
                        <w:rFonts w:ascii="Times New Roman"/>
                        <w:color w:val="0B0B0B"/>
                        <w:spacing w:val="-5"/>
                      </w:rPr>
                      <w:t>46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3408">
              <wp:simplePos x="0" y="0"/>
              <wp:positionH relativeFrom="page">
                <wp:posOffset>3461256</wp:posOffset>
              </wp:positionH>
              <wp:positionV relativeFrom="page">
                <wp:posOffset>425413</wp:posOffset>
              </wp:positionV>
              <wp:extent cx="906144" cy="17589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03072" type="#_x0000_t202" id="docshape14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3920">
              <wp:simplePos x="0" y="0"/>
              <wp:positionH relativeFrom="page">
                <wp:posOffset>5263002</wp:posOffset>
              </wp:positionH>
              <wp:positionV relativeFrom="page">
                <wp:posOffset>425413</wp:posOffset>
              </wp:positionV>
              <wp:extent cx="1279525" cy="17589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02560" type="#_x0000_t202" id="docshape14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14432">
              <wp:simplePos x="0" y="0"/>
              <wp:positionH relativeFrom="page">
                <wp:posOffset>1242822</wp:posOffset>
              </wp:positionH>
              <wp:positionV relativeFrom="page">
                <wp:posOffset>593610</wp:posOffset>
              </wp:positionV>
              <wp:extent cx="5287010" cy="2794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02048" id="docshape15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14944">
              <wp:simplePos x="0" y="0"/>
              <wp:positionH relativeFrom="page">
                <wp:posOffset>1249174</wp:posOffset>
              </wp:positionH>
              <wp:positionV relativeFrom="page">
                <wp:posOffset>425413</wp:posOffset>
              </wp:positionV>
              <wp:extent cx="1279525" cy="17589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01536" type="#_x0000_t202" id="docshape15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5456">
              <wp:simplePos x="0" y="0"/>
              <wp:positionH relativeFrom="page">
                <wp:posOffset>3460365</wp:posOffset>
              </wp:positionH>
              <wp:positionV relativeFrom="page">
                <wp:posOffset>425413</wp:posOffset>
              </wp:positionV>
              <wp:extent cx="906144" cy="17589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01024" type="#_x0000_t202" id="docshape15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5968">
              <wp:simplePos x="0" y="0"/>
              <wp:positionH relativeFrom="page">
                <wp:posOffset>6402058</wp:posOffset>
              </wp:positionH>
              <wp:positionV relativeFrom="page">
                <wp:posOffset>425413</wp:posOffset>
              </wp:positionV>
              <wp:extent cx="139700" cy="17589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00512" type="#_x0000_t202" id="docshape153" filled="false" stroked="false">
              <v:textbox inset="0,0,0,0">
                <w:txbxContent>
                  <w:p>
                    <w:pPr>
                      <w:pStyle w:val="BodyText"/>
                      <w:ind w:left="20"/>
                      <w:jc w:val="left"/>
                      <w:rPr>
                        <w:rFonts w:ascii="Times New Roman"/>
                      </w:rPr>
                    </w:pPr>
                    <w:r>
                      <w:rPr>
                        <w:rFonts w:ascii="Times New Roman"/>
                        <w:color w:val="0B0B0B"/>
                        <w:spacing w:val="-5"/>
                      </w:rPr>
                      <w:t>47</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16480">
              <wp:simplePos x="0" y="0"/>
              <wp:positionH relativeFrom="page">
                <wp:posOffset>1242822</wp:posOffset>
              </wp:positionH>
              <wp:positionV relativeFrom="page">
                <wp:posOffset>593610</wp:posOffset>
              </wp:positionV>
              <wp:extent cx="5287010" cy="2794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00000" id="docshape15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16992">
              <wp:simplePos x="0" y="0"/>
              <wp:positionH relativeFrom="page">
                <wp:posOffset>1249174</wp:posOffset>
              </wp:positionH>
              <wp:positionV relativeFrom="page">
                <wp:posOffset>425413</wp:posOffset>
              </wp:positionV>
              <wp:extent cx="139700" cy="17589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99488" type="#_x0000_t202" id="docshape155" filled="false" stroked="false">
              <v:textbox inset="0,0,0,0">
                <w:txbxContent>
                  <w:p>
                    <w:pPr>
                      <w:pStyle w:val="BodyText"/>
                      <w:ind w:left="20"/>
                      <w:jc w:val="left"/>
                      <w:rPr>
                        <w:rFonts w:ascii="Times New Roman"/>
                      </w:rPr>
                    </w:pPr>
                    <w:r>
                      <w:rPr>
                        <w:rFonts w:ascii="Times New Roman"/>
                        <w:color w:val="0B0B0B"/>
                        <w:spacing w:val="-5"/>
                      </w:rPr>
                      <w:t>48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7504">
              <wp:simplePos x="0" y="0"/>
              <wp:positionH relativeFrom="page">
                <wp:posOffset>3461256</wp:posOffset>
              </wp:positionH>
              <wp:positionV relativeFrom="page">
                <wp:posOffset>425413</wp:posOffset>
              </wp:positionV>
              <wp:extent cx="906144" cy="17589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98976" type="#_x0000_t202" id="docshape15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8016">
              <wp:simplePos x="0" y="0"/>
              <wp:positionH relativeFrom="page">
                <wp:posOffset>5263002</wp:posOffset>
              </wp:positionH>
              <wp:positionV relativeFrom="page">
                <wp:posOffset>425413</wp:posOffset>
              </wp:positionV>
              <wp:extent cx="1279525" cy="17589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98464" type="#_x0000_t202" id="docshape15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44800">
              <wp:simplePos x="0" y="0"/>
              <wp:positionH relativeFrom="page">
                <wp:posOffset>1242822</wp:posOffset>
              </wp:positionH>
              <wp:positionV relativeFrom="page">
                <wp:posOffset>593610</wp:posOffset>
              </wp:positionV>
              <wp:extent cx="5287010" cy="2794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71680" id="docshape1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45312">
              <wp:simplePos x="0" y="0"/>
              <wp:positionH relativeFrom="page">
                <wp:posOffset>1249174</wp:posOffset>
              </wp:positionH>
              <wp:positionV relativeFrom="page">
                <wp:posOffset>425413</wp:posOffset>
              </wp:positionV>
              <wp:extent cx="1279525" cy="1758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71168" type="#_x0000_t202" id="docshape1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5824">
              <wp:simplePos x="0" y="0"/>
              <wp:positionH relativeFrom="page">
                <wp:posOffset>3460365</wp:posOffset>
              </wp:positionH>
              <wp:positionV relativeFrom="page">
                <wp:posOffset>425413</wp:posOffset>
              </wp:positionV>
              <wp:extent cx="906144" cy="1758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70656" type="#_x0000_t202" id="docshape1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6336">
              <wp:simplePos x="0" y="0"/>
              <wp:positionH relativeFrom="page">
                <wp:posOffset>6402058</wp:posOffset>
              </wp:positionH>
              <wp:positionV relativeFrom="page">
                <wp:posOffset>425413</wp:posOffset>
              </wp:positionV>
              <wp:extent cx="139700" cy="1758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70144" type="#_x0000_t202" id="docshape17" filled="false" stroked="false">
              <v:textbox inset="0,0,0,0">
                <w:txbxContent>
                  <w:p>
                    <w:pPr>
                      <w:pStyle w:val="BodyText"/>
                      <w:ind w:left="20"/>
                      <w:jc w:val="left"/>
                      <w:rPr>
                        <w:rFonts w:ascii="Times New Roman"/>
                      </w:rPr>
                    </w:pPr>
                    <w:r>
                      <w:rPr>
                        <w:rFonts w:ascii="Times New Roman"/>
                        <w:color w:val="0B0B0B"/>
                        <w:spacing w:val="-5"/>
                      </w:rPr>
                      <w:t>13</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18528">
              <wp:simplePos x="0" y="0"/>
              <wp:positionH relativeFrom="page">
                <wp:posOffset>1242822</wp:posOffset>
              </wp:positionH>
              <wp:positionV relativeFrom="page">
                <wp:posOffset>593610</wp:posOffset>
              </wp:positionV>
              <wp:extent cx="5287010" cy="2794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97952" id="docshape15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19040">
              <wp:simplePos x="0" y="0"/>
              <wp:positionH relativeFrom="page">
                <wp:posOffset>1249174</wp:posOffset>
              </wp:positionH>
              <wp:positionV relativeFrom="page">
                <wp:posOffset>425413</wp:posOffset>
              </wp:positionV>
              <wp:extent cx="1279525" cy="17589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97440" type="#_x0000_t202" id="docshape15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19552">
              <wp:simplePos x="0" y="0"/>
              <wp:positionH relativeFrom="page">
                <wp:posOffset>3460365</wp:posOffset>
              </wp:positionH>
              <wp:positionV relativeFrom="page">
                <wp:posOffset>425413</wp:posOffset>
              </wp:positionV>
              <wp:extent cx="906144" cy="17589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96928" type="#_x0000_t202" id="docshape16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0064">
              <wp:simplePos x="0" y="0"/>
              <wp:positionH relativeFrom="page">
                <wp:posOffset>6402058</wp:posOffset>
              </wp:positionH>
              <wp:positionV relativeFrom="page">
                <wp:posOffset>425413</wp:posOffset>
              </wp:positionV>
              <wp:extent cx="139700" cy="17589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49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96416" type="#_x0000_t202" id="docshape161" filled="false" stroked="false">
              <v:textbox inset="0,0,0,0">
                <w:txbxContent>
                  <w:p>
                    <w:pPr>
                      <w:pStyle w:val="BodyText"/>
                      <w:ind w:left="20"/>
                      <w:jc w:val="left"/>
                      <w:rPr>
                        <w:rFonts w:ascii="Times New Roman"/>
                      </w:rPr>
                    </w:pPr>
                    <w:r>
                      <w:rPr>
                        <w:rFonts w:ascii="Times New Roman"/>
                        <w:color w:val="0B0B0B"/>
                        <w:spacing w:val="-5"/>
                      </w:rPr>
                      <w:t>49</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20576">
              <wp:simplePos x="0" y="0"/>
              <wp:positionH relativeFrom="page">
                <wp:posOffset>1242822</wp:posOffset>
              </wp:positionH>
              <wp:positionV relativeFrom="page">
                <wp:posOffset>593610</wp:posOffset>
              </wp:positionV>
              <wp:extent cx="5287010" cy="2794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95904" id="docshape16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21088">
              <wp:simplePos x="0" y="0"/>
              <wp:positionH relativeFrom="page">
                <wp:posOffset>1249174</wp:posOffset>
              </wp:positionH>
              <wp:positionV relativeFrom="page">
                <wp:posOffset>425413</wp:posOffset>
              </wp:positionV>
              <wp:extent cx="139700" cy="17589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95392" type="#_x0000_t202" id="docshape163" filled="false" stroked="false">
              <v:textbox inset="0,0,0,0">
                <w:txbxContent>
                  <w:p>
                    <w:pPr>
                      <w:pStyle w:val="BodyText"/>
                      <w:ind w:left="20"/>
                      <w:jc w:val="left"/>
                      <w:rPr>
                        <w:rFonts w:ascii="Times New Roman"/>
                      </w:rPr>
                    </w:pPr>
                    <w:r>
                      <w:rPr>
                        <w:rFonts w:ascii="Times New Roman"/>
                        <w:color w:val="0B0B0B"/>
                        <w:spacing w:val="-5"/>
                      </w:rPr>
                      <w:t>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1600">
              <wp:simplePos x="0" y="0"/>
              <wp:positionH relativeFrom="page">
                <wp:posOffset>3461256</wp:posOffset>
              </wp:positionH>
              <wp:positionV relativeFrom="page">
                <wp:posOffset>425413</wp:posOffset>
              </wp:positionV>
              <wp:extent cx="906144" cy="17589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94880" type="#_x0000_t202" id="docshape16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2112">
              <wp:simplePos x="0" y="0"/>
              <wp:positionH relativeFrom="page">
                <wp:posOffset>5263002</wp:posOffset>
              </wp:positionH>
              <wp:positionV relativeFrom="page">
                <wp:posOffset>425413</wp:posOffset>
              </wp:positionV>
              <wp:extent cx="1279525" cy="17589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94368" type="#_x0000_t202" id="docshape16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22624">
              <wp:simplePos x="0" y="0"/>
              <wp:positionH relativeFrom="page">
                <wp:posOffset>1242822</wp:posOffset>
              </wp:positionH>
              <wp:positionV relativeFrom="page">
                <wp:posOffset>593610</wp:posOffset>
              </wp:positionV>
              <wp:extent cx="5287010" cy="2794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93856" id="docshape16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23136">
              <wp:simplePos x="0" y="0"/>
              <wp:positionH relativeFrom="page">
                <wp:posOffset>1249174</wp:posOffset>
              </wp:positionH>
              <wp:positionV relativeFrom="page">
                <wp:posOffset>425413</wp:posOffset>
              </wp:positionV>
              <wp:extent cx="1279525" cy="17589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93344" type="#_x0000_t202" id="docshape16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3648">
              <wp:simplePos x="0" y="0"/>
              <wp:positionH relativeFrom="page">
                <wp:posOffset>3460365</wp:posOffset>
              </wp:positionH>
              <wp:positionV relativeFrom="page">
                <wp:posOffset>425413</wp:posOffset>
              </wp:positionV>
              <wp:extent cx="906144" cy="17589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92832" type="#_x0000_t202" id="docshape16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4160">
              <wp:simplePos x="0" y="0"/>
              <wp:positionH relativeFrom="page">
                <wp:posOffset>6402058</wp:posOffset>
              </wp:positionH>
              <wp:positionV relativeFrom="page">
                <wp:posOffset>425413</wp:posOffset>
              </wp:positionV>
              <wp:extent cx="139700" cy="17589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92320" type="#_x0000_t202" id="docshape169" filled="false" stroked="false">
              <v:textbox inset="0,0,0,0">
                <w:txbxContent>
                  <w:p>
                    <w:pPr>
                      <w:pStyle w:val="BodyText"/>
                      <w:ind w:left="20"/>
                      <w:jc w:val="left"/>
                      <w:rPr>
                        <w:rFonts w:ascii="Times New Roman"/>
                      </w:rPr>
                    </w:pPr>
                    <w:r>
                      <w:rPr>
                        <w:rFonts w:ascii="Times New Roman"/>
                        <w:color w:val="0B0B0B"/>
                        <w:spacing w:val="-5"/>
                      </w:rPr>
                      <w:t>51</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24672">
              <wp:simplePos x="0" y="0"/>
              <wp:positionH relativeFrom="page">
                <wp:posOffset>1242822</wp:posOffset>
              </wp:positionH>
              <wp:positionV relativeFrom="page">
                <wp:posOffset>593610</wp:posOffset>
              </wp:positionV>
              <wp:extent cx="5287010" cy="2794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91808" id="docshape17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25184">
              <wp:simplePos x="0" y="0"/>
              <wp:positionH relativeFrom="page">
                <wp:posOffset>1249174</wp:posOffset>
              </wp:positionH>
              <wp:positionV relativeFrom="page">
                <wp:posOffset>425413</wp:posOffset>
              </wp:positionV>
              <wp:extent cx="139700" cy="17589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91296" type="#_x0000_t202" id="docshape171" filled="false" stroked="false">
              <v:textbox inset="0,0,0,0">
                <w:txbxContent>
                  <w:p>
                    <w:pPr>
                      <w:pStyle w:val="BodyText"/>
                      <w:ind w:left="20"/>
                      <w:jc w:val="left"/>
                      <w:rPr>
                        <w:rFonts w:ascii="Times New Roman"/>
                      </w:rPr>
                    </w:pPr>
                    <w:r>
                      <w:rPr>
                        <w:rFonts w:ascii="Times New Roman"/>
                        <w:color w:val="0B0B0B"/>
                        <w:spacing w:val="-5"/>
                      </w:rPr>
                      <w:t>52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5696">
              <wp:simplePos x="0" y="0"/>
              <wp:positionH relativeFrom="page">
                <wp:posOffset>3461256</wp:posOffset>
              </wp:positionH>
              <wp:positionV relativeFrom="page">
                <wp:posOffset>425413</wp:posOffset>
              </wp:positionV>
              <wp:extent cx="906144" cy="17589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90784" type="#_x0000_t202" id="docshape17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6208">
              <wp:simplePos x="0" y="0"/>
              <wp:positionH relativeFrom="page">
                <wp:posOffset>5263002</wp:posOffset>
              </wp:positionH>
              <wp:positionV relativeFrom="page">
                <wp:posOffset>425413</wp:posOffset>
              </wp:positionV>
              <wp:extent cx="1279525" cy="17589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90272" type="#_x0000_t202" id="docshape17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26720">
              <wp:simplePos x="0" y="0"/>
              <wp:positionH relativeFrom="page">
                <wp:posOffset>1242822</wp:posOffset>
              </wp:positionH>
              <wp:positionV relativeFrom="page">
                <wp:posOffset>593610</wp:posOffset>
              </wp:positionV>
              <wp:extent cx="5287010" cy="2794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89760" id="docshape17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27232">
              <wp:simplePos x="0" y="0"/>
              <wp:positionH relativeFrom="page">
                <wp:posOffset>1249174</wp:posOffset>
              </wp:positionH>
              <wp:positionV relativeFrom="page">
                <wp:posOffset>425413</wp:posOffset>
              </wp:positionV>
              <wp:extent cx="1279525" cy="17589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89248" type="#_x0000_t202" id="docshape17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7744">
              <wp:simplePos x="0" y="0"/>
              <wp:positionH relativeFrom="page">
                <wp:posOffset>3460365</wp:posOffset>
              </wp:positionH>
              <wp:positionV relativeFrom="page">
                <wp:posOffset>425413</wp:posOffset>
              </wp:positionV>
              <wp:extent cx="906144" cy="17589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88736" type="#_x0000_t202" id="docshape17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8256">
              <wp:simplePos x="0" y="0"/>
              <wp:positionH relativeFrom="page">
                <wp:posOffset>6402058</wp:posOffset>
              </wp:positionH>
              <wp:positionV relativeFrom="page">
                <wp:posOffset>425413</wp:posOffset>
              </wp:positionV>
              <wp:extent cx="139700" cy="17589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88224" type="#_x0000_t202" id="docshape177" filled="false" stroked="false">
              <v:textbox inset="0,0,0,0">
                <w:txbxContent>
                  <w:p>
                    <w:pPr>
                      <w:pStyle w:val="BodyText"/>
                      <w:ind w:left="20"/>
                      <w:jc w:val="left"/>
                      <w:rPr>
                        <w:rFonts w:ascii="Times New Roman"/>
                      </w:rPr>
                    </w:pPr>
                    <w:r>
                      <w:rPr>
                        <w:rFonts w:ascii="Times New Roman"/>
                        <w:color w:val="0B0B0B"/>
                        <w:spacing w:val="-5"/>
                      </w:rPr>
                      <w:t>53</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28768">
              <wp:simplePos x="0" y="0"/>
              <wp:positionH relativeFrom="page">
                <wp:posOffset>1242822</wp:posOffset>
              </wp:positionH>
              <wp:positionV relativeFrom="page">
                <wp:posOffset>593610</wp:posOffset>
              </wp:positionV>
              <wp:extent cx="5287010" cy="2794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87712" id="docshape17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29280">
              <wp:simplePos x="0" y="0"/>
              <wp:positionH relativeFrom="page">
                <wp:posOffset>1249174</wp:posOffset>
              </wp:positionH>
              <wp:positionV relativeFrom="page">
                <wp:posOffset>425413</wp:posOffset>
              </wp:positionV>
              <wp:extent cx="139700" cy="17589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87200" type="#_x0000_t202" id="docshape179" filled="false" stroked="false">
              <v:textbox inset="0,0,0,0">
                <w:txbxContent>
                  <w:p>
                    <w:pPr>
                      <w:pStyle w:val="BodyText"/>
                      <w:ind w:left="20"/>
                      <w:jc w:val="left"/>
                      <w:rPr>
                        <w:rFonts w:ascii="Times New Roman"/>
                      </w:rPr>
                    </w:pPr>
                    <w:r>
                      <w:rPr>
                        <w:rFonts w:ascii="Times New Roman"/>
                        <w:color w:val="0B0B0B"/>
                        <w:spacing w:val="-5"/>
                      </w:rPr>
                      <w:t>54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29792">
              <wp:simplePos x="0" y="0"/>
              <wp:positionH relativeFrom="page">
                <wp:posOffset>3461256</wp:posOffset>
              </wp:positionH>
              <wp:positionV relativeFrom="page">
                <wp:posOffset>425413</wp:posOffset>
              </wp:positionV>
              <wp:extent cx="906144" cy="17589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86688" type="#_x0000_t202" id="docshape18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0304">
              <wp:simplePos x="0" y="0"/>
              <wp:positionH relativeFrom="page">
                <wp:posOffset>5263002</wp:posOffset>
              </wp:positionH>
              <wp:positionV relativeFrom="page">
                <wp:posOffset>425413</wp:posOffset>
              </wp:positionV>
              <wp:extent cx="1279525" cy="17589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86176" type="#_x0000_t202" id="docshape18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30816">
              <wp:simplePos x="0" y="0"/>
              <wp:positionH relativeFrom="page">
                <wp:posOffset>1242822</wp:posOffset>
              </wp:positionH>
              <wp:positionV relativeFrom="page">
                <wp:posOffset>593610</wp:posOffset>
              </wp:positionV>
              <wp:extent cx="5287010" cy="2794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85664" id="docshape18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31328">
              <wp:simplePos x="0" y="0"/>
              <wp:positionH relativeFrom="page">
                <wp:posOffset>1249174</wp:posOffset>
              </wp:positionH>
              <wp:positionV relativeFrom="page">
                <wp:posOffset>425413</wp:posOffset>
              </wp:positionV>
              <wp:extent cx="1279525" cy="17589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85152" type="#_x0000_t202" id="docshape18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1840">
              <wp:simplePos x="0" y="0"/>
              <wp:positionH relativeFrom="page">
                <wp:posOffset>3460365</wp:posOffset>
              </wp:positionH>
              <wp:positionV relativeFrom="page">
                <wp:posOffset>425413</wp:posOffset>
              </wp:positionV>
              <wp:extent cx="906144" cy="17589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84640" type="#_x0000_t202" id="docshape18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2352">
              <wp:simplePos x="0" y="0"/>
              <wp:positionH relativeFrom="page">
                <wp:posOffset>6402058</wp:posOffset>
              </wp:positionH>
              <wp:positionV relativeFrom="page">
                <wp:posOffset>425413</wp:posOffset>
              </wp:positionV>
              <wp:extent cx="139700" cy="17589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84128" type="#_x0000_t202" id="docshape185" filled="false" stroked="false">
              <v:textbox inset="0,0,0,0">
                <w:txbxContent>
                  <w:p>
                    <w:pPr>
                      <w:pStyle w:val="BodyText"/>
                      <w:ind w:left="20"/>
                      <w:jc w:val="left"/>
                      <w:rPr>
                        <w:rFonts w:ascii="Times New Roman"/>
                      </w:rPr>
                    </w:pPr>
                    <w:r>
                      <w:rPr>
                        <w:rFonts w:ascii="Times New Roman"/>
                        <w:color w:val="0B0B0B"/>
                        <w:spacing w:val="-5"/>
                      </w:rPr>
                      <w:t>55</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32864">
              <wp:simplePos x="0" y="0"/>
              <wp:positionH relativeFrom="page">
                <wp:posOffset>1242822</wp:posOffset>
              </wp:positionH>
              <wp:positionV relativeFrom="page">
                <wp:posOffset>593610</wp:posOffset>
              </wp:positionV>
              <wp:extent cx="5287010" cy="2794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83616" id="docshape18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33376">
              <wp:simplePos x="0" y="0"/>
              <wp:positionH relativeFrom="page">
                <wp:posOffset>1249174</wp:posOffset>
              </wp:positionH>
              <wp:positionV relativeFrom="page">
                <wp:posOffset>425413</wp:posOffset>
              </wp:positionV>
              <wp:extent cx="139700" cy="17589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83104" type="#_x0000_t202" id="docshape187" filled="false" stroked="false">
              <v:textbox inset="0,0,0,0">
                <w:txbxContent>
                  <w:p>
                    <w:pPr>
                      <w:pStyle w:val="BodyText"/>
                      <w:ind w:left="20"/>
                      <w:jc w:val="left"/>
                      <w:rPr>
                        <w:rFonts w:ascii="Times New Roman"/>
                      </w:rPr>
                    </w:pPr>
                    <w:r>
                      <w:rPr>
                        <w:rFonts w:ascii="Times New Roman"/>
                        <w:color w:val="0B0B0B"/>
                        <w:spacing w:val="-5"/>
                      </w:rPr>
                      <w:t>56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3888">
              <wp:simplePos x="0" y="0"/>
              <wp:positionH relativeFrom="page">
                <wp:posOffset>3461256</wp:posOffset>
              </wp:positionH>
              <wp:positionV relativeFrom="page">
                <wp:posOffset>425413</wp:posOffset>
              </wp:positionV>
              <wp:extent cx="906144" cy="17589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82592" type="#_x0000_t202" id="docshape18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4400">
              <wp:simplePos x="0" y="0"/>
              <wp:positionH relativeFrom="page">
                <wp:posOffset>5263002</wp:posOffset>
              </wp:positionH>
              <wp:positionV relativeFrom="page">
                <wp:posOffset>425413</wp:posOffset>
              </wp:positionV>
              <wp:extent cx="1279525" cy="17589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82080" type="#_x0000_t202" id="docshape18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34912">
              <wp:simplePos x="0" y="0"/>
              <wp:positionH relativeFrom="page">
                <wp:posOffset>1242822</wp:posOffset>
              </wp:positionH>
              <wp:positionV relativeFrom="page">
                <wp:posOffset>593610</wp:posOffset>
              </wp:positionV>
              <wp:extent cx="5287010" cy="2794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81568" id="docshape19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35424">
              <wp:simplePos x="0" y="0"/>
              <wp:positionH relativeFrom="page">
                <wp:posOffset>1249174</wp:posOffset>
              </wp:positionH>
              <wp:positionV relativeFrom="page">
                <wp:posOffset>425413</wp:posOffset>
              </wp:positionV>
              <wp:extent cx="1279525" cy="17589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81056" type="#_x0000_t202" id="docshape19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5936">
              <wp:simplePos x="0" y="0"/>
              <wp:positionH relativeFrom="page">
                <wp:posOffset>3460365</wp:posOffset>
              </wp:positionH>
              <wp:positionV relativeFrom="page">
                <wp:posOffset>425413</wp:posOffset>
              </wp:positionV>
              <wp:extent cx="906144" cy="17589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80544" type="#_x0000_t202" id="docshape19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6448">
              <wp:simplePos x="0" y="0"/>
              <wp:positionH relativeFrom="page">
                <wp:posOffset>6402058</wp:posOffset>
              </wp:positionH>
              <wp:positionV relativeFrom="page">
                <wp:posOffset>425413</wp:posOffset>
              </wp:positionV>
              <wp:extent cx="139700" cy="17589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80032" type="#_x0000_t202" id="docshape193" filled="false" stroked="false">
              <v:textbox inset="0,0,0,0">
                <w:txbxContent>
                  <w:p>
                    <w:pPr>
                      <w:pStyle w:val="BodyText"/>
                      <w:ind w:left="20"/>
                      <w:jc w:val="left"/>
                      <w:rPr>
                        <w:rFonts w:ascii="Times New Roman"/>
                      </w:rPr>
                    </w:pPr>
                    <w:r>
                      <w:rPr>
                        <w:rFonts w:ascii="Times New Roman"/>
                        <w:color w:val="0B0B0B"/>
                        <w:spacing w:val="-5"/>
                      </w:rPr>
                      <w:t>57</w:t>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36960">
              <wp:simplePos x="0" y="0"/>
              <wp:positionH relativeFrom="page">
                <wp:posOffset>1242822</wp:posOffset>
              </wp:positionH>
              <wp:positionV relativeFrom="page">
                <wp:posOffset>593610</wp:posOffset>
              </wp:positionV>
              <wp:extent cx="5287010" cy="2794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79520" id="docshape19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37472">
              <wp:simplePos x="0" y="0"/>
              <wp:positionH relativeFrom="page">
                <wp:posOffset>1249174</wp:posOffset>
              </wp:positionH>
              <wp:positionV relativeFrom="page">
                <wp:posOffset>425413</wp:posOffset>
              </wp:positionV>
              <wp:extent cx="139700" cy="17589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79008" type="#_x0000_t202" id="docshape195" filled="false" stroked="false">
              <v:textbox inset="0,0,0,0">
                <w:txbxContent>
                  <w:p>
                    <w:pPr>
                      <w:pStyle w:val="BodyText"/>
                      <w:ind w:left="20"/>
                      <w:jc w:val="left"/>
                      <w:rPr>
                        <w:rFonts w:ascii="Times New Roman"/>
                      </w:rPr>
                    </w:pPr>
                    <w:r>
                      <w:rPr>
                        <w:rFonts w:ascii="Times New Roman"/>
                        <w:color w:val="0B0B0B"/>
                        <w:spacing w:val="-5"/>
                      </w:rPr>
                      <w:t>58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7984">
              <wp:simplePos x="0" y="0"/>
              <wp:positionH relativeFrom="page">
                <wp:posOffset>3461256</wp:posOffset>
              </wp:positionH>
              <wp:positionV relativeFrom="page">
                <wp:posOffset>425413</wp:posOffset>
              </wp:positionV>
              <wp:extent cx="906144" cy="17589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78496" type="#_x0000_t202" id="docshape19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38496">
              <wp:simplePos x="0" y="0"/>
              <wp:positionH relativeFrom="page">
                <wp:posOffset>5263002</wp:posOffset>
              </wp:positionH>
              <wp:positionV relativeFrom="page">
                <wp:posOffset>425413</wp:posOffset>
              </wp:positionV>
              <wp:extent cx="1279525" cy="17589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77984" type="#_x0000_t202" id="docshape19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46848">
              <wp:simplePos x="0" y="0"/>
              <wp:positionH relativeFrom="page">
                <wp:posOffset>1242822</wp:posOffset>
              </wp:positionH>
              <wp:positionV relativeFrom="page">
                <wp:posOffset>593610</wp:posOffset>
              </wp:positionV>
              <wp:extent cx="5287010" cy="279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69632" id="docshape1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47360">
              <wp:simplePos x="0" y="0"/>
              <wp:positionH relativeFrom="page">
                <wp:posOffset>1249174</wp:posOffset>
              </wp:positionH>
              <wp:positionV relativeFrom="page">
                <wp:posOffset>425413</wp:posOffset>
              </wp:positionV>
              <wp:extent cx="139700" cy="1758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69120" type="#_x0000_t202" id="docshape19" filled="false" stroked="false">
              <v:textbox inset="0,0,0,0">
                <w:txbxContent>
                  <w:p>
                    <w:pPr>
                      <w:pStyle w:val="BodyText"/>
                      <w:ind w:left="20"/>
                      <w:jc w:val="left"/>
                      <w:rPr>
                        <w:rFonts w:ascii="Times New Roman"/>
                      </w:rPr>
                    </w:pPr>
                    <w:r>
                      <w:rPr>
                        <w:rFonts w:ascii="Times New Roman"/>
                        <w:color w:val="0B0B0B"/>
                        <w:spacing w:val="-5"/>
                      </w:rPr>
                      <w:t>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7872">
              <wp:simplePos x="0" y="0"/>
              <wp:positionH relativeFrom="page">
                <wp:posOffset>3461256</wp:posOffset>
              </wp:positionH>
              <wp:positionV relativeFrom="page">
                <wp:posOffset>425413</wp:posOffset>
              </wp:positionV>
              <wp:extent cx="906144" cy="1758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68608" type="#_x0000_t202" id="docshape2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8384">
              <wp:simplePos x="0" y="0"/>
              <wp:positionH relativeFrom="page">
                <wp:posOffset>5263002</wp:posOffset>
              </wp:positionH>
              <wp:positionV relativeFrom="page">
                <wp:posOffset>425413</wp:posOffset>
              </wp:positionV>
              <wp:extent cx="1279525" cy="1758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68096" type="#_x0000_t202" id="docshape2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39008">
              <wp:simplePos x="0" y="0"/>
              <wp:positionH relativeFrom="page">
                <wp:posOffset>1242822</wp:posOffset>
              </wp:positionH>
              <wp:positionV relativeFrom="page">
                <wp:posOffset>593610</wp:posOffset>
              </wp:positionV>
              <wp:extent cx="5287010" cy="2794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77472" id="docshape19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39520">
              <wp:simplePos x="0" y="0"/>
              <wp:positionH relativeFrom="page">
                <wp:posOffset>1249174</wp:posOffset>
              </wp:positionH>
              <wp:positionV relativeFrom="page">
                <wp:posOffset>425413</wp:posOffset>
              </wp:positionV>
              <wp:extent cx="1279525" cy="17589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76960" type="#_x0000_t202" id="docshape19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0032">
              <wp:simplePos x="0" y="0"/>
              <wp:positionH relativeFrom="page">
                <wp:posOffset>3460365</wp:posOffset>
              </wp:positionH>
              <wp:positionV relativeFrom="page">
                <wp:posOffset>425413</wp:posOffset>
              </wp:positionV>
              <wp:extent cx="906144" cy="17589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76448" type="#_x0000_t202" id="docshape20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0544">
              <wp:simplePos x="0" y="0"/>
              <wp:positionH relativeFrom="page">
                <wp:posOffset>6402058</wp:posOffset>
              </wp:positionH>
              <wp:positionV relativeFrom="page">
                <wp:posOffset>425413</wp:posOffset>
              </wp:positionV>
              <wp:extent cx="139700" cy="17589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59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75936" type="#_x0000_t202" id="docshape201" filled="false" stroked="false">
              <v:textbox inset="0,0,0,0">
                <w:txbxContent>
                  <w:p>
                    <w:pPr>
                      <w:pStyle w:val="BodyText"/>
                      <w:ind w:left="20"/>
                      <w:jc w:val="left"/>
                      <w:rPr>
                        <w:rFonts w:ascii="Times New Roman"/>
                      </w:rPr>
                    </w:pPr>
                    <w:r>
                      <w:rPr>
                        <w:rFonts w:ascii="Times New Roman"/>
                        <w:color w:val="0B0B0B"/>
                        <w:spacing w:val="-5"/>
                      </w:rPr>
                      <w:t>59</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41056">
              <wp:simplePos x="0" y="0"/>
              <wp:positionH relativeFrom="page">
                <wp:posOffset>1242822</wp:posOffset>
              </wp:positionH>
              <wp:positionV relativeFrom="page">
                <wp:posOffset>593610</wp:posOffset>
              </wp:positionV>
              <wp:extent cx="5287010" cy="2794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75424" id="docshape20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41568">
              <wp:simplePos x="0" y="0"/>
              <wp:positionH relativeFrom="page">
                <wp:posOffset>1249174</wp:posOffset>
              </wp:positionH>
              <wp:positionV relativeFrom="page">
                <wp:posOffset>425413</wp:posOffset>
              </wp:positionV>
              <wp:extent cx="139700" cy="17589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74912" type="#_x0000_t202" id="docshape203" filled="false" stroked="false">
              <v:textbox inset="0,0,0,0">
                <w:txbxContent>
                  <w:p>
                    <w:pPr>
                      <w:pStyle w:val="BodyText"/>
                      <w:ind w:left="20"/>
                      <w:jc w:val="left"/>
                      <w:rPr>
                        <w:rFonts w:ascii="Times New Roman"/>
                      </w:rPr>
                    </w:pPr>
                    <w:r>
                      <w:rPr>
                        <w:rFonts w:ascii="Times New Roman"/>
                        <w:color w:val="0B0B0B"/>
                        <w:spacing w:val="-5"/>
                      </w:rPr>
                      <w:t>60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2080">
              <wp:simplePos x="0" y="0"/>
              <wp:positionH relativeFrom="page">
                <wp:posOffset>3461256</wp:posOffset>
              </wp:positionH>
              <wp:positionV relativeFrom="page">
                <wp:posOffset>425413</wp:posOffset>
              </wp:positionV>
              <wp:extent cx="906144" cy="17589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74400" type="#_x0000_t202" id="docshape20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2592">
              <wp:simplePos x="0" y="0"/>
              <wp:positionH relativeFrom="page">
                <wp:posOffset>5263002</wp:posOffset>
              </wp:positionH>
              <wp:positionV relativeFrom="page">
                <wp:posOffset>425413</wp:posOffset>
              </wp:positionV>
              <wp:extent cx="1279525" cy="17589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73888" type="#_x0000_t202" id="docshape20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43104">
              <wp:simplePos x="0" y="0"/>
              <wp:positionH relativeFrom="page">
                <wp:posOffset>1242822</wp:posOffset>
              </wp:positionH>
              <wp:positionV relativeFrom="page">
                <wp:posOffset>593610</wp:posOffset>
              </wp:positionV>
              <wp:extent cx="5287010" cy="2794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73376" id="docshape20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43616">
              <wp:simplePos x="0" y="0"/>
              <wp:positionH relativeFrom="page">
                <wp:posOffset>1249174</wp:posOffset>
              </wp:positionH>
              <wp:positionV relativeFrom="page">
                <wp:posOffset>425413</wp:posOffset>
              </wp:positionV>
              <wp:extent cx="1279525" cy="17589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72864" type="#_x0000_t202" id="docshape20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4128">
              <wp:simplePos x="0" y="0"/>
              <wp:positionH relativeFrom="page">
                <wp:posOffset>3460365</wp:posOffset>
              </wp:positionH>
              <wp:positionV relativeFrom="page">
                <wp:posOffset>425413</wp:posOffset>
              </wp:positionV>
              <wp:extent cx="906144" cy="17589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72352" type="#_x0000_t202" id="docshape20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4640">
              <wp:simplePos x="0" y="0"/>
              <wp:positionH relativeFrom="page">
                <wp:posOffset>6402058</wp:posOffset>
              </wp:positionH>
              <wp:positionV relativeFrom="page">
                <wp:posOffset>425413</wp:posOffset>
              </wp:positionV>
              <wp:extent cx="139700" cy="175895"/>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71840" type="#_x0000_t202" id="docshape209" filled="false" stroked="false">
              <v:textbox inset="0,0,0,0">
                <w:txbxContent>
                  <w:p>
                    <w:pPr>
                      <w:pStyle w:val="BodyText"/>
                      <w:ind w:left="20"/>
                      <w:jc w:val="left"/>
                      <w:rPr>
                        <w:rFonts w:ascii="Times New Roman"/>
                      </w:rPr>
                    </w:pPr>
                    <w:r>
                      <w:rPr>
                        <w:rFonts w:ascii="Times New Roman"/>
                        <w:color w:val="0B0B0B"/>
                        <w:spacing w:val="-5"/>
                      </w:rPr>
                      <w:t>61</w:t>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45152">
              <wp:simplePos x="0" y="0"/>
              <wp:positionH relativeFrom="page">
                <wp:posOffset>1242822</wp:posOffset>
              </wp:positionH>
              <wp:positionV relativeFrom="page">
                <wp:posOffset>593610</wp:posOffset>
              </wp:positionV>
              <wp:extent cx="5287010" cy="2794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71328" id="docshape21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45664">
              <wp:simplePos x="0" y="0"/>
              <wp:positionH relativeFrom="page">
                <wp:posOffset>1249174</wp:posOffset>
              </wp:positionH>
              <wp:positionV relativeFrom="page">
                <wp:posOffset>425413</wp:posOffset>
              </wp:positionV>
              <wp:extent cx="139700" cy="17589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70816" type="#_x0000_t202" id="docshape211" filled="false" stroked="false">
              <v:textbox inset="0,0,0,0">
                <w:txbxContent>
                  <w:p>
                    <w:pPr>
                      <w:pStyle w:val="BodyText"/>
                      <w:ind w:left="20"/>
                      <w:jc w:val="left"/>
                      <w:rPr>
                        <w:rFonts w:ascii="Times New Roman"/>
                      </w:rPr>
                    </w:pPr>
                    <w:r>
                      <w:rPr>
                        <w:rFonts w:ascii="Times New Roman"/>
                        <w:color w:val="0B0B0B"/>
                        <w:spacing w:val="-5"/>
                      </w:rPr>
                      <w:t>62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6176">
              <wp:simplePos x="0" y="0"/>
              <wp:positionH relativeFrom="page">
                <wp:posOffset>3461256</wp:posOffset>
              </wp:positionH>
              <wp:positionV relativeFrom="page">
                <wp:posOffset>425413</wp:posOffset>
              </wp:positionV>
              <wp:extent cx="906144" cy="17589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70304" type="#_x0000_t202" id="docshape21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6688">
              <wp:simplePos x="0" y="0"/>
              <wp:positionH relativeFrom="page">
                <wp:posOffset>5263002</wp:posOffset>
              </wp:positionH>
              <wp:positionV relativeFrom="page">
                <wp:posOffset>425413</wp:posOffset>
              </wp:positionV>
              <wp:extent cx="1279525" cy="17589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69792" type="#_x0000_t202" id="docshape21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47200">
              <wp:simplePos x="0" y="0"/>
              <wp:positionH relativeFrom="page">
                <wp:posOffset>1242822</wp:posOffset>
              </wp:positionH>
              <wp:positionV relativeFrom="page">
                <wp:posOffset>593610</wp:posOffset>
              </wp:positionV>
              <wp:extent cx="5287010" cy="2794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69280" id="docshape21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47712">
              <wp:simplePos x="0" y="0"/>
              <wp:positionH relativeFrom="page">
                <wp:posOffset>1249174</wp:posOffset>
              </wp:positionH>
              <wp:positionV relativeFrom="page">
                <wp:posOffset>425413</wp:posOffset>
              </wp:positionV>
              <wp:extent cx="1279525" cy="17589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68768" type="#_x0000_t202" id="docshape21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8224">
              <wp:simplePos x="0" y="0"/>
              <wp:positionH relativeFrom="page">
                <wp:posOffset>3460365</wp:posOffset>
              </wp:positionH>
              <wp:positionV relativeFrom="page">
                <wp:posOffset>425413</wp:posOffset>
              </wp:positionV>
              <wp:extent cx="906144" cy="17589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68256" type="#_x0000_t202" id="docshape21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8736">
              <wp:simplePos x="0" y="0"/>
              <wp:positionH relativeFrom="page">
                <wp:posOffset>6402058</wp:posOffset>
              </wp:positionH>
              <wp:positionV relativeFrom="page">
                <wp:posOffset>425413</wp:posOffset>
              </wp:positionV>
              <wp:extent cx="139700" cy="17589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67744" type="#_x0000_t202" id="docshape217" filled="false" stroked="false">
              <v:textbox inset="0,0,0,0">
                <w:txbxContent>
                  <w:p>
                    <w:pPr>
                      <w:pStyle w:val="BodyText"/>
                      <w:ind w:left="20"/>
                      <w:jc w:val="left"/>
                      <w:rPr>
                        <w:rFonts w:ascii="Times New Roman"/>
                      </w:rPr>
                    </w:pPr>
                    <w:r>
                      <w:rPr>
                        <w:rFonts w:ascii="Times New Roman"/>
                        <w:color w:val="0B0B0B"/>
                        <w:spacing w:val="-5"/>
                      </w:rPr>
                      <w:t>63</w:t>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49248">
              <wp:simplePos x="0" y="0"/>
              <wp:positionH relativeFrom="page">
                <wp:posOffset>1242822</wp:posOffset>
              </wp:positionH>
              <wp:positionV relativeFrom="page">
                <wp:posOffset>593610</wp:posOffset>
              </wp:positionV>
              <wp:extent cx="5287010" cy="2794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67232" id="docshape21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49760">
              <wp:simplePos x="0" y="0"/>
              <wp:positionH relativeFrom="page">
                <wp:posOffset>1249174</wp:posOffset>
              </wp:positionH>
              <wp:positionV relativeFrom="page">
                <wp:posOffset>425413</wp:posOffset>
              </wp:positionV>
              <wp:extent cx="139700" cy="17589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66720" type="#_x0000_t202" id="docshape219" filled="false" stroked="false">
              <v:textbox inset="0,0,0,0">
                <w:txbxContent>
                  <w:p>
                    <w:pPr>
                      <w:pStyle w:val="BodyText"/>
                      <w:ind w:left="20"/>
                      <w:jc w:val="left"/>
                      <w:rPr>
                        <w:rFonts w:ascii="Times New Roman"/>
                      </w:rPr>
                    </w:pPr>
                    <w:r>
                      <w:rPr>
                        <w:rFonts w:ascii="Times New Roman"/>
                        <w:color w:val="0B0B0B"/>
                        <w:spacing w:val="-5"/>
                      </w:rPr>
                      <w:t>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0272">
              <wp:simplePos x="0" y="0"/>
              <wp:positionH relativeFrom="page">
                <wp:posOffset>3461256</wp:posOffset>
              </wp:positionH>
              <wp:positionV relativeFrom="page">
                <wp:posOffset>425413</wp:posOffset>
              </wp:positionV>
              <wp:extent cx="906144" cy="17589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66208" type="#_x0000_t202" id="docshape22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0784">
              <wp:simplePos x="0" y="0"/>
              <wp:positionH relativeFrom="page">
                <wp:posOffset>5263002</wp:posOffset>
              </wp:positionH>
              <wp:positionV relativeFrom="page">
                <wp:posOffset>425413</wp:posOffset>
              </wp:positionV>
              <wp:extent cx="1279525" cy="17589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65696" type="#_x0000_t202" id="docshape22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51296">
              <wp:simplePos x="0" y="0"/>
              <wp:positionH relativeFrom="page">
                <wp:posOffset>1242822</wp:posOffset>
              </wp:positionH>
              <wp:positionV relativeFrom="page">
                <wp:posOffset>593610</wp:posOffset>
              </wp:positionV>
              <wp:extent cx="5287010" cy="2794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65184" id="docshape22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51808">
              <wp:simplePos x="0" y="0"/>
              <wp:positionH relativeFrom="page">
                <wp:posOffset>1249174</wp:posOffset>
              </wp:positionH>
              <wp:positionV relativeFrom="page">
                <wp:posOffset>425413</wp:posOffset>
              </wp:positionV>
              <wp:extent cx="1279525" cy="17589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64672" type="#_x0000_t202" id="docshape22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2320">
              <wp:simplePos x="0" y="0"/>
              <wp:positionH relativeFrom="page">
                <wp:posOffset>3460365</wp:posOffset>
              </wp:positionH>
              <wp:positionV relativeFrom="page">
                <wp:posOffset>425413</wp:posOffset>
              </wp:positionV>
              <wp:extent cx="906144" cy="17589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64160" type="#_x0000_t202" id="docshape22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2832">
              <wp:simplePos x="0" y="0"/>
              <wp:positionH relativeFrom="page">
                <wp:posOffset>6402058</wp:posOffset>
              </wp:positionH>
              <wp:positionV relativeFrom="page">
                <wp:posOffset>425413</wp:posOffset>
              </wp:positionV>
              <wp:extent cx="139700" cy="17589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63648" type="#_x0000_t202" id="docshape225" filled="false" stroked="false">
              <v:textbox inset="0,0,0,0">
                <w:txbxContent>
                  <w:p>
                    <w:pPr>
                      <w:pStyle w:val="BodyText"/>
                      <w:ind w:left="20"/>
                      <w:jc w:val="left"/>
                      <w:rPr>
                        <w:rFonts w:ascii="Times New Roman"/>
                      </w:rPr>
                    </w:pPr>
                    <w:r>
                      <w:rPr>
                        <w:rFonts w:ascii="Times New Roman"/>
                        <w:color w:val="0B0B0B"/>
                        <w:spacing w:val="-5"/>
                      </w:rPr>
                      <w:t>65</w:t>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53344">
              <wp:simplePos x="0" y="0"/>
              <wp:positionH relativeFrom="page">
                <wp:posOffset>1242822</wp:posOffset>
              </wp:positionH>
              <wp:positionV relativeFrom="page">
                <wp:posOffset>593610</wp:posOffset>
              </wp:positionV>
              <wp:extent cx="5287010" cy="2794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63136" id="docshape22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53856">
              <wp:simplePos x="0" y="0"/>
              <wp:positionH relativeFrom="page">
                <wp:posOffset>1249174</wp:posOffset>
              </wp:positionH>
              <wp:positionV relativeFrom="page">
                <wp:posOffset>425413</wp:posOffset>
              </wp:positionV>
              <wp:extent cx="139700" cy="17589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62624" type="#_x0000_t202" id="docshape227" filled="false" stroked="false">
              <v:textbox inset="0,0,0,0">
                <w:txbxContent>
                  <w:p>
                    <w:pPr>
                      <w:pStyle w:val="BodyText"/>
                      <w:ind w:left="20"/>
                      <w:jc w:val="left"/>
                      <w:rPr>
                        <w:rFonts w:ascii="Times New Roman"/>
                      </w:rPr>
                    </w:pPr>
                    <w:r>
                      <w:rPr>
                        <w:rFonts w:ascii="Times New Roman"/>
                        <w:color w:val="0B0B0B"/>
                        <w:spacing w:val="-5"/>
                      </w:rPr>
                      <w:t>66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4368">
              <wp:simplePos x="0" y="0"/>
              <wp:positionH relativeFrom="page">
                <wp:posOffset>3461256</wp:posOffset>
              </wp:positionH>
              <wp:positionV relativeFrom="page">
                <wp:posOffset>425413</wp:posOffset>
              </wp:positionV>
              <wp:extent cx="906144" cy="17589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62112" type="#_x0000_t202" id="docshape22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4880">
              <wp:simplePos x="0" y="0"/>
              <wp:positionH relativeFrom="page">
                <wp:posOffset>5263002</wp:posOffset>
              </wp:positionH>
              <wp:positionV relativeFrom="page">
                <wp:posOffset>425413</wp:posOffset>
              </wp:positionV>
              <wp:extent cx="1279525" cy="17589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61600" type="#_x0000_t202" id="docshape22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55392">
              <wp:simplePos x="0" y="0"/>
              <wp:positionH relativeFrom="page">
                <wp:posOffset>1242822</wp:posOffset>
              </wp:positionH>
              <wp:positionV relativeFrom="page">
                <wp:posOffset>593610</wp:posOffset>
              </wp:positionV>
              <wp:extent cx="5287010" cy="2794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61088" id="docshape23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55904">
              <wp:simplePos x="0" y="0"/>
              <wp:positionH relativeFrom="page">
                <wp:posOffset>1249174</wp:posOffset>
              </wp:positionH>
              <wp:positionV relativeFrom="page">
                <wp:posOffset>425413</wp:posOffset>
              </wp:positionV>
              <wp:extent cx="1279525" cy="17589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60576" type="#_x0000_t202" id="docshape23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6416">
              <wp:simplePos x="0" y="0"/>
              <wp:positionH relativeFrom="page">
                <wp:posOffset>3460365</wp:posOffset>
              </wp:positionH>
              <wp:positionV relativeFrom="page">
                <wp:posOffset>425413</wp:posOffset>
              </wp:positionV>
              <wp:extent cx="906144" cy="17589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60064" type="#_x0000_t202" id="docshape23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6928">
              <wp:simplePos x="0" y="0"/>
              <wp:positionH relativeFrom="page">
                <wp:posOffset>6402058</wp:posOffset>
              </wp:positionH>
              <wp:positionV relativeFrom="page">
                <wp:posOffset>425413</wp:posOffset>
              </wp:positionV>
              <wp:extent cx="139700" cy="17589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59552" type="#_x0000_t202" id="docshape233" filled="false" stroked="false">
              <v:textbox inset="0,0,0,0">
                <w:txbxContent>
                  <w:p>
                    <w:pPr>
                      <w:pStyle w:val="BodyText"/>
                      <w:ind w:left="20"/>
                      <w:jc w:val="left"/>
                      <w:rPr>
                        <w:rFonts w:ascii="Times New Roman"/>
                      </w:rPr>
                    </w:pPr>
                    <w:r>
                      <w:rPr>
                        <w:rFonts w:ascii="Times New Roman"/>
                        <w:color w:val="0B0B0B"/>
                        <w:spacing w:val="-5"/>
                      </w:rPr>
                      <w:t>67</w:t>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57440">
              <wp:simplePos x="0" y="0"/>
              <wp:positionH relativeFrom="page">
                <wp:posOffset>1242822</wp:posOffset>
              </wp:positionH>
              <wp:positionV relativeFrom="page">
                <wp:posOffset>593610</wp:posOffset>
              </wp:positionV>
              <wp:extent cx="5287010" cy="2794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59040" id="docshape23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57952">
              <wp:simplePos x="0" y="0"/>
              <wp:positionH relativeFrom="page">
                <wp:posOffset>1249174</wp:posOffset>
              </wp:positionH>
              <wp:positionV relativeFrom="page">
                <wp:posOffset>425413</wp:posOffset>
              </wp:positionV>
              <wp:extent cx="139700" cy="17589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58528" type="#_x0000_t202" id="docshape235" filled="false" stroked="false">
              <v:textbox inset="0,0,0,0">
                <w:txbxContent>
                  <w:p>
                    <w:pPr>
                      <w:pStyle w:val="BodyText"/>
                      <w:ind w:left="20"/>
                      <w:jc w:val="left"/>
                      <w:rPr>
                        <w:rFonts w:ascii="Times New Roman"/>
                      </w:rPr>
                    </w:pPr>
                    <w:r>
                      <w:rPr>
                        <w:rFonts w:ascii="Times New Roman"/>
                        <w:color w:val="0B0B0B"/>
                        <w:spacing w:val="-5"/>
                      </w:rPr>
                      <w:t>68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8464">
              <wp:simplePos x="0" y="0"/>
              <wp:positionH relativeFrom="page">
                <wp:posOffset>3461256</wp:posOffset>
              </wp:positionH>
              <wp:positionV relativeFrom="page">
                <wp:posOffset>425413</wp:posOffset>
              </wp:positionV>
              <wp:extent cx="906144" cy="17589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58016" type="#_x0000_t202" id="docshape23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8976">
              <wp:simplePos x="0" y="0"/>
              <wp:positionH relativeFrom="page">
                <wp:posOffset>5263002</wp:posOffset>
              </wp:positionH>
              <wp:positionV relativeFrom="page">
                <wp:posOffset>425413</wp:posOffset>
              </wp:positionV>
              <wp:extent cx="1279525" cy="17589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57504" type="#_x0000_t202" id="docshape23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48896">
              <wp:simplePos x="0" y="0"/>
              <wp:positionH relativeFrom="page">
                <wp:posOffset>1242822</wp:posOffset>
              </wp:positionH>
              <wp:positionV relativeFrom="page">
                <wp:posOffset>593610</wp:posOffset>
              </wp:positionV>
              <wp:extent cx="5287010" cy="279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67584" id="docshape2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49408">
              <wp:simplePos x="0" y="0"/>
              <wp:positionH relativeFrom="page">
                <wp:posOffset>1249174</wp:posOffset>
              </wp:positionH>
              <wp:positionV relativeFrom="page">
                <wp:posOffset>425413</wp:posOffset>
              </wp:positionV>
              <wp:extent cx="1279525" cy="1758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67072" type="#_x0000_t202" id="docshape2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49920">
              <wp:simplePos x="0" y="0"/>
              <wp:positionH relativeFrom="page">
                <wp:posOffset>3460365</wp:posOffset>
              </wp:positionH>
              <wp:positionV relativeFrom="page">
                <wp:posOffset>425413</wp:posOffset>
              </wp:positionV>
              <wp:extent cx="906144" cy="1758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66560" type="#_x0000_t202" id="docshape2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0432">
              <wp:simplePos x="0" y="0"/>
              <wp:positionH relativeFrom="page">
                <wp:posOffset>6402058</wp:posOffset>
              </wp:positionH>
              <wp:positionV relativeFrom="page">
                <wp:posOffset>425413</wp:posOffset>
              </wp:positionV>
              <wp:extent cx="139700" cy="17589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66048" type="#_x0000_t202" id="docshape25" filled="false" stroked="false">
              <v:textbox inset="0,0,0,0">
                <w:txbxContent>
                  <w:p>
                    <w:pPr>
                      <w:pStyle w:val="BodyText"/>
                      <w:ind w:left="20"/>
                      <w:jc w:val="left"/>
                      <w:rPr>
                        <w:rFonts w:ascii="Times New Roman"/>
                      </w:rPr>
                    </w:pPr>
                    <w:r>
                      <w:rPr>
                        <w:rFonts w:ascii="Times New Roman"/>
                        <w:color w:val="0B0B0B"/>
                        <w:spacing w:val="-5"/>
                      </w:rPr>
                      <w:t>15</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59488">
              <wp:simplePos x="0" y="0"/>
              <wp:positionH relativeFrom="page">
                <wp:posOffset>1242822</wp:posOffset>
              </wp:positionH>
              <wp:positionV relativeFrom="page">
                <wp:posOffset>593610</wp:posOffset>
              </wp:positionV>
              <wp:extent cx="5287010" cy="2794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56992" id="docshape23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60000">
              <wp:simplePos x="0" y="0"/>
              <wp:positionH relativeFrom="page">
                <wp:posOffset>1249174</wp:posOffset>
              </wp:positionH>
              <wp:positionV relativeFrom="page">
                <wp:posOffset>425413</wp:posOffset>
              </wp:positionV>
              <wp:extent cx="1279525" cy="17589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56480" type="#_x0000_t202" id="docshape23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0512">
              <wp:simplePos x="0" y="0"/>
              <wp:positionH relativeFrom="page">
                <wp:posOffset>3460365</wp:posOffset>
              </wp:positionH>
              <wp:positionV relativeFrom="page">
                <wp:posOffset>425413</wp:posOffset>
              </wp:positionV>
              <wp:extent cx="906144" cy="17589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55968" type="#_x0000_t202" id="docshape24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1024">
              <wp:simplePos x="0" y="0"/>
              <wp:positionH relativeFrom="page">
                <wp:posOffset>6402058</wp:posOffset>
              </wp:positionH>
              <wp:positionV relativeFrom="page">
                <wp:posOffset>425413</wp:posOffset>
              </wp:positionV>
              <wp:extent cx="139700" cy="17589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69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55456" type="#_x0000_t202" id="docshape241" filled="false" stroked="false">
              <v:textbox inset="0,0,0,0">
                <w:txbxContent>
                  <w:p>
                    <w:pPr>
                      <w:pStyle w:val="BodyText"/>
                      <w:ind w:left="20"/>
                      <w:jc w:val="left"/>
                      <w:rPr>
                        <w:rFonts w:ascii="Times New Roman"/>
                      </w:rPr>
                    </w:pPr>
                    <w:r>
                      <w:rPr>
                        <w:rFonts w:ascii="Times New Roman"/>
                        <w:color w:val="0B0B0B"/>
                        <w:spacing w:val="-5"/>
                      </w:rPr>
                      <w:t>69</w:t>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61536">
              <wp:simplePos x="0" y="0"/>
              <wp:positionH relativeFrom="page">
                <wp:posOffset>1242822</wp:posOffset>
              </wp:positionH>
              <wp:positionV relativeFrom="page">
                <wp:posOffset>593610</wp:posOffset>
              </wp:positionV>
              <wp:extent cx="5287010" cy="27940"/>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54944" id="docshape24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62048">
              <wp:simplePos x="0" y="0"/>
              <wp:positionH relativeFrom="page">
                <wp:posOffset>1249174</wp:posOffset>
              </wp:positionH>
              <wp:positionV relativeFrom="page">
                <wp:posOffset>425413</wp:posOffset>
              </wp:positionV>
              <wp:extent cx="139700" cy="17589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54432" type="#_x0000_t202" id="docshape243" filled="false" stroked="false">
              <v:textbox inset="0,0,0,0">
                <w:txbxContent>
                  <w:p>
                    <w:pPr>
                      <w:pStyle w:val="BodyText"/>
                      <w:ind w:left="20"/>
                      <w:jc w:val="left"/>
                      <w:rPr>
                        <w:rFonts w:ascii="Times New Roman"/>
                      </w:rPr>
                    </w:pPr>
                    <w:r>
                      <w:rPr>
                        <w:rFonts w:ascii="Times New Roman"/>
                        <w:color w:val="0B0B0B"/>
                        <w:spacing w:val="-5"/>
                      </w:rPr>
                      <w:t>70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2560">
              <wp:simplePos x="0" y="0"/>
              <wp:positionH relativeFrom="page">
                <wp:posOffset>3461256</wp:posOffset>
              </wp:positionH>
              <wp:positionV relativeFrom="page">
                <wp:posOffset>425413</wp:posOffset>
              </wp:positionV>
              <wp:extent cx="906144" cy="17589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53920" type="#_x0000_t202" id="docshape24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3072">
              <wp:simplePos x="0" y="0"/>
              <wp:positionH relativeFrom="page">
                <wp:posOffset>5263002</wp:posOffset>
              </wp:positionH>
              <wp:positionV relativeFrom="page">
                <wp:posOffset>425413</wp:posOffset>
              </wp:positionV>
              <wp:extent cx="1279525" cy="17589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53408" type="#_x0000_t202" id="docshape24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63584">
              <wp:simplePos x="0" y="0"/>
              <wp:positionH relativeFrom="page">
                <wp:posOffset>1242822</wp:posOffset>
              </wp:positionH>
              <wp:positionV relativeFrom="page">
                <wp:posOffset>593610</wp:posOffset>
              </wp:positionV>
              <wp:extent cx="5287010" cy="27940"/>
              <wp:effectExtent l="0" t="0" r="0" b="0"/>
              <wp:wrapNone/>
              <wp:docPr id="246" name="Graphic 246"/>
              <wp:cNvGraphicFramePr>
                <a:graphicFrameLocks/>
              </wp:cNvGraphicFramePr>
              <a:graphic>
                <a:graphicData uri="http://schemas.microsoft.com/office/word/2010/wordprocessingShape">
                  <wps:wsp>
                    <wps:cNvPr id="246" name="Graphic 24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52896" id="docshape24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64096">
              <wp:simplePos x="0" y="0"/>
              <wp:positionH relativeFrom="page">
                <wp:posOffset>1249174</wp:posOffset>
              </wp:positionH>
              <wp:positionV relativeFrom="page">
                <wp:posOffset>425413</wp:posOffset>
              </wp:positionV>
              <wp:extent cx="1279525" cy="17589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52384" type="#_x0000_t202" id="docshape24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4608">
              <wp:simplePos x="0" y="0"/>
              <wp:positionH relativeFrom="page">
                <wp:posOffset>3460365</wp:posOffset>
              </wp:positionH>
              <wp:positionV relativeFrom="page">
                <wp:posOffset>425413</wp:posOffset>
              </wp:positionV>
              <wp:extent cx="906144" cy="17589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51872" type="#_x0000_t202" id="docshape24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5120">
              <wp:simplePos x="0" y="0"/>
              <wp:positionH relativeFrom="page">
                <wp:posOffset>6402058</wp:posOffset>
              </wp:positionH>
              <wp:positionV relativeFrom="page">
                <wp:posOffset>425413</wp:posOffset>
              </wp:positionV>
              <wp:extent cx="139700" cy="17589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51360" type="#_x0000_t202" id="docshape249" filled="false" stroked="false">
              <v:textbox inset="0,0,0,0">
                <w:txbxContent>
                  <w:p>
                    <w:pPr>
                      <w:pStyle w:val="BodyText"/>
                      <w:ind w:left="20"/>
                      <w:jc w:val="left"/>
                      <w:rPr>
                        <w:rFonts w:ascii="Times New Roman"/>
                      </w:rPr>
                    </w:pPr>
                    <w:r>
                      <w:rPr>
                        <w:rFonts w:ascii="Times New Roman"/>
                        <w:color w:val="0B0B0B"/>
                        <w:spacing w:val="-5"/>
                      </w:rPr>
                      <w:t>71</w:t>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65632">
              <wp:simplePos x="0" y="0"/>
              <wp:positionH relativeFrom="page">
                <wp:posOffset>1242822</wp:posOffset>
              </wp:positionH>
              <wp:positionV relativeFrom="page">
                <wp:posOffset>593610</wp:posOffset>
              </wp:positionV>
              <wp:extent cx="5287010" cy="27940"/>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50848" id="docshape25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66144">
              <wp:simplePos x="0" y="0"/>
              <wp:positionH relativeFrom="page">
                <wp:posOffset>1249174</wp:posOffset>
              </wp:positionH>
              <wp:positionV relativeFrom="page">
                <wp:posOffset>425413</wp:posOffset>
              </wp:positionV>
              <wp:extent cx="139700" cy="17589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50336" type="#_x0000_t202" id="docshape251" filled="false" stroked="false">
              <v:textbox inset="0,0,0,0">
                <w:txbxContent>
                  <w:p>
                    <w:pPr>
                      <w:pStyle w:val="BodyText"/>
                      <w:ind w:left="20"/>
                      <w:jc w:val="left"/>
                      <w:rPr>
                        <w:rFonts w:ascii="Times New Roman"/>
                      </w:rPr>
                    </w:pPr>
                    <w:r>
                      <w:rPr>
                        <w:rFonts w:ascii="Times New Roman"/>
                        <w:color w:val="0B0B0B"/>
                        <w:spacing w:val="-5"/>
                      </w:rPr>
                      <w:t>72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6656">
              <wp:simplePos x="0" y="0"/>
              <wp:positionH relativeFrom="page">
                <wp:posOffset>3461256</wp:posOffset>
              </wp:positionH>
              <wp:positionV relativeFrom="page">
                <wp:posOffset>425413</wp:posOffset>
              </wp:positionV>
              <wp:extent cx="906144" cy="17589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49824" type="#_x0000_t202" id="docshape25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7168">
              <wp:simplePos x="0" y="0"/>
              <wp:positionH relativeFrom="page">
                <wp:posOffset>5263002</wp:posOffset>
              </wp:positionH>
              <wp:positionV relativeFrom="page">
                <wp:posOffset>425413</wp:posOffset>
              </wp:positionV>
              <wp:extent cx="1279525" cy="17589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49312" type="#_x0000_t202" id="docshape25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67680">
              <wp:simplePos x="0" y="0"/>
              <wp:positionH relativeFrom="page">
                <wp:posOffset>1242822</wp:posOffset>
              </wp:positionH>
              <wp:positionV relativeFrom="page">
                <wp:posOffset>593610</wp:posOffset>
              </wp:positionV>
              <wp:extent cx="5287010" cy="2794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48800" id="docshape25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68192">
              <wp:simplePos x="0" y="0"/>
              <wp:positionH relativeFrom="page">
                <wp:posOffset>1249174</wp:posOffset>
              </wp:positionH>
              <wp:positionV relativeFrom="page">
                <wp:posOffset>425413</wp:posOffset>
              </wp:positionV>
              <wp:extent cx="1279525" cy="17589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48288" type="#_x0000_t202" id="docshape25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8704">
              <wp:simplePos x="0" y="0"/>
              <wp:positionH relativeFrom="page">
                <wp:posOffset>3460365</wp:posOffset>
              </wp:positionH>
              <wp:positionV relativeFrom="page">
                <wp:posOffset>425413</wp:posOffset>
              </wp:positionV>
              <wp:extent cx="906144" cy="17589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47776" type="#_x0000_t202" id="docshape25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9216">
              <wp:simplePos x="0" y="0"/>
              <wp:positionH relativeFrom="page">
                <wp:posOffset>6402058</wp:posOffset>
              </wp:positionH>
              <wp:positionV relativeFrom="page">
                <wp:posOffset>425413</wp:posOffset>
              </wp:positionV>
              <wp:extent cx="139700" cy="17589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47264" type="#_x0000_t202" id="docshape257" filled="false" stroked="false">
              <v:textbox inset="0,0,0,0">
                <w:txbxContent>
                  <w:p>
                    <w:pPr>
                      <w:pStyle w:val="BodyText"/>
                      <w:ind w:left="20"/>
                      <w:jc w:val="left"/>
                      <w:rPr>
                        <w:rFonts w:ascii="Times New Roman"/>
                      </w:rPr>
                    </w:pPr>
                    <w:r>
                      <w:rPr>
                        <w:rFonts w:ascii="Times New Roman"/>
                        <w:color w:val="0B0B0B"/>
                        <w:spacing w:val="-5"/>
                      </w:rPr>
                      <w:t>73</w:t>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69728">
              <wp:simplePos x="0" y="0"/>
              <wp:positionH relativeFrom="page">
                <wp:posOffset>1242822</wp:posOffset>
              </wp:positionH>
              <wp:positionV relativeFrom="page">
                <wp:posOffset>593610</wp:posOffset>
              </wp:positionV>
              <wp:extent cx="5287010" cy="27940"/>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46752" id="docshape25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70240">
              <wp:simplePos x="0" y="0"/>
              <wp:positionH relativeFrom="page">
                <wp:posOffset>1249174</wp:posOffset>
              </wp:positionH>
              <wp:positionV relativeFrom="page">
                <wp:posOffset>425413</wp:posOffset>
              </wp:positionV>
              <wp:extent cx="139700" cy="17589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46240" type="#_x0000_t202" id="docshape259" filled="false" stroked="false">
              <v:textbox inset="0,0,0,0">
                <w:txbxContent>
                  <w:p>
                    <w:pPr>
                      <w:pStyle w:val="BodyText"/>
                      <w:ind w:left="20"/>
                      <w:jc w:val="left"/>
                      <w:rPr>
                        <w:rFonts w:ascii="Times New Roman"/>
                      </w:rPr>
                    </w:pPr>
                    <w:r>
                      <w:rPr>
                        <w:rFonts w:ascii="Times New Roman"/>
                        <w:color w:val="0B0B0B"/>
                        <w:spacing w:val="-5"/>
                      </w:rPr>
                      <w:t>74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0752">
              <wp:simplePos x="0" y="0"/>
              <wp:positionH relativeFrom="page">
                <wp:posOffset>3461256</wp:posOffset>
              </wp:positionH>
              <wp:positionV relativeFrom="page">
                <wp:posOffset>425413</wp:posOffset>
              </wp:positionV>
              <wp:extent cx="906144" cy="17589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45728" type="#_x0000_t202" id="docshape26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1264">
              <wp:simplePos x="0" y="0"/>
              <wp:positionH relativeFrom="page">
                <wp:posOffset>5263002</wp:posOffset>
              </wp:positionH>
              <wp:positionV relativeFrom="page">
                <wp:posOffset>425413</wp:posOffset>
              </wp:positionV>
              <wp:extent cx="1279525" cy="17589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45216" type="#_x0000_t202" id="docshape26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71776">
              <wp:simplePos x="0" y="0"/>
              <wp:positionH relativeFrom="page">
                <wp:posOffset>1242822</wp:posOffset>
              </wp:positionH>
              <wp:positionV relativeFrom="page">
                <wp:posOffset>593610</wp:posOffset>
              </wp:positionV>
              <wp:extent cx="5287010" cy="2794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44704" id="docshape26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72288">
              <wp:simplePos x="0" y="0"/>
              <wp:positionH relativeFrom="page">
                <wp:posOffset>1249174</wp:posOffset>
              </wp:positionH>
              <wp:positionV relativeFrom="page">
                <wp:posOffset>425413</wp:posOffset>
              </wp:positionV>
              <wp:extent cx="1279525" cy="17589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44192" type="#_x0000_t202" id="docshape263"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2800">
              <wp:simplePos x="0" y="0"/>
              <wp:positionH relativeFrom="page">
                <wp:posOffset>3460365</wp:posOffset>
              </wp:positionH>
              <wp:positionV relativeFrom="page">
                <wp:posOffset>425413</wp:posOffset>
              </wp:positionV>
              <wp:extent cx="906144" cy="17589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43680" type="#_x0000_t202" id="docshape26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3312">
              <wp:simplePos x="0" y="0"/>
              <wp:positionH relativeFrom="page">
                <wp:posOffset>6402058</wp:posOffset>
              </wp:positionH>
              <wp:positionV relativeFrom="page">
                <wp:posOffset>425413</wp:posOffset>
              </wp:positionV>
              <wp:extent cx="139700" cy="17589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43168" type="#_x0000_t202" id="docshape265" filled="false" stroked="false">
              <v:textbox inset="0,0,0,0">
                <w:txbxContent>
                  <w:p>
                    <w:pPr>
                      <w:pStyle w:val="BodyText"/>
                      <w:ind w:left="20"/>
                      <w:jc w:val="left"/>
                      <w:rPr>
                        <w:rFonts w:ascii="Times New Roman"/>
                      </w:rPr>
                    </w:pPr>
                    <w:r>
                      <w:rPr>
                        <w:rFonts w:ascii="Times New Roman"/>
                        <w:color w:val="0B0B0B"/>
                        <w:spacing w:val="-5"/>
                      </w:rPr>
                      <w:t>75</w:t>
                    </w:r>
                  </w:p>
                </w:txbxContent>
              </v:textbox>
              <w10:wrap type="none"/>
            </v:shape>
          </w:pict>
        </mc:Fallback>
      </mc:AlternateContent>
    </w: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73824">
              <wp:simplePos x="0" y="0"/>
              <wp:positionH relativeFrom="page">
                <wp:posOffset>1242822</wp:posOffset>
              </wp:positionH>
              <wp:positionV relativeFrom="page">
                <wp:posOffset>593610</wp:posOffset>
              </wp:positionV>
              <wp:extent cx="5287010" cy="27940"/>
              <wp:effectExtent l="0" t="0" r="0" b="0"/>
              <wp:wrapNone/>
              <wp:docPr id="266" name="Graphic 266"/>
              <wp:cNvGraphicFramePr>
                <a:graphicFrameLocks/>
              </wp:cNvGraphicFramePr>
              <a:graphic>
                <a:graphicData uri="http://schemas.microsoft.com/office/word/2010/wordprocessingShape">
                  <wps:wsp>
                    <wps:cNvPr id="266" name="Graphic 26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42656" id="docshape26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74336">
              <wp:simplePos x="0" y="0"/>
              <wp:positionH relativeFrom="page">
                <wp:posOffset>1249174</wp:posOffset>
              </wp:positionH>
              <wp:positionV relativeFrom="page">
                <wp:posOffset>425413</wp:posOffset>
              </wp:positionV>
              <wp:extent cx="139700" cy="17589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42144" type="#_x0000_t202" id="docshape267" filled="false" stroked="false">
              <v:textbox inset="0,0,0,0">
                <w:txbxContent>
                  <w:p>
                    <w:pPr>
                      <w:pStyle w:val="BodyText"/>
                      <w:ind w:left="20"/>
                      <w:jc w:val="left"/>
                      <w:rPr>
                        <w:rFonts w:ascii="Times New Roman"/>
                      </w:rPr>
                    </w:pPr>
                    <w:r>
                      <w:rPr>
                        <w:rFonts w:ascii="Times New Roman"/>
                        <w:color w:val="0B0B0B"/>
                        <w:spacing w:val="-5"/>
                      </w:rPr>
                      <w:t>76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4848">
              <wp:simplePos x="0" y="0"/>
              <wp:positionH relativeFrom="page">
                <wp:posOffset>3461256</wp:posOffset>
              </wp:positionH>
              <wp:positionV relativeFrom="page">
                <wp:posOffset>425413</wp:posOffset>
              </wp:positionV>
              <wp:extent cx="906144" cy="17589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41632" type="#_x0000_t202" id="docshape26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5360">
              <wp:simplePos x="0" y="0"/>
              <wp:positionH relativeFrom="page">
                <wp:posOffset>5263002</wp:posOffset>
              </wp:positionH>
              <wp:positionV relativeFrom="page">
                <wp:posOffset>425413</wp:posOffset>
              </wp:positionV>
              <wp:extent cx="1279525" cy="17589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41120" type="#_x0000_t202" id="docshape26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75872">
              <wp:simplePos x="0" y="0"/>
              <wp:positionH relativeFrom="page">
                <wp:posOffset>1242822</wp:posOffset>
              </wp:positionH>
              <wp:positionV relativeFrom="page">
                <wp:posOffset>593610</wp:posOffset>
              </wp:positionV>
              <wp:extent cx="5287010" cy="27940"/>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40608" id="docshape27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76384">
              <wp:simplePos x="0" y="0"/>
              <wp:positionH relativeFrom="page">
                <wp:posOffset>1249174</wp:posOffset>
              </wp:positionH>
              <wp:positionV relativeFrom="page">
                <wp:posOffset>425413</wp:posOffset>
              </wp:positionV>
              <wp:extent cx="1279525" cy="17589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40096" type="#_x0000_t202" id="docshape27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6896">
              <wp:simplePos x="0" y="0"/>
              <wp:positionH relativeFrom="page">
                <wp:posOffset>3460365</wp:posOffset>
              </wp:positionH>
              <wp:positionV relativeFrom="page">
                <wp:posOffset>425413</wp:posOffset>
              </wp:positionV>
              <wp:extent cx="906144" cy="175895"/>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39584" type="#_x0000_t202" id="docshape27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7408">
              <wp:simplePos x="0" y="0"/>
              <wp:positionH relativeFrom="page">
                <wp:posOffset>6402058</wp:posOffset>
              </wp:positionH>
              <wp:positionV relativeFrom="page">
                <wp:posOffset>425413</wp:posOffset>
              </wp:positionV>
              <wp:extent cx="139700" cy="17589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39072" type="#_x0000_t202" id="docshape273" filled="false" stroked="false">
              <v:textbox inset="0,0,0,0">
                <w:txbxContent>
                  <w:p>
                    <w:pPr>
                      <w:pStyle w:val="BodyText"/>
                      <w:ind w:left="20"/>
                      <w:jc w:val="left"/>
                      <w:rPr>
                        <w:rFonts w:ascii="Times New Roman"/>
                      </w:rPr>
                    </w:pPr>
                    <w:r>
                      <w:rPr>
                        <w:rFonts w:ascii="Times New Roman"/>
                        <w:color w:val="0B0B0B"/>
                        <w:spacing w:val="-5"/>
                      </w:rPr>
                      <w:t>77</w:t>
                    </w:r>
                  </w:p>
                </w:txbxContent>
              </v:textbox>
              <w10:wrap type="none"/>
            </v:shape>
          </w:pict>
        </mc:Fallback>
      </mc:AlternateContent>
    </w: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77920">
              <wp:simplePos x="0" y="0"/>
              <wp:positionH relativeFrom="page">
                <wp:posOffset>1242822</wp:posOffset>
              </wp:positionH>
              <wp:positionV relativeFrom="page">
                <wp:posOffset>593610</wp:posOffset>
              </wp:positionV>
              <wp:extent cx="5287010" cy="27940"/>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38560" id="docshape27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78432">
              <wp:simplePos x="0" y="0"/>
              <wp:positionH relativeFrom="page">
                <wp:posOffset>1249174</wp:posOffset>
              </wp:positionH>
              <wp:positionV relativeFrom="page">
                <wp:posOffset>425413</wp:posOffset>
              </wp:positionV>
              <wp:extent cx="139700" cy="17589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38048" type="#_x0000_t202" id="docshape275" filled="false" stroked="false">
              <v:textbox inset="0,0,0,0">
                <w:txbxContent>
                  <w:p>
                    <w:pPr>
                      <w:pStyle w:val="BodyText"/>
                      <w:ind w:left="20"/>
                      <w:jc w:val="left"/>
                      <w:rPr>
                        <w:rFonts w:ascii="Times New Roman"/>
                      </w:rPr>
                    </w:pPr>
                    <w:r>
                      <w:rPr>
                        <w:rFonts w:ascii="Times New Roman"/>
                        <w:color w:val="0B0B0B"/>
                        <w:spacing w:val="-5"/>
                      </w:rPr>
                      <w:t>78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8944">
              <wp:simplePos x="0" y="0"/>
              <wp:positionH relativeFrom="page">
                <wp:posOffset>3461256</wp:posOffset>
              </wp:positionH>
              <wp:positionV relativeFrom="page">
                <wp:posOffset>425413</wp:posOffset>
              </wp:positionV>
              <wp:extent cx="906144" cy="17589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37536" type="#_x0000_t202" id="docshape27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9456">
              <wp:simplePos x="0" y="0"/>
              <wp:positionH relativeFrom="page">
                <wp:posOffset>5263002</wp:posOffset>
              </wp:positionH>
              <wp:positionV relativeFrom="page">
                <wp:posOffset>425413</wp:posOffset>
              </wp:positionV>
              <wp:extent cx="1279525" cy="17589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37024" type="#_x0000_t202" id="docshape27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50944">
              <wp:simplePos x="0" y="0"/>
              <wp:positionH relativeFrom="page">
                <wp:posOffset>1242822</wp:posOffset>
              </wp:positionH>
              <wp:positionV relativeFrom="page">
                <wp:posOffset>593610</wp:posOffset>
              </wp:positionV>
              <wp:extent cx="5287010" cy="279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65536" id="docshape2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51456">
              <wp:simplePos x="0" y="0"/>
              <wp:positionH relativeFrom="page">
                <wp:posOffset>1249174</wp:posOffset>
              </wp:positionH>
              <wp:positionV relativeFrom="page">
                <wp:posOffset>425413</wp:posOffset>
              </wp:positionV>
              <wp:extent cx="139700" cy="1758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65024" type="#_x0000_t202" id="docshape27" filled="false" stroked="false">
              <v:textbox inset="0,0,0,0">
                <w:txbxContent>
                  <w:p>
                    <w:pPr>
                      <w:pStyle w:val="BodyText"/>
                      <w:ind w:left="20"/>
                      <w:jc w:val="left"/>
                      <w:rPr>
                        <w:rFonts w:ascii="Times New Roman"/>
                      </w:rPr>
                    </w:pPr>
                    <w:r>
                      <w:rPr>
                        <w:rFonts w:ascii="Times New Roman"/>
                        <w:color w:val="0B0B0B"/>
                        <w:spacing w:val="-5"/>
                      </w:rPr>
                      <w:t>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1968">
              <wp:simplePos x="0" y="0"/>
              <wp:positionH relativeFrom="page">
                <wp:posOffset>3461256</wp:posOffset>
              </wp:positionH>
              <wp:positionV relativeFrom="page">
                <wp:posOffset>425413</wp:posOffset>
              </wp:positionV>
              <wp:extent cx="906144" cy="1758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64512" type="#_x0000_t202" id="docshape28"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2480">
              <wp:simplePos x="0" y="0"/>
              <wp:positionH relativeFrom="page">
                <wp:posOffset>5263002</wp:posOffset>
              </wp:positionH>
              <wp:positionV relativeFrom="page">
                <wp:posOffset>425413</wp:posOffset>
              </wp:positionV>
              <wp:extent cx="1279525" cy="17589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64000" type="#_x0000_t202" id="docshape2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79968">
              <wp:simplePos x="0" y="0"/>
              <wp:positionH relativeFrom="page">
                <wp:posOffset>1242822</wp:posOffset>
              </wp:positionH>
              <wp:positionV relativeFrom="page">
                <wp:posOffset>593610</wp:posOffset>
              </wp:positionV>
              <wp:extent cx="5287010" cy="27940"/>
              <wp:effectExtent l="0" t="0" r="0" b="0"/>
              <wp:wrapNone/>
              <wp:docPr id="278" name="Graphic 278"/>
              <wp:cNvGraphicFramePr>
                <a:graphicFrameLocks/>
              </wp:cNvGraphicFramePr>
              <a:graphic>
                <a:graphicData uri="http://schemas.microsoft.com/office/word/2010/wordprocessingShape">
                  <wps:wsp>
                    <wps:cNvPr id="278" name="Graphic 27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36512" id="docshape27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80480">
              <wp:simplePos x="0" y="0"/>
              <wp:positionH relativeFrom="page">
                <wp:posOffset>1249174</wp:posOffset>
              </wp:positionH>
              <wp:positionV relativeFrom="page">
                <wp:posOffset>425413</wp:posOffset>
              </wp:positionV>
              <wp:extent cx="1279525" cy="17589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536000" type="#_x0000_t202" id="docshape279"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0992">
              <wp:simplePos x="0" y="0"/>
              <wp:positionH relativeFrom="page">
                <wp:posOffset>3460365</wp:posOffset>
              </wp:positionH>
              <wp:positionV relativeFrom="page">
                <wp:posOffset>425413</wp:posOffset>
              </wp:positionV>
              <wp:extent cx="906144" cy="17589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535488" type="#_x0000_t202" id="docshape280"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1504">
              <wp:simplePos x="0" y="0"/>
              <wp:positionH relativeFrom="page">
                <wp:posOffset>6402058</wp:posOffset>
              </wp:positionH>
              <wp:positionV relativeFrom="page">
                <wp:posOffset>425413</wp:posOffset>
              </wp:positionV>
              <wp:extent cx="139700" cy="175895"/>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79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534976" type="#_x0000_t202" id="docshape281" filled="false" stroked="false">
              <v:textbox inset="0,0,0,0">
                <w:txbxContent>
                  <w:p>
                    <w:pPr>
                      <w:pStyle w:val="BodyText"/>
                      <w:ind w:left="20"/>
                      <w:jc w:val="left"/>
                      <w:rPr>
                        <w:rFonts w:ascii="Times New Roman"/>
                      </w:rPr>
                    </w:pPr>
                    <w:r>
                      <w:rPr>
                        <w:rFonts w:ascii="Times New Roman"/>
                        <w:color w:val="0B0B0B"/>
                        <w:spacing w:val="-5"/>
                      </w:rPr>
                      <w:t>79</w:t>
                    </w:r>
                  </w:p>
                </w:txbxContent>
              </v:textbox>
              <w10:wrap type="none"/>
            </v:shape>
          </w:pict>
        </mc:Fallback>
      </mc:AlternateContent>
    </w: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782016">
              <wp:simplePos x="0" y="0"/>
              <wp:positionH relativeFrom="page">
                <wp:posOffset>1242822</wp:posOffset>
              </wp:positionH>
              <wp:positionV relativeFrom="page">
                <wp:posOffset>593610</wp:posOffset>
              </wp:positionV>
              <wp:extent cx="5287010" cy="2794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534464" id="docshape28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782528">
              <wp:simplePos x="0" y="0"/>
              <wp:positionH relativeFrom="page">
                <wp:posOffset>1249174</wp:posOffset>
              </wp:positionH>
              <wp:positionV relativeFrom="page">
                <wp:posOffset>425413</wp:posOffset>
              </wp:positionV>
              <wp:extent cx="139700" cy="175895"/>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533952" type="#_x0000_t202" id="docshape283" filled="false" stroked="false">
              <v:textbox inset="0,0,0,0">
                <w:txbxContent>
                  <w:p>
                    <w:pPr>
                      <w:pStyle w:val="BodyText"/>
                      <w:ind w:left="20"/>
                      <w:jc w:val="left"/>
                      <w:rPr>
                        <w:rFonts w:ascii="Times New Roman"/>
                      </w:rPr>
                    </w:pPr>
                    <w:r>
                      <w:rPr>
                        <w:rFonts w:ascii="Times New Roman"/>
                        <w:color w:val="0B0B0B"/>
                        <w:spacing w:val="-5"/>
                      </w:rPr>
                      <w:t>80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3040">
              <wp:simplePos x="0" y="0"/>
              <wp:positionH relativeFrom="page">
                <wp:posOffset>3461256</wp:posOffset>
              </wp:positionH>
              <wp:positionV relativeFrom="page">
                <wp:posOffset>425413</wp:posOffset>
              </wp:positionV>
              <wp:extent cx="906144" cy="17589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533440" type="#_x0000_t202" id="docshape284"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3552">
              <wp:simplePos x="0" y="0"/>
              <wp:positionH relativeFrom="page">
                <wp:posOffset>5263002</wp:posOffset>
              </wp:positionH>
              <wp:positionV relativeFrom="page">
                <wp:posOffset>425413</wp:posOffset>
              </wp:positionV>
              <wp:extent cx="1279525" cy="17589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532928" type="#_x0000_t202" id="docshape285"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52992">
              <wp:simplePos x="0" y="0"/>
              <wp:positionH relativeFrom="page">
                <wp:posOffset>1242822</wp:posOffset>
              </wp:positionH>
              <wp:positionV relativeFrom="page">
                <wp:posOffset>593610</wp:posOffset>
              </wp:positionV>
              <wp:extent cx="5287010" cy="279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63488" id="docshape3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53504">
              <wp:simplePos x="0" y="0"/>
              <wp:positionH relativeFrom="page">
                <wp:posOffset>1249174</wp:posOffset>
              </wp:positionH>
              <wp:positionV relativeFrom="page">
                <wp:posOffset>425413</wp:posOffset>
              </wp:positionV>
              <wp:extent cx="1279525" cy="17589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7662976" type="#_x0000_t202" id="docshape3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4016">
              <wp:simplePos x="0" y="0"/>
              <wp:positionH relativeFrom="page">
                <wp:posOffset>3460365</wp:posOffset>
              </wp:positionH>
              <wp:positionV relativeFrom="page">
                <wp:posOffset>425413</wp:posOffset>
              </wp:positionV>
              <wp:extent cx="906144" cy="1758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7662464" type="#_x0000_t202" id="docshape3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4528">
              <wp:simplePos x="0" y="0"/>
              <wp:positionH relativeFrom="page">
                <wp:posOffset>6402058</wp:posOffset>
              </wp:positionH>
              <wp:positionV relativeFrom="page">
                <wp:posOffset>425413</wp:posOffset>
              </wp:positionV>
              <wp:extent cx="139700" cy="1758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7661952" type="#_x0000_t202" id="docshape33" filled="false" stroked="false">
              <v:textbox inset="0,0,0,0">
                <w:txbxContent>
                  <w:p>
                    <w:pPr>
                      <w:pStyle w:val="BodyText"/>
                      <w:ind w:left="20"/>
                      <w:jc w:val="left"/>
                      <w:rPr>
                        <w:rFonts w:ascii="Times New Roman"/>
                      </w:rPr>
                    </w:pPr>
                    <w:r>
                      <w:rPr>
                        <w:rFonts w:ascii="Times New Roman"/>
                        <w:color w:val="0B0B0B"/>
                        <w:spacing w:val="-5"/>
                      </w:rPr>
                      <w:t>17</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5655040">
              <wp:simplePos x="0" y="0"/>
              <wp:positionH relativeFrom="page">
                <wp:posOffset>1242822</wp:posOffset>
              </wp:positionH>
              <wp:positionV relativeFrom="page">
                <wp:posOffset>593610</wp:posOffset>
              </wp:positionV>
              <wp:extent cx="5287010" cy="279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7661440" id="docshape3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655552">
              <wp:simplePos x="0" y="0"/>
              <wp:positionH relativeFrom="page">
                <wp:posOffset>1249174</wp:posOffset>
              </wp:positionH>
              <wp:positionV relativeFrom="page">
                <wp:posOffset>425413</wp:posOffset>
              </wp:positionV>
              <wp:extent cx="139700" cy="17589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18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7660928" type="#_x0000_t202" id="docshape35" filled="false" stroked="false">
              <v:textbox inset="0,0,0,0">
                <w:txbxContent>
                  <w:p>
                    <w:pPr>
                      <w:pStyle w:val="BodyText"/>
                      <w:ind w:left="20"/>
                      <w:jc w:val="left"/>
                      <w:rPr>
                        <w:rFonts w:ascii="Times New Roman"/>
                      </w:rPr>
                    </w:pPr>
                    <w:r>
                      <w:rPr>
                        <w:rFonts w:ascii="Times New Roman"/>
                        <w:color w:val="0B0B0B"/>
                        <w:spacing w:val="-5"/>
                      </w:rPr>
                      <w:t>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6064">
              <wp:simplePos x="0" y="0"/>
              <wp:positionH relativeFrom="page">
                <wp:posOffset>3461256</wp:posOffset>
              </wp:positionH>
              <wp:positionV relativeFrom="page">
                <wp:posOffset>425413</wp:posOffset>
              </wp:positionV>
              <wp:extent cx="906144" cy="17589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906144" cy="175895"/>
                      </a:xfrm>
                      <a:prstGeom prst="rect">
                        <a:avLst/>
                      </a:prstGeom>
                    </wps:spPr>
                    <wps:txbx>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7660416" type="#_x0000_t202" id="docshape36"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56576">
              <wp:simplePos x="0" y="0"/>
              <wp:positionH relativeFrom="page">
                <wp:posOffset>5263002</wp:posOffset>
              </wp:positionH>
              <wp:positionV relativeFrom="page">
                <wp:posOffset>425413</wp:posOffset>
              </wp:positionV>
              <wp:extent cx="1279525" cy="17589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7659904" type="#_x0000_t202" id="docshape37"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7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73">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7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7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7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9">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8">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7">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1"/>
      <w:numFmt w:val="lowerLetter"/>
      <w:lvlText w:val="%2)"/>
      <w:lvlJc w:val="left"/>
      <w:pPr>
        <w:ind w:left="3110" w:hanging="433"/>
        <w:jc w:val="left"/>
      </w:pPr>
      <w:rPr>
        <w:rFonts w:hint="default" w:ascii="Arial" w:hAnsi="Arial" w:eastAsia="Arial" w:cs="Arial"/>
        <w:b/>
        <w:bCs/>
        <w:i w:val="0"/>
        <w:iCs w:val="0"/>
        <w:color w:val="0B0B0B"/>
        <w:spacing w:val="-1"/>
        <w:w w:val="99"/>
        <w:sz w:val="18"/>
        <w:szCs w:val="18"/>
        <w:lang w:val="es-ES" w:eastAsia="en-US" w:bidi="ar-SA"/>
      </w:rPr>
    </w:lvl>
    <w:lvl w:ilvl="2">
      <w:start w:val="0"/>
      <w:numFmt w:val="bullet"/>
      <w:lvlText w:val="•"/>
      <w:lvlJc w:val="left"/>
      <w:pPr>
        <w:ind w:left="3813" w:hanging="433"/>
      </w:pPr>
      <w:rPr>
        <w:rFonts w:hint="default"/>
        <w:lang w:val="es-ES" w:eastAsia="en-US" w:bidi="ar-SA"/>
      </w:rPr>
    </w:lvl>
    <w:lvl w:ilvl="3">
      <w:start w:val="0"/>
      <w:numFmt w:val="bullet"/>
      <w:lvlText w:val="•"/>
      <w:lvlJc w:val="left"/>
      <w:pPr>
        <w:ind w:left="4506" w:hanging="433"/>
      </w:pPr>
      <w:rPr>
        <w:rFonts w:hint="default"/>
        <w:lang w:val="es-ES" w:eastAsia="en-US" w:bidi="ar-SA"/>
      </w:rPr>
    </w:lvl>
    <w:lvl w:ilvl="4">
      <w:start w:val="0"/>
      <w:numFmt w:val="bullet"/>
      <w:lvlText w:val="•"/>
      <w:lvlJc w:val="left"/>
      <w:pPr>
        <w:ind w:left="5200" w:hanging="433"/>
      </w:pPr>
      <w:rPr>
        <w:rFonts w:hint="default"/>
        <w:lang w:val="es-ES" w:eastAsia="en-US" w:bidi="ar-SA"/>
      </w:rPr>
    </w:lvl>
    <w:lvl w:ilvl="5">
      <w:start w:val="0"/>
      <w:numFmt w:val="bullet"/>
      <w:lvlText w:val="•"/>
      <w:lvlJc w:val="left"/>
      <w:pPr>
        <w:ind w:left="5893" w:hanging="433"/>
      </w:pPr>
      <w:rPr>
        <w:rFonts w:hint="default"/>
        <w:lang w:val="es-ES" w:eastAsia="en-US" w:bidi="ar-SA"/>
      </w:rPr>
    </w:lvl>
    <w:lvl w:ilvl="6">
      <w:start w:val="0"/>
      <w:numFmt w:val="bullet"/>
      <w:lvlText w:val="•"/>
      <w:lvlJc w:val="left"/>
      <w:pPr>
        <w:ind w:left="6586" w:hanging="433"/>
      </w:pPr>
      <w:rPr>
        <w:rFonts w:hint="default"/>
        <w:lang w:val="es-ES" w:eastAsia="en-US" w:bidi="ar-SA"/>
      </w:rPr>
    </w:lvl>
    <w:lvl w:ilvl="7">
      <w:start w:val="0"/>
      <w:numFmt w:val="bullet"/>
      <w:lvlText w:val="•"/>
      <w:lvlJc w:val="left"/>
      <w:pPr>
        <w:ind w:left="7280" w:hanging="433"/>
      </w:pPr>
      <w:rPr>
        <w:rFonts w:hint="default"/>
        <w:lang w:val="es-ES" w:eastAsia="en-US" w:bidi="ar-SA"/>
      </w:rPr>
    </w:lvl>
    <w:lvl w:ilvl="8">
      <w:start w:val="0"/>
      <w:numFmt w:val="bullet"/>
      <w:lvlText w:val="•"/>
      <w:lvlJc w:val="left"/>
      <w:pPr>
        <w:ind w:left="7973" w:hanging="433"/>
      </w:pPr>
      <w:rPr>
        <w:rFonts w:hint="default"/>
        <w:lang w:val="es-ES" w:eastAsia="en-US" w:bidi="ar-SA"/>
      </w:rPr>
    </w:lvl>
  </w:abstractNum>
  <w:abstractNum w:abstractNumId="63">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2">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0">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59">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8">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7">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5">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3">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9">
    <w:multiLevelType w:val="hybridMultilevel"/>
    <w:lvl w:ilvl="0">
      <w:start w:val="1"/>
      <w:numFmt w:val="upperRoman"/>
      <w:lvlText w:val="%1."/>
      <w:lvlJc w:val="left"/>
      <w:pPr>
        <w:ind w:left="2664" w:hanging="504"/>
        <w:jc w:val="right"/>
      </w:pPr>
      <w:rPr>
        <w:rFonts w:hint="default" w:ascii="Arial" w:hAnsi="Arial" w:eastAsia="Arial" w:cs="Arial"/>
        <w:b/>
        <w:bCs/>
        <w:i w:val="0"/>
        <w:iCs w:val="0"/>
        <w:color w:val="0B0B0B"/>
        <w:spacing w:val="0"/>
        <w:w w:val="100"/>
        <w:sz w:val="18"/>
        <w:szCs w:val="18"/>
        <w:lang w:val="es-ES" w:eastAsia="en-US" w:bidi="ar-SA"/>
      </w:rPr>
    </w:lvl>
    <w:lvl w:ilvl="1">
      <w:start w:val="1"/>
      <w:numFmt w:val="upperRoman"/>
      <w:lvlText w:val="%2."/>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48">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7">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46">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4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4">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43">
    <w:multiLevelType w:val="hybridMultilevel"/>
    <w:lvl w:ilvl="0">
      <w:start w:val="1"/>
      <w:numFmt w:val="upperRoman"/>
      <w:lvlText w:val="%1."/>
      <w:lvlJc w:val="left"/>
      <w:pPr>
        <w:ind w:left="2663"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4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9">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8">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37">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3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4">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3">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1"/>
      <w:numFmt w:val="lowerLetter"/>
      <w:lvlText w:val="%2)"/>
      <w:lvlJc w:val="left"/>
      <w:pPr>
        <w:ind w:left="3110" w:hanging="433"/>
        <w:jc w:val="left"/>
      </w:pPr>
      <w:rPr>
        <w:rFonts w:hint="default" w:ascii="Arial" w:hAnsi="Arial" w:eastAsia="Arial" w:cs="Arial"/>
        <w:b/>
        <w:bCs/>
        <w:i w:val="0"/>
        <w:iCs w:val="0"/>
        <w:color w:val="0B0B0B"/>
        <w:spacing w:val="-1"/>
        <w:w w:val="99"/>
        <w:sz w:val="18"/>
        <w:szCs w:val="18"/>
        <w:lang w:val="es-ES" w:eastAsia="en-US" w:bidi="ar-SA"/>
      </w:rPr>
    </w:lvl>
    <w:lvl w:ilvl="2">
      <w:start w:val="0"/>
      <w:numFmt w:val="bullet"/>
      <w:lvlText w:val="•"/>
      <w:lvlJc w:val="left"/>
      <w:pPr>
        <w:ind w:left="3813" w:hanging="433"/>
      </w:pPr>
      <w:rPr>
        <w:rFonts w:hint="default"/>
        <w:lang w:val="es-ES" w:eastAsia="en-US" w:bidi="ar-SA"/>
      </w:rPr>
    </w:lvl>
    <w:lvl w:ilvl="3">
      <w:start w:val="0"/>
      <w:numFmt w:val="bullet"/>
      <w:lvlText w:val="•"/>
      <w:lvlJc w:val="left"/>
      <w:pPr>
        <w:ind w:left="4506" w:hanging="433"/>
      </w:pPr>
      <w:rPr>
        <w:rFonts w:hint="default"/>
        <w:lang w:val="es-ES" w:eastAsia="en-US" w:bidi="ar-SA"/>
      </w:rPr>
    </w:lvl>
    <w:lvl w:ilvl="4">
      <w:start w:val="0"/>
      <w:numFmt w:val="bullet"/>
      <w:lvlText w:val="•"/>
      <w:lvlJc w:val="left"/>
      <w:pPr>
        <w:ind w:left="5200" w:hanging="433"/>
      </w:pPr>
      <w:rPr>
        <w:rFonts w:hint="default"/>
        <w:lang w:val="es-ES" w:eastAsia="en-US" w:bidi="ar-SA"/>
      </w:rPr>
    </w:lvl>
    <w:lvl w:ilvl="5">
      <w:start w:val="0"/>
      <w:numFmt w:val="bullet"/>
      <w:lvlText w:val="•"/>
      <w:lvlJc w:val="left"/>
      <w:pPr>
        <w:ind w:left="5893" w:hanging="433"/>
      </w:pPr>
      <w:rPr>
        <w:rFonts w:hint="default"/>
        <w:lang w:val="es-ES" w:eastAsia="en-US" w:bidi="ar-SA"/>
      </w:rPr>
    </w:lvl>
    <w:lvl w:ilvl="6">
      <w:start w:val="0"/>
      <w:numFmt w:val="bullet"/>
      <w:lvlText w:val="•"/>
      <w:lvlJc w:val="left"/>
      <w:pPr>
        <w:ind w:left="6586" w:hanging="433"/>
      </w:pPr>
      <w:rPr>
        <w:rFonts w:hint="default"/>
        <w:lang w:val="es-ES" w:eastAsia="en-US" w:bidi="ar-SA"/>
      </w:rPr>
    </w:lvl>
    <w:lvl w:ilvl="7">
      <w:start w:val="0"/>
      <w:numFmt w:val="bullet"/>
      <w:lvlText w:val="•"/>
      <w:lvlJc w:val="left"/>
      <w:pPr>
        <w:ind w:left="7280" w:hanging="433"/>
      </w:pPr>
      <w:rPr>
        <w:rFonts w:hint="default"/>
        <w:lang w:val="es-ES" w:eastAsia="en-US" w:bidi="ar-SA"/>
      </w:rPr>
    </w:lvl>
    <w:lvl w:ilvl="8">
      <w:start w:val="0"/>
      <w:numFmt w:val="bullet"/>
      <w:lvlText w:val="•"/>
      <w:lvlJc w:val="left"/>
      <w:pPr>
        <w:ind w:left="7973" w:hanging="433"/>
      </w:pPr>
      <w:rPr>
        <w:rFonts w:hint="default"/>
        <w:lang w:val="es-ES" w:eastAsia="en-US" w:bidi="ar-SA"/>
      </w:rPr>
    </w:lvl>
  </w:abstractNum>
  <w:abstractNum w:abstractNumId="3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9">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28">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7">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3">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2">
    <w:multiLevelType w:val="hybridMultilevel"/>
    <w:lvl w:ilvl="0">
      <w:start w:val="1"/>
      <w:numFmt w:val="upperRoman"/>
      <w:lvlText w:val="%1."/>
      <w:lvlJc w:val="left"/>
      <w:pPr>
        <w:ind w:left="2663"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2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9">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8">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7">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1"/>
      <w:numFmt w:val="lowerLetter"/>
      <w:lvlText w:val="%2)"/>
      <w:lvlJc w:val="left"/>
      <w:pPr>
        <w:ind w:left="3110" w:hanging="433"/>
        <w:jc w:val="left"/>
      </w:pPr>
      <w:rPr>
        <w:rFonts w:hint="default" w:ascii="Arial" w:hAnsi="Arial" w:eastAsia="Arial" w:cs="Arial"/>
        <w:b/>
        <w:bCs/>
        <w:i w:val="0"/>
        <w:iCs w:val="0"/>
        <w:color w:val="0B0B0B"/>
        <w:spacing w:val="-1"/>
        <w:w w:val="99"/>
        <w:sz w:val="18"/>
        <w:szCs w:val="18"/>
        <w:lang w:val="es-ES" w:eastAsia="en-US" w:bidi="ar-SA"/>
      </w:rPr>
    </w:lvl>
    <w:lvl w:ilvl="2">
      <w:start w:val="0"/>
      <w:numFmt w:val="bullet"/>
      <w:lvlText w:val="•"/>
      <w:lvlJc w:val="left"/>
      <w:pPr>
        <w:ind w:left="3813" w:hanging="433"/>
      </w:pPr>
      <w:rPr>
        <w:rFonts w:hint="default"/>
        <w:lang w:val="es-ES" w:eastAsia="en-US" w:bidi="ar-SA"/>
      </w:rPr>
    </w:lvl>
    <w:lvl w:ilvl="3">
      <w:start w:val="0"/>
      <w:numFmt w:val="bullet"/>
      <w:lvlText w:val="•"/>
      <w:lvlJc w:val="left"/>
      <w:pPr>
        <w:ind w:left="4506" w:hanging="433"/>
      </w:pPr>
      <w:rPr>
        <w:rFonts w:hint="default"/>
        <w:lang w:val="es-ES" w:eastAsia="en-US" w:bidi="ar-SA"/>
      </w:rPr>
    </w:lvl>
    <w:lvl w:ilvl="4">
      <w:start w:val="0"/>
      <w:numFmt w:val="bullet"/>
      <w:lvlText w:val="•"/>
      <w:lvlJc w:val="left"/>
      <w:pPr>
        <w:ind w:left="5200" w:hanging="433"/>
      </w:pPr>
      <w:rPr>
        <w:rFonts w:hint="default"/>
        <w:lang w:val="es-ES" w:eastAsia="en-US" w:bidi="ar-SA"/>
      </w:rPr>
    </w:lvl>
    <w:lvl w:ilvl="5">
      <w:start w:val="0"/>
      <w:numFmt w:val="bullet"/>
      <w:lvlText w:val="•"/>
      <w:lvlJc w:val="left"/>
      <w:pPr>
        <w:ind w:left="5893" w:hanging="433"/>
      </w:pPr>
      <w:rPr>
        <w:rFonts w:hint="default"/>
        <w:lang w:val="es-ES" w:eastAsia="en-US" w:bidi="ar-SA"/>
      </w:rPr>
    </w:lvl>
    <w:lvl w:ilvl="6">
      <w:start w:val="0"/>
      <w:numFmt w:val="bullet"/>
      <w:lvlText w:val="•"/>
      <w:lvlJc w:val="left"/>
      <w:pPr>
        <w:ind w:left="6586" w:hanging="433"/>
      </w:pPr>
      <w:rPr>
        <w:rFonts w:hint="default"/>
        <w:lang w:val="es-ES" w:eastAsia="en-US" w:bidi="ar-SA"/>
      </w:rPr>
    </w:lvl>
    <w:lvl w:ilvl="7">
      <w:start w:val="0"/>
      <w:numFmt w:val="bullet"/>
      <w:lvlText w:val="•"/>
      <w:lvlJc w:val="left"/>
      <w:pPr>
        <w:ind w:left="7280" w:hanging="433"/>
      </w:pPr>
      <w:rPr>
        <w:rFonts w:hint="default"/>
        <w:lang w:val="es-ES" w:eastAsia="en-US" w:bidi="ar-SA"/>
      </w:rPr>
    </w:lvl>
    <w:lvl w:ilvl="8">
      <w:start w:val="0"/>
      <w:numFmt w:val="bullet"/>
      <w:lvlText w:val="•"/>
      <w:lvlJc w:val="left"/>
      <w:pPr>
        <w:ind w:left="7973" w:hanging="433"/>
      </w:pPr>
      <w:rPr>
        <w:rFonts w:hint="default"/>
        <w:lang w:val="es-ES" w:eastAsia="en-US" w:bidi="ar-SA"/>
      </w:rPr>
    </w:lvl>
  </w:abstractNum>
  <w:abstractNum w:abstractNumId="1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3">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0">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1"/>
      <w:numFmt w:val="lowerLetter"/>
      <w:lvlText w:val="%2)"/>
      <w:lvlJc w:val="left"/>
      <w:pPr>
        <w:ind w:left="3110" w:hanging="433"/>
        <w:jc w:val="left"/>
      </w:pPr>
      <w:rPr>
        <w:rFonts w:hint="default" w:ascii="Arial" w:hAnsi="Arial" w:eastAsia="Arial" w:cs="Arial"/>
        <w:b/>
        <w:bCs/>
        <w:i w:val="0"/>
        <w:iCs w:val="0"/>
        <w:color w:val="0B0B0B"/>
        <w:spacing w:val="-1"/>
        <w:w w:val="99"/>
        <w:sz w:val="18"/>
        <w:szCs w:val="18"/>
        <w:lang w:val="es-ES" w:eastAsia="en-US" w:bidi="ar-SA"/>
      </w:rPr>
    </w:lvl>
    <w:lvl w:ilvl="2">
      <w:start w:val="0"/>
      <w:numFmt w:val="bullet"/>
      <w:lvlText w:val="•"/>
      <w:lvlJc w:val="left"/>
      <w:pPr>
        <w:ind w:left="3813" w:hanging="433"/>
      </w:pPr>
      <w:rPr>
        <w:rFonts w:hint="default"/>
        <w:lang w:val="es-ES" w:eastAsia="en-US" w:bidi="ar-SA"/>
      </w:rPr>
    </w:lvl>
    <w:lvl w:ilvl="3">
      <w:start w:val="0"/>
      <w:numFmt w:val="bullet"/>
      <w:lvlText w:val="•"/>
      <w:lvlJc w:val="left"/>
      <w:pPr>
        <w:ind w:left="4506" w:hanging="433"/>
      </w:pPr>
      <w:rPr>
        <w:rFonts w:hint="default"/>
        <w:lang w:val="es-ES" w:eastAsia="en-US" w:bidi="ar-SA"/>
      </w:rPr>
    </w:lvl>
    <w:lvl w:ilvl="4">
      <w:start w:val="0"/>
      <w:numFmt w:val="bullet"/>
      <w:lvlText w:val="•"/>
      <w:lvlJc w:val="left"/>
      <w:pPr>
        <w:ind w:left="5200" w:hanging="433"/>
      </w:pPr>
      <w:rPr>
        <w:rFonts w:hint="default"/>
        <w:lang w:val="es-ES" w:eastAsia="en-US" w:bidi="ar-SA"/>
      </w:rPr>
    </w:lvl>
    <w:lvl w:ilvl="5">
      <w:start w:val="0"/>
      <w:numFmt w:val="bullet"/>
      <w:lvlText w:val="•"/>
      <w:lvlJc w:val="left"/>
      <w:pPr>
        <w:ind w:left="5893" w:hanging="433"/>
      </w:pPr>
      <w:rPr>
        <w:rFonts w:hint="default"/>
        <w:lang w:val="es-ES" w:eastAsia="en-US" w:bidi="ar-SA"/>
      </w:rPr>
    </w:lvl>
    <w:lvl w:ilvl="6">
      <w:start w:val="0"/>
      <w:numFmt w:val="bullet"/>
      <w:lvlText w:val="•"/>
      <w:lvlJc w:val="left"/>
      <w:pPr>
        <w:ind w:left="6586" w:hanging="433"/>
      </w:pPr>
      <w:rPr>
        <w:rFonts w:hint="default"/>
        <w:lang w:val="es-ES" w:eastAsia="en-US" w:bidi="ar-SA"/>
      </w:rPr>
    </w:lvl>
    <w:lvl w:ilvl="7">
      <w:start w:val="0"/>
      <w:numFmt w:val="bullet"/>
      <w:lvlText w:val="•"/>
      <w:lvlJc w:val="left"/>
      <w:pPr>
        <w:ind w:left="7280" w:hanging="433"/>
      </w:pPr>
      <w:rPr>
        <w:rFonts w:hint="default"/>
        <w:lang w:val="es-ES" w:eastAsia="en-US" w:bidi="ar-SA"/>
      </w:rPr>
    </w:lvl>
    <w:lvl w:ilvl="8">
      <w:start w:val="0"/>
      <w:numFmt w:val="bullet"/>
      <w:lvlText w:val="•"/>
      <w:lvlJc w:val="left"/>
      <w:pPr>
        <w:ind w:left="7973" w:hanging="433"/>
      </w:pPr>
      <w:rPr>
        <w:rFonts w:hint="default"/>
        <w:lang w:val="es-ES" w:eastAsia="en-US" w:bidi="ar-SA"/>
      </w:rPr>
    </w:lvl>
  </w:abstractNum>
  <w:abstractNum w:abstractNumId="9">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1"/>
      <w:numFmt w:val="lowerLetter"/>
      <w:lvlText w:val="%2)"/>
      <w:lvlJc w:val="left"/>
      <w:pPr>
        <w:ind w:left="3110" w:hanging="433"/>
        <w:jc w:val="left"/>
      </w:pPr>
      <w:rPr>
        <w:rFonts w:hint="default" w:ascii="Arial" w:hAnsi="Arial" w:eastAsia="Arial" w:cs="Arial"/>
        <w:b/>
        <w:bCs/>
        <w:i w:val="0"/>
        <w:iCs w:val="0"/>
        <w:color w:val="0B0B0B"/>
        <w:spacing w:val="-1"/>
        <w:w w:val="99"/>
        <w:sz w:val="18"/>
        <w:szCs w:val="18"/>
        <w:lang w:val="es-ES" w:eastAsia="en-US" w:bidi="ar-SA"/>
      </w:rPr>
    </w:lvl>
    <w:lvl w:ilvl="2">
      <w:start w:val="0"/>
      <w:numFmt w:val="bullet"/>
      <w:lvlText w:val="•"/>
      <w:lvlJc w:val="left"/>
      <w:pPr>
        <w:ind w:left="3813" w:hanging="433"/>
      </w:pPr>
      <w:rPr>
        <w:rFonts w:hint="default"/>
        <w:lang w:val="es-ES" w:eastAsia="en-US" w:bidi="ar-SA"/>
      </w:rPr>
    </w:lvl>
    <w:lvl w:ilvl="3">
      <w:start w:val="0"/>
      <w:numFmt w:val="bullet"/>
      <w:lvlText w:val="•"/>
      <w:lvlJc w:val="left"/>
      <w:pPr>
        <w:ind w:left="4506" w:hanging="433"/>
      </w:pPr>
      <w:rPr>
        <w:rFonts w:hint="default"/>
        <w:lang w:val="es-ES" w:eastAsia="en-US" w:bidi="ar-SA"/>
      </w:rPr>
    </w:lvl>
    <w:lvl w:ilvl="4">
      <w:start w:val="0"/>
      <w:numFmt w:val="bullet"/>
      <w:lvlText w:val="•"/>
      <w:lvlJc w:val="left"/>
      <w:pPr>
        <w:ind w:left="5200" w:hanging="433"/>
      </w:pPr>
      <w:rPr>
        <w:rFonts w:hint="default"/>
        <w:lang w:val="es-ES" w:eastAsia="en-US" w:bidi="ar-SA"/>
      </w:rPr>
    </w:lvl>
    <w:lvl w:ilvl="5">
      <w:start w:val="0"/>
      <w:numFmt w:val="bullet"/>
      <w:lvlText w:val="•"/>
      <w:lvlJc w:val="left"/>
      <w:pPr>
        <w:ind w:left="5893" w:hanging="433"/>
      </w:pPr>
      <w:rPr>
        <w:rFonts w:hint="default"/>
        <w:lang w:val="es-ES" w:eastAsia="en-US" w:bidi="ar-SA"/>
      </w:rPr>
    </w:lvl>
    <w:lvl w:ilvl="6">
      <w:start w:val="0"/>
      <w:numFmt w:val="bullet"/>
      <w:lvlText w:val="•"/>
      <w:lvlJc w:val="left"/>
      <w:pPr>
        <w:ind w:left="6586" w:hanging="433"/>
      </w:pPr>
      <w:rPr>
        <w:rFonts w:hint="default"/>
        <w:lang w:val="es-ES" w:eastAsia="en-US" w:bidi="ar-SA"/>
      </w:rPr>
    </w:lvl>
    <w:lvl w:ilvl="7">
      <w:start w:val="0"/>
      <w:numFmt w:val="bullet"/>
      <w:lvlText w:val="•"/>
      <w:lvlJc w:val="left"/>
      <w:pPr>
        <w:ind w:left="7280" w:hanging="433"/>
      </w:pPr>
      <w:rPr>
        <w:rFonts w:hint="default"/>
        <w:lang w:val="es-ES" w:eastAsia="en-US" w:bidi="ar-SA"/>
      </w:rPr>
    </w:lvl>
    <w:lvl w:ilvl="8">
      <w:start w:val="0"/>
      <w:numFmt w:val="bullet"/>
      <w:lvlText w:val="•"/>
      <w:lvlJc w:val="left"/>
      <w:pPr>
        <w:ind w:left="7973" w:hanging="433"/>
      </w:pPr>
      <w:rPr>
        <w:rFonts w:hint="default"/>
        <w:lang w:val="es-ES" w:eastAsia="en-US" w:bidi="ar-SA"/>
      </w:rPr>
    </w:lvl>
  </w:abstractNum>
  <w:abstractNum w:abstractNumId="8">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7">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6">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5">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4">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3">
    <w:multiLevelType w:val="hybridMultilevel"/>
    <w:lvl w:ilvl="0">
      <w:start w:val="1"/>
      <w:numFmt w:val="upperRoman"/>
      <w:lvlText w:val="%1."/>
      <w:lvlJc w:val="left"/>
      <w:pPr>
        <w:ind w:left="2664" w:hanging="504"/>
        <w:jc w:val="left"/>
      </w:pPr>
      <w:rPr>
        <w:rFonts w:hint="default" w:ascii="Arial" w:hAnsi="Arial" w:eastAsia="Arial" w:cs="Arial"/>
        <w:b/>
        <w:bCs/>
        <w:i w:val="0"/>
        <w:iCs w:val="0"/>
        <w:color w:val="171717"/>
        <w:spacing w:val="0"/>
        <w:w w:val="100"/>
        <w:sz w:val="18"/>
        <w:szCs w:val="18"/>
        <w:lang w:val="es-ES" w:eastAsia="en-US" w:bidi="ar-SA"/>
      </w:rPr>
    </w:lvl>
    <w:lvl w:ilvl="1">
      <w:start w:val="0"/>
      <w:numFmt w:val="bullet"/>
      <w:lvlText w:val="•"/>
      <w:lvlJc w:val="left"/>
      <w:pPr>
        <w:ind w:left="3330" w:hanging="504"/>
      </w:pPr>
      <w:rPr>
        <w:rFonts w:hint="default"/>
        <w:lang w:val="es-ES" w:eastAsia="en-US" w:bidi="ar-SA"/>
      </w:rPr>
    </w:lvl>
    <w:lvl w:ilvl="2">
      <w:start w:val="0"/>
      <w:numFmt w:val="bullet"/>
      <w:lvlText w:val="•"/>
      <w:lvlJc w:val="left"/>
      <w:pPr>
        <w:ind w:left="4000" w:hanging="504"/>
      </w:pPr>
      <w:rPr>
        <w:rFonts w:hint="default"/>
        <w:lang w:val="es-ES" w:eastAsia="en-US" w:bidi="ar-SA"/>
      </w:rPr>
    </w:lvl>
    <w:lvl w:ilvl="3">
      <w:start w:val="0"/>
      <w:numFmt w:val="bullet"/>
      <w:lvlText w:val="•"/>
      <w:lvlJc w:val="left"/>
      <w:pPr>
        <w:ind w:left="4670" w:hanging="504"/>
      </w:pPr>
      <w:rPr>
        <w:rFonts w:hint="default"/>
        <w:lang w:val="es-ES" w:eastAsia="en-US" w:bidi="ar-SA"/>
      </w:rPr>
    </w:lvl>
    <w:lvl w:ilvl="4">
      <w:start w:val="0"/>
      <w:numFmt w:val="bullet"/>
      <w:lvlText w:val="•"/>
      <w:lvlJc w:val="left"/>
      <w:pPr>
        <w:ind w:left="5340" w:hanging="504"/>
      </w:pPr>
      <w:rPr>
        <w:rFonts w:hint="default"/>
        <w:lang w:val="es-ES" w:eastAsia="en-US" w:bidi="ar-SA"/>
      </w:rPr>
    </w:lvl>
    <w:lvl w:ilvl="5">
      <w:start w:val="0"/>
      <w:numFmt w:val="bullet"/>
      <w:lvlText w:val="•"/>
      <w:lvlJc w:val="left"/>
      <w:pPr>
        <w:ind w:left="6010" w:hanging="504"/>
      </w:pPr>
      <w:rPr>
        <w:rFonts w:hint="default"/>
        <w:lang w:val="es-ES" w:eastAsia="en-US" w:bidi="ar-SA"/>
      </w:rPr>
    </w:lvl>
    <w:lvl w:ilvl="6">
      <w:start w:val="0"/>
      <w:numFmt w:val="bullet"/>
      <w:lvlText w:val="•"/>
      <w:lvlJc w:val="left"/>
      <w:pPr>
        <w:ind w:left="6680" w:hanging="504"/>
      </w:pPr>
      <w:rPr>
        <w:rFonts w:hint="default"/>
        <w:lang w:val="es-ES" w:eastAsia="en-US" w:bidi="ar-SA"/>
      </w:rPr>
    </w:lvl>
    <w:lvl w:ilvl="7">
      <w:start w:val="0"/>
      <w:numFmt w:val="bullet"/>
      <w:lvlText w:val="•"/>
      <w:lvlJc w:val="left"/>
      <w:pPr>
        <w:ind w:left="7350" w:hanging="504"/>
      </w:pPr>
      <w:rPr>
        <w:rFonts w:hint="default"/>
        <w:lang w:val="es-ES" w:eastAsia="en-US" w:bidi="ar-SA"/>
      </w:rPr>
    </w:lvl>
    <w:lvl w:ilvl="8">
      <w:start w:val="0"/>
      <w:numFmt w:val="bullet"/>
      <w:lvlText w:val="•"/>
      <w:lvlJc w:val="left"/>
      <w:pPr>
        <w:ind w:left="8020" w:hanging="504"/>
      </w:pPr>
      <w:rPr>
        <w:rFonts w:hint="default"/>
        <w:lang w:val="es-ES" w:eastAsia="en-US" w:bidi="ar-SA"/>
      </w:rPr>
    </w:lvl>
  </w:abstractNum>
  <w:abstractNum w:abstractNumId="2">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1">
    <w:multiLevelType w:val="hybridMultilevel"/>
    <w:lvl w:ilvl="0">
      <w:start w:val="1"/>
      <w:numFmt w:val="upperRoman"/>
      <w:lvlText w:val="%1."/>
      <w:lvlJc w:val="left"/>
      <w:pPr>
        <w:ind w:left="2664" w:hanging="505"/>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330" w:hanging="505"/>
      </w:pPr>
      <w:rPr>
        <w:rFonts w:hint="default"/>
        <w:lang w:val="es-ES" w:eastAsia="en-US" w:bidi="ar-SA"/>
      </w:rPr>
    </w:lvl>
    <w:lvl w:ilvl="2">
      <w:start w:val="0"/>
      <w:numFmt w:val="bullet"/>
      <w:lvlText w:val="•"/>
      <w:lvlJc w:val="left"/>
      <w:pPr>
        <w:ind w:left="4000" w:hanging="505"/>
      </w:pPr>
      <w:rPr>
        <w:rFonts w:hint="default"/>
        <w:lang w:val="es-ES" w:eastAsia="en-US" w:bidi="ar-SA"/>
      </w:rPr>
    </w:lvl>
    <w:lvl w:ilvl="3">
      <w:start w:val="0"/>
      <w:numFmt w:val="bullet"/>
      <w:lvlText w:val="•"/>
      <w:lvlJc w:val="left"/>
      <w:pPr>
        <w:ind w:left="4670" w:hanging="505"/>
      </w:pPr>
      <w:rPr>
        <w:rFonts w:hint="default"/>
        <w:lang w:val="es-ES" w:eastAsia="en-US" w:bidi="ar-SA"/>
      </w:rPr>
    </w:lvl>
    <w:lvl w:ilvl="4">
      <w:start w:val="0"/>
      <w:numFmt w:val="bullet"/>
      <w:lvlText w:val="•"/>
      <w:lvlJc w:val="left"/>
      <w:pPr>
        <w:ind w:left="5340" w:hanging="505"/>
      </w:pPr>
      <w:rPr>
        <w:rFonts w:hint="default"/>
        <w:lang w:val="es-ES" w:eastAsia="en-US" w:bidi="ar-SA"/>
      </w:rPr>
    </w:lvl>
    <w:lvl w:ilvl="5">
      <w:start w:val="0"/>
      <w:numFmt w:val="bullet"/>
      <w:lvlText w:val="•"/>
      <w:lvlJc w:val="left"/>
      <w:pPr>
        <w:ind w:left="6010" w:hanging="505"/>
      </w:pPr>
      <w:rPr>
        <w:rFonts w:hint="default"/>
        <w:lang w:val="es-ES" w:eastAsia="en-US" w:bidi="ar-SA"/>
      </w:rPr>
    </w:lvl>
    <w:lvl w:ilvl="6">
      <w:start w:val="0"/>
      <w:numFmt w:val="bullet"/>
      <w:lvlText w:val="•"/>
      <w:lvlJc w:val="left"/>
      <w:pPr>
        <w:ind w:left="6680" w:hanging="505"/>
      </w:pPr>
      <w:rPr>
        <w:rFonts w:hint="default"/>
        <w:lang w:val="es-ES" w:eastAsia="en-US" w:bidi="ar-SA"/>
      </w:rPr>
    </w:lvl>
    <w:lvl w:ilvl="7">
      <w:start w:val="0"/>
      <w:numFmt w:val="bullet"/>
      <w:lvlText w:val="•"/>
      <w:lvlJc w:val="left"/>
      <w:pPr>
        <w:ind w:left="7350" w:hanging="505"/>
      </w:pPr>
      <w:rPr>
        <w:rFonts w:hint="default"/>
        <w:lang w:val="es-ES" w:eastAsia="en-US" w:bidi="ar-SA"/>
      </w:rPr>
    </w:lvl>
    <w:lvl w:ilvl="8">
      <w:start w:val="0"/>
      <w:numFmt w:val="bullet"/>
      <w:lvlText w:val="•"/>
      <w:lvlJc w:val="left"/>
      <w:pPr>
        <w:ind w:left="8020" w:hanging="505"/>
      </w:pPr>
      <w:rPr>
        <w:rFonts w:hint="default"/>
        <w:lang w:val="es-ES" w:eastAsia="en-US" w:bidi="ar-SA"/>
      </w:rPr>
    </w:lvl>
  </w:abstractNum>
  <w:abstractNum w:abstractNumId="0">
    <w:multiLevelType w:val="hybridMultilevel"/>
    <w:lvl w:ilvl="0">
      <w:start w:val="1"/>
      <w:numFmt w:val="upperLetter"/>
      <w:lvlText w:val="%1."/>
      <w:lvlJc w:val="left"/>
      <w:pPr>
        <w:ind w:left="691" w:hanging="433"/>
        <w:jc w:val="left"/>
      </w:pPr>
      <w:rPr>
        <w:rFonts w:hint="default" w:ascii="Arial" w:hAnsi="Arial" w:eastAsia="Arial" w:cs="Arial"/>
        <w:b/>
        <w:bCs/>
        <w:i w:val="0"/>
        <w:iCs w:val="0"/>
        <w:color w:val="0B0B0B"/>
        <w:spacing w:val="-3"/>
        <w:w w:val="99"/>
        <w:sz w:val="18"/>
        <w:szCs w:val="18"/>
        <w:lang w:val="es-ES" w:eastAsia="en-US" w:bidi="ar-SA"/>
      </w:rPr>
    </w:lvl>
    <w:lvl w:ilvl="1">
      <w:start w:val="1"/>
      <w:numFmt w:val="upperRoman"/>
      <w:lvlText w:val="%2."/>
      <w:lvlJc w:val="left"/>
      <w:pPr>
        <w:ind w:left="1123" w:hanging="433"/>
        <w:jc w:val="left"/>
      </w:pPr>
      <w:rPr>
        <w:rFonts w:hint="default" w:ascii="Arial" w:hAnsi="Arial" w:eastAsia="Arial" w:cs="Arial"/>
        <w:b/>
        <w:bCs/>
        <w:i w:val="0"/>
        <w:iCs w:val="0"/>
        <w:color w:val="0B0B0B"/>
        <w:spacing w:val="0"/>
        <w:w w:val="100"/>
        <w:sz w:val="18"/>
        <w:szCs w:val="18"/>
        <w:lang w:val="es-ES" w:eastAsia="en-US" w:bidi="ar-SA"/>
      </w:rPr>
    </w:lvl>
    <w:lvl w:ilvl="2">
      <w:start w:val="1"/>
      <w:numFmt w:val="upperRoman"/>
      <w:lvlText w:val="%3."/>
      <w:lvlJc w:val="left"/>
      <w:pPr>
        <w:ind w:left="2664" w:hanging="504"/>
        <w:jc w:val="left"/>
      </w:pPr>
      <w:rPr>
        <w:rFonts w:hint="default" w:ascii="Arial" w:hAnsi="Arial" w:eastAsia="Arial" w:cs="Arial"/>
        <w:b/>
        <w:bCs/>
        <w:i w:val="0"/>
        <w:iCs w:val="0"/>
        <w:color w:val="0B0B0B"/>
        <w:spacing w:val="0"/>
        <w:w w:val="100"/>
        <w:sz w:val="18"/>
        <w:szCs w:val="18"/>
        <w:lang w:val="es-ES" w:eastAsia="en-US" w:bidi="ar-SA"/>
      </w:rPr>
    </w:lvl>
    <w:lvl w:ilvl="3">
      <w:start w:val="0"/>
      <w:numFmt w:val="bullet"/>
      <w:lvlText w:val="•"/>
      <w:lvlJc w:val="left"/>
      <w:pPr>
        <w:ind w:left="3497" w:hanging="504"/>
      </w:pPr>
      <w:rPr>
        <w:rFonts w:hint="default"/>
        <w:lang w:val="es-ES" w:eastAsia="en-US" w:bidi="ar-SA"/>
      </w:rPr>
    </w:lvl>
    <w:lvl w:ilvl="4">
      <w:start w:val="0"/>
      <w:numFmt w:val="bullet"/>
      <w:lvlText w:val="•"/>
      <w:lvlJc w:val="left"/>
      <w:pPr>
        <w:ind w:left="4335" w:hanging="504"/>
      </w:pPr>
      <w:rPr>
        <w:rFonts w:hint="default"/>
        <w:lang w:val="es-ES" w:eastAsia="en-US" w:bidi="ar-SA"/>
      </w:rPr>
    </w:lvl>
    <w:lvl w:ilvl="5">
      <w:start w:val="0"/>
      <w:numFmt w:val="bullet"/>
      <w:lvlText w:val="•"/>
      <w:lvlJc w:val="left"/>
      <w:pPr>
        <w:ind w:left="5172" w:hanging="504"/>
      </w:pPr>
      <w:rPr>
        <w:rFonts w:hint="default"/>
        <w:lang w:val="es-ES" w:eastAsia="en-US" w:bidi="ar-SA"/>
      </w:rPr>
    </w:lvl>
    <w:lvl w:ilvl="6">
      <w:start w:val="0"/>
      <w:numFmt w:val="bullet"/>
      <w:lvlText w:val="•"/>
      <w:lvlJc w:val="left"/>
      <w:pPr>
        <w:ind w:left="6010" w:hanging="504"/>
      </w:pPr>
      <w:rPr>
        <w:rFonts w:hint="default"/>
        <w:lang w:val="es-ES" w:eastAsia="en-US" w:bidi="ar-SA"/>
      </w:rPr>
    </w:lvl>
    <w:lvl w:ilvl="7">
      <w:start w:val="0"/>
      <w:numFmt w:val="bullet"/>
      <w:lvlText w:val="•"/>
      <w:lvlJc w:val="left"/>
      <w:pPr>
        <w:ind w:left="6847" w:hanging="504"/>
      </w:pPr>
      <w:rPr>
        <w:rFonts w:hint="default"/>
        <w:lang w:val="es-ES" w:eastAsia="en-US" w:bidi="ar-SA"/>
      </w:rPr>
    </w:lvl>
    <w:lvl w:ilvl="8">
      <w:start w:val="0"/>
      <w:numFmt w:val="bullet"/>
      <w:lvlText w:val="•"/>
      <w:lvlJc w:val="left"/>
      <w:pPr>
        <w:ind w:left="7685" w:hanging="504"/>
      </w:pPr>
      <w:rPr>
        <w:rFonts w:hint="default"/>
        <w:lang w:val="es-ES" w:eastAsia="en-US" w:bidi="ar-SA"/>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33"/>
      <w:ind w:left="2145"/>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2145" w:hanging="1008"/>
      <w:outlineLvl w:val="1"/>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99"/>
      <w:ind w:left="2664" w:right="259" w:hanging="504"/>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23"/>
      <w:ind w:left="71"/>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2026-01-13T17:01:29Z</dcterms:created>
  <dcterms:modified xsi:type="dcterms:W3CDTF">2026-01-13T17:01:29Z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